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Answer Key — Biology Grade 11</w:t>
      </w:r>
    </w:p>
    <w:p>
      <w:pPr>
        <w:spacing w:after="80"/>
      </w:pPr>
      <w:r>
        <w:rPr>
          <w:rFonts w:ascii="Arial" w:cs="Arial" w:eastAsia="Arial" w:hAnsi="Arial"/>
          <w:color w:val="444444"/>
          <w:sz w:val="20"/>
          <w:szCs w:val="20"/>
        </w:rPr>
        <w:t xml:space="preserve">Sub-Strand 1.3: Taxonomy II  •  Lesson 7: Dichotomous keys for animals and viruses</w:t>
      </w:r>
    </w:p>
    <w:p>
      <w:pPr>
        <w:spacing w:after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Teacher reference only. Do not project or hand out.</w:t>
      </w:r>
    </w:p>
    <w:p>
      <w:pPr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Quick marking grid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70"/>
        <w:gridCol w:w="1170"/>
        <w:gridCol w:w="1170"/>
        <w:gridCol w:w="1170"/>
        <w:gridCol w:w="1170"/>
        <w:gridCol w:w="1170"/>
        <w:gridCol w:w="1170"/>
        <w:gridCol w:w="1170"/>
      </w:tblGrid>
      <w:tr>
        <w:tc>
          <w:tcPr>
            <w:tcW w:type="dxa" w:w="117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Q1</w:t>
            </w:r>
          </w:p>
        </w:tc>
        <w:tc>
          <w:tcPr>
            <w:tcW w:type="dxa" w:w="117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Q2</w:t>
            </w:r>
          </w:p>
        </w:tc>
        <w:tc>
          <w:tcPr>
            <w:tcW w:type="dxa" w:w="117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Q3</w:t>
            </w:r>
          </w:p>
        </w:tc>
        <w:tc>
          <w:tcPr>
            <w:tcW w:type="dxa" w:w="117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Q4</w:t>
            </w:r>
          </w:p>
        </w:tc>
        <w:tc>
          <w:tcPr>
            <w:tcW w:type="dxa" w:w="117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Q5</w:t>
            </w:r>
          </w:p>
        </w:tc>
        <w:tc>
          <w:tcPr>
            <w:tcW w:type="dxa" w:w="117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Q6</w:t>
            </w:r>
          </w:p>
        </w:tc>
        <w:tc>
          <w:tcPr>
            <w:tcW w:type="dxa" w:w="117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Q7</w:t>
            </w:r>
          </w:p>
        </w:tc>
        <w:tc>
          <w:tcPr>
            <w:tcW w:type="dxa" w:w="117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Q8</w:t>
            </w:r>
          </w:p>
        </w:tc>
      </w:tr>
      <w:tr>
        <w:tc>
          <w:tcPr>
            <w:tcW w:type="dxa" w:w="117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</w:t>
            </w:r>
          </w:p>
        </w:tc>
        <w:tc>
          <w:tcPr>
            <w:tcW w:type="dxa" w:w="117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</w:t>
            </w:r>
          </w:p>
        </w:tc>
        <w:tc>
          <w:tcPr>
            <w:tcW w:type="dxa" w:w="117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D</w:t>
            </w:r>
          </w:p>
        </w:tc>
        <w:tc>
          <w:tcPr>
            <w:tcW w:type="dxa" w:w="117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</w:t>
            </w:r>
          </w:p>
        </w:tc>
        <w:tc>
          <w:tcPr>
            <w:tcW w:type="dxa" w:w="117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</w:t>
            </w:r>
          </w:p>
        </w:tc>
        <w:tc>
          <w:tcPr>
            <w:tcW w:type="dxa" w:w="117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D</w:t>
            </w:r>
          </w:p>
        </w:tc>
        <w:tc>
          <w:tcPr>
            <w:tcW w:type="dxa" w:w="117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D</w:t>
            </w:r>
          </w:p>
        </w:tc>
        <w:tc>
          <w:tcPr>
            <w:tcW w:type="dxa" w:w="117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A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PREDICT PHASE — Predict: message to a visitor from Kisumu (what kind of statements would work best)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Q1. A visitor from Kisumu has never seen the animals at your school. You can only send a written message so that the visitor names the same animal as you. Which statement would work best in the message?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A.  It is a beautiful animal.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B.  It is a big animal.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C.  It has six jointed legs.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D.  It is a useful animal for food.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C.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Six jointed legs is a feature anyone can see and count, so everyone reads it the same way. Big, beautiful and useful are opinions that differ between people.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OBSERVE PHASE — Part A: swapping keys and identifying mystery animals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Q2. A group builds this part of a dichotomous key.
1a. Animal has a backbone: go to step 2.
1b. Animal has no backbone: go to step 3.
2a. Feathers present: chicken.
2b. Feathers absent, hair present: goat.
3a. Six jointed legs present: grasshopper.
3b. No legs, body covered by a hard shell: snail.
A tester has an animal with no backbone and six jointed legs. Which animal does the key lead to?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A.  Goat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B.  Grasshopper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C.  Chicken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D.  Snail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B.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No backbone leads to step 3, and six jointed legs leads to grasshopper. Following one choice at each step gives one answer.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OBSERVE PHASE — Part A: group records where the key failed or was ambiguous and fixes it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Q3. A group wrote this couplet: 'Animal is small' / 'Animal is big'. After swapping keys, the testing group got different answers from the authors. What is the main problem with this couplet?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A.  Animals never differ in size, so the feature is useless.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B.  The couplet should name the animal in the first statement.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C.  A couplet must have three choices, not two.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D.  Two people can disagree about what small and big mean, because the statements are not measurable or countable.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D.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Small and big depend on what each person compares with. A good couplet uses observable, countable features, such as a backbone or the number of legs, so every user reaches the same answer.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OBSERVE PHASE — Part A: compare with the prepared key and sort animals into Chordata or Arthropoda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Q4. Learners sort animals into Phylum Chordata or Phylum Arthropoda. Which list contains only Arthropoda?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A.  Chicken, lizard, grasshopper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B.  Butterfly, earthworm, grasshopper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C.  Mosquito, butterfly, grasshopper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D.  Mosquito, butterfly, snail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C.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Mosquito, butterfly and grasshopper are insects with jointed legs, so they are Arthropoda. The snail and earthworm are neither Arthropoda nor Chordata. Chicken and lizard are Chordata.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OBSERVE PHASE — Part B: virus diagrams and reading, table of virus characteristics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Q5. Which statement correctly describes a virus?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A.  It has a nucleus and mitochondria, like the cells of a goat.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B.  It is a very small bacterium that divides on its own in soil.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C.  It is a non-cellular particle with a protein coat around DNA or RNA, and it reproduces only inside a host cell.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D.  It carries out respiration and growth by itself outside a host.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C.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Viruses have no cell structure and no nucleus or mitochondria. They have genetic material (DNA or RNA) inside a protein coat and can reproduce only inside a host cell.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EXPLAIN PHASE — CER: 'Is a virus a living organism?'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Q6. A learner claims that a virus is not a living organism. Which piece of evidence best supports this claim?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A.  A virus has genetic material, DNA or RNA.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B.  A virus can cause disease in maize and in people.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C.  A virus is very small.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D.  A virus has no cell structure and cannot reproduce or carry out metabolism outside a host cell.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D.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Living things show characteristics such as reproduction and metabolism on their own. A virus has no cells and depends on a host cell for these. Small size, causing disease and having genetic material do not show that something is non-living.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EXPLAIN PHASE — Teacher probe: correct the misconceptions 'viruses are tiny bacteria' and 'antibiotics kill viruses'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Q7. A health worker says that antibiotics will not cure measles. What is the correct reason?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A.  Measles is caused by a very large bacterium that resists antibiotics.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B.  Antibiotics only work on diseases of plants.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C.  Measles is not caused by any organism or particle.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D.  Measles is caused by a virus, which is not a bacterium, and antibiotics work against bacteria.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D.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Viruses are non-cellular particles that live and reproduce inside host cells, and they are not bacteria. Antibiotics target bacteria, so vaccines are used to prevent virus diseases like measles.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MODEL BUILDING PHASE — Revise the class model: add a box for viruses showing their importance in health, agriculture and biotechnology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Q8. Learners add a box for viruses to the class model. Which example shows a useful (beneficial) importance of viruses?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A.  Bacteriophages being used to attack harmful bacteria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B.  Cassava mosaic disease reducing cassava yields on Kenyan farms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C.  Foot and mouth disease in cattle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D.  Newcastle disease killing chickens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A.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Bacteriophages are viruses that infect and destroy bacteria, so they can be used against harmful bacteria. The other three examples are harmful viral diseases of crops and livestock.</w:t>
      </w:r>
    </w:p>
    <w:p>
      <w:pPr>
        <w:pBdr>
          <w:top w:val="single" w:color="BBBBBB" w:sz="4" w:space="4"/>
        </w:pBdr>
        <w:spacing w:before="300"/>
      </w:pPr>
      <w:r>
        <w:rPr>
          <w:rFonts w:ascii="Arial" w:cs="Arial" w:eastAsia="Arial" w:hAnsi="Arial"/>
          <w:color w:val="666666"/>
          <w:sz w:val="16"/>
          <w:szCs w:val="16"/>
        </w:rPr>
        <w:t xml:space="preserve">© 2026 SeaVuria and ARES. Aligned with KICD objectives. Developed by SeaVuria; technical implementation by ARES (with AI assistance from Claude). Licensed under </w:t>
      </w:r>
      <w:hyperlink w:history="1" r:id="rIddyylza70jbb-qotya1wxj">
        <w:r>
          <w:rPr>
            <w:rFonts w:ascii="Arial" w:cs="Arial" w:eastAsia="Arial" w:hAnsi="Arial"/>
            <w:color w:val="1F6B75"/>
            <w:sz w:val="16"/>
            <w:szCs w:val="16"/>
            <w:u w:val="single" w:color="1F6B75"/>
          </w:rPr>
          <w:t xml:space="preserve">CC BY-NC 4.0</w:t>
        </w:r>
      </w:hyperlink>
      <w:r>
        <w:rPr>
          <w:rFonts w:ascii="Arial" w:cs="Arial" w:eastAsia="Arial" w:hAnsi="Arial"/>
          <w:color w:val="666666"/>
          <w:sz w:val="16"/>
          <w:szCs w:val="16"/>
        </w:rPr>
        <w:t xml:space="preserve"> (</w:t>
      </w:r>
      <w:hyperlink w:history="1" r:id="rIdia83fyvbhwy6x_ytbqsvt">
        <w:r>
          <w:rPr>
            <w:rFonts w:ascii="Arial" w:cs="Arial" w:eastAsia="Arial" w:hAnsi="Arial"/>
            <w:color w:val="1F6B75"/>
            <w:sz w:val="16"/>
            <w:szCs w:val="16"/>
            <w:u w:val="single" w:color="1F6B75"/>
          </w:rPr>
          <w:t xml:space="preserve">https://creativecommons.org/licenses/by-nc/4.0/</w:t>
        </w:r>
      </w:hyperlink>
      <w:r>
        <w:rPr>
          <w:rFonts w:ascii="Arial" w:cs="Arial" w:eastAsia="Arial" w:hAnsi="Arial"/>
          <w:color w:val="666666"/>
          <w:sz w:val="16"/>
          <w:szCs w:val="16"/>
        </w:rPr>
        <w:t xml:space="preserve">).</w:t>
      </w:r>
    </w:p>
    <w:sectPr>
      <w:pgSz w:w="12240" w:h="15840" w:orient="portrait"/>
      <w:pgMar w:top="1080" w:right="1440" w:bottom="108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dyylza70jbb-qotya1wxj" Type="http://schemas.openxmlformats.org/officeDocument/2006/relationships/hyperlink" Target="https://creativecommons.org/licenses/by-nc/4.0/" TargetMode="External"/><Relationship Id="rIdia83fyvbhwy6x_ytbqsvt" Type="http://schemas.openxmlformats.org/officeDocument/2006/relationships/hyperlink" Target="https://creativecommons.org/licenses/by-nc/4.0/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2026-10-02T04:54:42.840Z</dcterms:created>
  <dcterms:modified xsi:type="dcterms:W3CDTF">2026-10-02T04:54:42.840Z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