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Predict and Name the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sine, cosine and tangent: Why does the tank method work at any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Complementary Angles: Why Does sin 20° Equal cos 70°?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Choosing the Right Ratio: Solving for Unknown Sides and the First Full Tank-Height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of Elevation and Building the Clinometer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Angle of Depression and Outdoor Measurement: Measuring the Flagpole at Kilimani Secondary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Multi-Step Problems and Error Analysis: Which Ratio Do I Choose?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Solving the Water Tank Problem: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oywves5p3_yhit-n3gb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3ofbwkkoeo0ct6r1io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retjv4alhokxrvhgxws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oywves5p3_yhit-n3gbz" Type="http://schemas.openxmlformats.org/officeDocument/2006/relationships/hyperlink" Target="https://creativecommons.org/licenses/by-nc/4.0/" TargetMode="External"/><Relationship Id="rIdb3ofbwkkoeo0ct6r1iopo" Type="http://schemas.openxmlformats.org/officeDocument/2006/relationships/hyperlink" Target="https://creativecommons.org/licenses/by-nc/4.0/" TargetMode="External"/><Relationship Id="rId2retjv4alhokxrvhgxws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2026-10-05T03:55:45.402Z</dcterms:created>
  <dcterms:modified xsi:type="dcterms:W3CDTF">2026-10-05T03:55:45.402Z</dcterms:modified>
</cp:coreProperties>
</file>

<file path=docProps/custom.xml><?xml version="1.0" encoding="utf-8"?>
<Properties xmlns="http://schemas.openxmlformats.org/officeDocument/2006/custom-properties" xmlns:vt="http://schemas.openxmlformats.org/officeDocument/2006/docPropsVTypes"/>
</file>