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Why Do Seeds Behave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Dormancy? Why Do Some Seeds Refuse to Wake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Does a Seed Need? Investigating the Conditions for Germination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Two Ways to Emerge: Epigeal and Hypogeal Germination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Getting Taller vs. Getting Thicker: Primary and Secondary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Chemical Messengers in Plants: Growth Hormones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Favouring Plant Growth: Environmental Influences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Synthesis, Cumulative Model Revision, and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gng8akdyd0wsx0vnpsj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ijjxijt8lcbteokyjhb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ytmci5pru7d_qrrwiyj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gng8akdyd0wsx0vnpsjk" Type="http://schemas.openxmlformats.org/officeDocument/2006/relationships/hyperlink" Target="https://creativecommons.org/licenses/by-nc/4.0/" TargetMode="External"/><Relationship Id="rIdwijjxijt8lcbteokyjhbs" Type="http://schemas.openxmlformats.org/officeDocument/2006/relationships/hyperlink" Target="https://creativecommons.org/licenses/by-nc/4.0/" TargetMode="External"/><Relationship Id="rId5ytmci5pru7d_qrrwiyj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2026-10-05T03:56:19.472Z</dcterms:created>
  <dcterms:modified xsi:type="dcterms:W3CDTF">2026-10-05T03:56:19.472Z</dcterms:modified>
</cp:coreProperties>
</file>

<file path=docProps/custom.xml><?xml version="1.0" encoding="utf-8"?>
<Properties xmlns="http://schemas.openxmlformats.org/officeDocument/2006/custom-properties" xmlns:vt="http://schemas.openxmlformats.org/officeDocument/2006/docPropsVTypes"/>
</file>