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CHEMISTRY GRADE 10</w:t>
      </w:r>
    </w:p>
    <w:p>
      <w:pPr>
        <w:spacing w:after="60" w:before="0"/>
        <w:jc w:val="center"/>
      </w:pPr>
      <w:r>
        <w:rPr>
          <w:rFonts w:ascii="Arial" w:cs="Arial" w:eastAsia="Arial" w:hAnsi="Arial"/>
          <w:b w:val="false"/>
          <w:bCs w:val="false"/>
          <w:i/>
          <w:iCs/>
          <w:color w:val="1F6B75"/>
          <w:sz w:val="22"/>
          <w:szCs w:val="22"/>
        </w:rPr>
        <w:t xml:space="preserve">Sub-Strand 1.4: Chemical Bonding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CHEMISTRY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Chemical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diamond and graphite — both made of only carbon atoms — have such completely different properties, and how does the way atoms bond together determine what a substance looks like, how it behaves, and what we can use it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The Carbon Paradox: Launching the Phenomenon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handled or viewed images of diamond (transparent, extremely hard, used in Nairobi jewellery shops and industrial drill bits) and graphite (grey, soft, slippery, used in pencil 'leads'). They recorded contrasting physical properties — hardness, colour, texture, conductivity — and noted the paradox that both substances are made of only carbon atoms.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and graphite are allotropes of carbon: same element, same atomic number (6), yet dramatically different physical properties. The difference cannot come from the atoms themselves — it must come from HOW those atoms are connected to each other. This launches the sub-strand's central question: bond arrangement, not atomic identity, governs a substance's properties.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intentionally light on answers — its purpose is to generate productive confusion and anchor all future learning to a concrete, memorable phenomenon. Resist the urge to explain bonding yet. Instead, cold-call 3–4 students to articulate what is puzzling them and record their questions on the Driving Question Board. The phrase 'same atoms, different arrangement' should be the only explanatory seed planted here.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Valence Electrons &amp; the Octet Rule: The Electron Bookkeeping Behind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period-table period numbers and group numbers to determine valence electron counts for H, C, N, O, Na, Mg, Cl, and Ar. They drew dot-and-cross (Lewis dot) diagrams for individual atoms and observed that noble gases (full outer shells) are chemically inert, while other atoms have incomplete outer shells.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Valence electrons — those in the outermost energy level — are the only electrons involved in bonding. Atoms bond in order to achieve a full outer shell: 8 electrons (the octet rule) for most elements, or 2 electrons (duplet rule) for hydrogen and helium. Carbon has exactly 4 valence electrons, giving it unique flexibility: it can form 4 bonds in multiple geometric arrangements — the root cause of the diamond–graphite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the octet rule is a useful model, not an absolute law (exceptions such as PCl₅ exist but are beyond Grade 10 scope). Use the carbon atom as the recurring anchor: ask students, 'If carbon has 4 valence electrons and needs 4 more to complete its octet, what are its bonding options?' Allow 30 seconds of wait time before cold-calling. This question should remain open and be revisited in Lessons 3, 4, and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Ionic Bonding: Electron Transfer and the Giant Ionic Structure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the properties of sodium chloride (table salt — familiar from salting ugali and nyama choma): white crystalline solid, high melting point, brittle when struck, conducts electricity only when dissolved in water or melted. They also observed the flame test colours for Na⁺ (yellow) and the vigorous reaction of sodium metal with water (teacher demonstration or video).</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Ionic bonds form when a metal atom transfers one or more valence electrons to a non-metal atom, forming oppositely charged ions held together by strong electrostatic attraction. NaCl forms a giant ionic lattice — a three-dimensional array of alternating Na⁺ and Cl⁻ ions. This lattice structure explains NaCl's high melting point (strong forces between many ions), brittleness (ion layers shift and like charges repel), and conductivity only in solution or melt (ions must be free to move). Ionic bonding is distinct from covalent bonding because electrons are transferred, not shared.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Contrast ionic bonding explicitly with what students will learn about carbon in Lessons 4 and 10. Ask: 'Carbon does NOT form ionic bonds in diamond or graphite — why not?' (Carbon is a non-metal and has equal electronegativity to itself, so electron transfer does not occur.) This keeps the driving question alive. Use dot-and-cross diagrams to show electron transfer for NaCl and MgO. Cold-call 2 students to explain why ionic compounds do not conduct in the solid state using particle-level reasoning.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Covalent &amp; Dative Covalent Bonding: Drawing Lewis Structures and Exploring Electron Sharing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drew Lewis (dot-and-cross) structures for H₂, Cl₂, H₂O, NH₃, CO₂, and CH₄. They observed that carbon in CH₄ forms exactly 4 shared pairs, achieving a full octet. They also examined the dative (coordinate) bond in NH₄⁺, where nitrogen donates both electrons of a lone pair to form a bond with H⁺.</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Covalent bonds form when two atoms share one or more pairs of electrons, with each atom typically contributing one electron to the shared pair. A dative (coordinate) covalent bond is a special case where one atom donates BOTH electrons of the shared pair. Bond order (single, double, triple) increases bond strength and decreases bond length. Carbon's 4 valence electrons allow it to form 4 covalent bonds — this flexibility is the foundation for understanding why diamond and graphite have different structures: both use covalent bonds, but the geometry and number of bonds per atom differ.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The critical pedagogical move here is to withhold the full diamond/graphite explanation. Students now know carbon forms 4 covalent bonds — but HOW those bonds are arranged in 3-D space is the key, which is addressed in Lessons 10 and 12. Pose the question: 'Carbon forms 4 covalent bonds in both diamond and graphite — so why are they different?' and add it to the Driving Question Board. Allow students to make predictions. This productive uncertainty deepens engagement with Lesson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Hydrogen Bonding &amp; Van der Waals Forces: Why Water Defies Expectation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compared the boiling points of H₂O (100 °C), H₂S (−60 °C), HCl (−85 °C), and CH₄ (−161 °C). They noted that water has an anomalously high boiling point relative to its molar mass. They also observed water's surface tension (a paper clip floating on water in a beaker — a familiar sight at Kenyan household water containers) and water's ability to dissolve ionic compounds like NaCl.</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Intermolecular forces are attractions between molecules, distinct from the covalent bonds within molecules. Van der Waals forces (London dispersion forces and permanent dipole–dipole interactions) are weak, temporary or permanent electrostatic attractions present in all molecules; they increase with molecular mass and surface area. Hydrogen bonds are a stronger type of intermolecular force that form when hydrogen is covalently bonded to a highly electronegative atom (N, O, or F) and is attracted to a lone pair on a neighbouring N, O, or F. Water's two O–H bonds and two lone pairs allow it to form an extensive hydrogen-bond network, explaining its high boiling point, high specific heat capacity, and role as the 'solvent of life' — critical for understanding Lake Victoria's climate-moderating effect.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Emphasise that hydrogen bonds are intermolecular (between molecules), NOT intramolecular (within a molecule) — this is a persistent student misconception. Use a think-pair-share: 'Why does water have a higher boiling point than hydrogen sulfide, even though H₂S has a greater molar mass?' Allow 60 seconds pair discussion before cold-calling. Connect to daily Kenyan life: the fact that uji (porridge) takes a long time to cool is partly due to water's high specific heat capacity, itself a consequence of hydrogen bonding.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Metallic Bonding: The Sea of Electrons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physical properties of metals available in the Kenyan context — iron (from a jua kali workshop tool), copper wire (from electrical wiring), aluminium foil (used to wrap nyama choma). They recorded that metals are lustrous, malleable, ductile, good conductors of heat and electricity, and generally have high melting points.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Metallic bonds form in solid metals when metal atoms release their valence electrons into a shared, delocalised 'sea of electrons' that surrounds a lattice of positive metal ions (cations). The strong electrostatic attraction between the positive ion lattice and the mobile electron sea accounts for metals' characteristic properties: high melting points (strong attraction throughout the lattice), electrical conductivity (free electrons carry charge), thermal conductivity (free electrons transfer kinetic energy), malleability and ductility (ion layers slide without breaking the non-directional metallic bond), and metallic lustre (free electrons absorb and re-emit light). Metallic bonding is a third distinct bond type alongside ionic and covalent — and like giant ionic and giant covalent structures, the giant metallic structure involves a vast 3-D lattice held together by strong forces throughout.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completes the trio of primary bond types (ionic, covalent, metallic) before students investigate physical properties experimentally in Lessons 7–8. Explicitly ask students to compare and contrast the 'sea of electrons' model with the ionic and covalent models they already know. A useful cold-call prompt: 'A copper wire conducts electricity — a giant ionic lattice of NaCl does not — use particle-level reasoning to explain why.' Wait 45 seconds before taking responses. Add to the Driving Question Board: 'How does the sea of electrons explain why we can bend a copper wire but not a salt crystal?'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Physical Properties Investigation — Part 1: Setup &amp; Prediction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were introduced to four substances to be investigated: NaCl (giant ionic), candle wax (simple molecular), sand/SiO₂ (giant covalent), and copper wire (giant metallic). They recorded initial observations (appearance, feel, colour) and made written predictions about each substance's melting point range (low/medium/high), solubility in water, and electrical conductivity in solid and dissolved states, justifying each prediction using their knowledge of bond types from Lessons 2–6.</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structural type — giant ionic, simple molecular, giant covalent, and giant metallic — has a characteristic pattern of physical properties that can be predicted from the nature and strength of the forces that must be overcome. Giant structures (ionic, covalent, metallic) all require breaking many strong bonds throughout a lattice and therefore have high melting points; simple molecular substances require only overcoming weak intermolecular forces and therefore have low melting points. Conductivity depends on the presence of freely moving charged particles — ions or electrons. Making and justifying predictions before collecting data is a core scientific practice.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a prediction-only lesson — data collection occurs in Lesson 8. The pedagogical value lies in students committing to written predictions with reasoning BEFORE they see results. This creates cognitive investment and makes discrepancies between prediction and observation more memorable. Circulate and check prediction tables; look for students who conflate 'melting the solid' with 'dissolving in water' for ionic compounds — this is a common misconception to address in Lesson 8. Do NOT correct predictions at this stage; allow the experiment to do that work.</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Physical Properties Investigation — Part 2: Data Collection (Solubility, Conductivity &amp; Melting Point)</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tested the four substances (NaCl, candle wax, SiO₂/sand, copper wire) for: (1) solubility in water, (2) electrical conductivity as a solid and in solution/melt using a simple circuit with a bulb or LED, and (3) relative melting behaviour using a hot-water bath or candle flame. They recorded results in a data table and compared findings with their Lesson 7 predictions.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Bond type determines physical properties in predictable ways: ionic compounds (NaCl) conduct only when dissolved or melted because ions become free to move; in the solid state, ions are fixed in the lattice. Simple molecular substances (candle wax) have low melting points because only weak van der Waals forces between molecules must be overcome; covalent bonds within molecules are not broken on melting. Giant covalent structures (SiO₂/sand) have very high melting points because every atom is held by strong covalent bonds throughout the lattice. Giant metallic structures (copper) conduct in both solid and liquid states because delocalised electrons are always free to move. These empirical patterns confirm and extend the theoretical models built in Lessons 3–6.</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After data collection, run a 'claim–evidence–reasoning' (CER) discussion: select 2–3 student groups to present one result each, explicitly naming the claim, their evidence, and the reasoning that connects evidence to claim. Pay particular attention to NaCl conductivity — many students predict it will conduct as a solid. Use this as a teachable moment: ask 'What would the ions need to do in order to carry charge, and can they do that in a rigid lattice?' Connect back to the driving question: 'We now have a tool — bond type predicts properties. How does this help us start explaining diamond vs. graphite?'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9</w:t>
            </w:r>
          </w:p>
          <w:p>
            <w:pPr>
              <w:spacing w:after="40" w:before="0"/>
              <w:jc w:val="left"/>
            </w:pPr>
            <w:r>
              <w:rPr>
                <w:rFonts w:ascii="Arial" w:cs="Arial" w:eastAsia="Arial" w:hAnsi="Arial"/>
                <w:b/>
                <w:bCs/>
                <w:i w:val="false"/>
                <w:iCs w:val="false"/>
                <w:color w:val="000000"/>
                <w:sz w:val="18"/>
                <w:szCs w:val="18"/>
              </w:rPr>
              <w:t xml:space="preserve">Giant Covalent Structures: Diamond, Graphite, and Silicon Dioxide in Depth</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diagrams and, where available, physical samples or 3-D model images of diamond, graphite, and SiO₂ (quartz/sand). They annotated diagrams to show bond angles (109.5° tetrahedral in diamond; 120° trigonal planar within graphite layers), the number of covalent bonds per carbon atom in each allotrope (4 in diamond; 3 in graphite, with 1 delocalised electron per atom), and the presence or absence of free electrons.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Diamond, graphite, and SiO₂ are all giant covalent structures — three-dimensional networks in which every atom is linked to its neighbours by strong covalent bonds — which is why they all have very high melting points and are insoluble in water. However, their internal geometries differ critically: in diamond, each carbon forms 4 tetrahedral covalent bonds to 4 neighbours, creating a rigid, isotropic 3-D lattice with no free electrons (hence non-conductive, hardest natural substance). In graphite, each carbon forms 3 bonds in a flat hexagonal layer; the 4th valence electron is delocalised across the layer (hence conducts electricity within layers). The weak van der Waals forces between graphite layers allow them to slide (hence soft, lubricating, and used in pencil leads). In SiO₂, each Si forms 4 bonds to O atoms — similar geometry to diamond, explaining its hardness and high melting point but non-conductivity.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is the conceptual resolution lesson for the driving question — students now have the full answer to the carbon paradox. Use a direct 'return to the phenomenon' moment: display the diamond and graphite images from Lesson 1 side by side and ask students to write a full explanation in their own words before class discussion. Cold-call 2 students to give their explanations; use peer critique ('What did they include? What could be added?'). Emphasise that both allotropes are 'giant covalent' but the 3-D geometry of bonds — not the bond type alone — determines the property differences. This is the sub-strand's central learning breakthrough.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10</w:t>
            </w:r>
          </w:p>
          <w:p>
            <w:pPr>
              <w:spacing w:after="40" w:before="0"/>
              <w:jc w:val="left"/>
            </w:pPr>
            <w:r>
              <w:rPr>
                <w:rFonts w:ascii="Arial" w:cs="Arial" w:eastAsia="Arial" w:hAnsi="Arial"/>
                <w:b/>
                <w:bCs/>
                <w:i w:val="false"/>
                <w:iCs w:val="false"/>
                <w:color w:val="000000"/>
                <w:sz w:val="18"/>
                <w:szCs w:val="18"/>
              </w:rPr>
              <w:t xml:space="preserve">Resultant Structures &amp; Uses: From Bond Type to Real-World Application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matched real-world materials and applications to their bond types and structural features: diamond (industrial drill bits used in Kenyan mining operations, gemstones), graphite (pencil leads, dry lubricants, electrodes in electrolysis), SiO₂ (glass, optical fibres for Nairobi's internet infrastructure, ceramic tiles), NaCl (food preservation of fish at Lake Victoria, saline drips in hospitals), copper (electrical wiring throughout Kenya's national grid), and simple molecular substances (iodine as antiseptic, candle wax, plastics).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material's real-world application is directly determined by its bond type and resultant structure: diamond's rigid tetrahedral lattice (no free electrons, no cleavage planes) makes it ideal for cutting and drilling; graphite's layered structure with delocalised electrons makes it an excellent lubricant and electrode; SiO₂'s giant covalent network gives glass and optical fibres their transparency and durability; NaCl's giant ionic lattice dissolves readily in water, enabling its use in food preservation and medicine; copper's metallic sea of electrons provides the conductivity and malleability needed for electrical wiring. The principle 'structure determines properties; properties determine use' is the master organising idea of the sub-strand.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is the 'payoff' for all prior content and should feel integrative and satisfying. A recommended activity is a 'Design a Material' challenge: give student pairs a real Kenyan engineering problem (e.g., 'A Rift Valley geothermal plant needs a material for high-temperature drill bits — what bond type and structure do you recommend, and why?') and have them justify their answer in writing. This develops both higher-order thinking and real-world relevance. Add the completed 'structure → properties → use' chain to the Driving Question Board as the sub-strand's master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11</w:t>
            </w:r>
          </w:p>
          <w:p>
            <w:pPr>
              <w:spacing w:after="40" w:before="0"/>
              <w:jc w:val="left"/>
            </w:pPr>
            <w:r>
              <w:rPr>
                <w:rFonts w:ascii="Arial" w:cs="Arial" w:eastAsia="Arial" w:hAnsi="Arial"/>
                <w:b/>
                <w:bCs/>
                <w:i w:val="false"/>
                <w:iCs w:val="false"/>
                <w:color w:val="000000"/>
                <w:sz w:val="18"/>
                <w:szCs w:val="18"/>
              </w:rPr>
              <w:t xml:space="preserve">Animations, Simulations &amp; Digital Literacy: Seeing Chemical Bonding in Motion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used digital simulations (PhET 'Build a Molecule', ARES platform animations, or teacher-projected 3-D models) to visualise the tetrahedral network of diamond, the layered hexagonal lattice of graphite, the ionic lattice of NaCl, and the electron-sea model of copper. They annotated screenshots or sketches with labels identifying bond type, geometry, and the structural feature that explains a key property.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Digital simulations and animations allow students to 'see' structural features that are impossible to observe directly — bond angles, lattice repeating units, electron delocalisation, and layer separation. Critically evaluating a simulation (identifying what it accurately models and what it simplifies or omits) is a scientific and digital literacy skill. For example, 3-D models of graphite show layers as perfectly flat and equidistant, whereas real graphite has slight interlayer disorder — the simulation is a useful approximation, not a perfect replica. Students practised cross-referencing simulation outputs with data tables from Lesson 8 to check for consistency.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For schools without reliable internet, pre-downloaded ARES platform animations or printed 3-D diagram sheets can replace live simulations. The key pedagogical goal is not technology use per se but the habit of triangulating multiple representations — diagram, simulation, physical data, and written explanation — as practised scientists do. Ask students: 'What does this simulation help you understand that a 2-D diagram cannot show?' Cold-call 2 students. Also prompt: 'What does the simulation NOT show that you would need to know to fully explain graphite's conductivity?' (Answer: it does not show electron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12</w:t>
            </w:r>
          </w:p>
          <w:p>
            <w:pPr>
              <w:spacing w:after="40" w:before="0"/>
              <w:jc w:val="left"/>
            </w:pPr>
            <w:r>
              <w:rPr>
                <w:rFonts w:ascii="Arial" w:cs="Arial" w:eastAsia="Arial" w:hAnsi="Arial"/>
                <w:b/>
                <w:bCs/>
                <w:i w:val="false"/>
                <w:iCs w:val="false"/>
                <w:color w:val="000000"/>
                <w:sz w:val="18"/>
                <w:szCs w:val="18"/>
              </w:rPr>
              <w:t xml:space="preserve">Project Lesson — 3-D Model Building: Bonding Structures with Locally Available Materials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physical 3-D models of assigned bonding structures (diamond, graphite, NaCl ionic lattice, or a simple molecular substance such as CH₄ or H₂O) using locally available materials: maize cobs or mandazi pieces as atoms, matchsticks or toothpicks as bonds, wire or string for metallic/delocalised electron representation. They measured or estimated bond angles in their models and presented them to the class.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three-dimensional geometry of chemical bonds — 109.5° tetrahedral in diamond and SiO₂, 120° trigonal planar within graphite layers — cannot be fully appreciated from 2-D diagrams alone. Building a physical model makes bond angles, coordination numbers, and spatial relationships tangible and memorable. Students also learned that all models are simplifications: a maize-cob-and-matchstick model cannot show electron density, bond polarity, or thermal vibration, and acknowledging a model's limitations is part of scientific modelling practice. Cross-group comparison of diamond and graphite models provided a final visual confirmation of the driving question's answer.</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Assign structures strategically — ensure at least two groups build diamond and two build graphite so a direct side-by-side comparison is possible during presentations. During the gallery walk or presentation phase, require each group to state: (1) the bond type in their structure, (2) one physical property their model helps explain, and (3) one real-world Kenyan use of the substance. This ties project work back to sub-strand learning goals. Assess models formatively using a simple three-point rubric: accuracy of geometry, correctness of bond type representation, and quality of oral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13</w:t>
            </w:r>
          </w:p>
          <w:p>
            <w:pPr>
              <w:spacing w:after="40" w:before="0"/>
              <w:jc w:val="left"/>
            </w:pPr>
            <w:r>
              <w:rPr>
                <w:rFonts w:ascii="Arial" w:cs="Arial" w:eastAsia="Arial" w:hAnsi="Arial"/>
                <w:b/>
                <w:bCs/>
                <w:i w:val="false"/>
                <w:iCs w:val="false"/>
                <w:color w:val="000000"/>
                <w:sz w:val="18"/>
                <w:szCs w:val="18"/>
              </w:rPr>
              <w:t xml:space="preserve">Sub-Strand Review &amp; Assessment: Consolidating the Carbon Paradox</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revisited the Driving Question Board compiled across all 12 previous lessons, reviewing how each posted question was eventually answered. They completed a structured sub-strand review activity — matching bond types to properties, explaining the diamond–graphite paradox in full written sentences, and evaluating a novel material (e.g., silicon carbide used in Kenyan solar panel components) by predicting its properties from its giant covalent structure.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major concepts of Sub-Strand 1.4 are now integrated into a coherent explanatory framework: bond type (ionic, covalent — including dative, hydrogen bonding, van der Waals, metallic) determines the resultant structure (giant ionic, simple molecular, giant covalent, giant metallic), which in turn determines physical properties (melting point, solubility, conductivity, hardness), which in turn determines real-world applications. The diamond–graphite paradox is fully explained: same atoms (carbon), same bond type (covalent), but different 3-D geometry (4 bonds tetrahedral vs. 3 bonds trigonal planar with delocalised electrons) produces entirely different properties and uses.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 This lesson serves as both consolidation and formative/summative assessment. The Driving Question Board review is a powerful metacognitive tool — walk through it chronologically with the class, asking 'Which lesson answered this question?' to make learning progression visible. For the novel-material transfer task (silicon carbide), do NOT pre-teach — the ability to apply the 'structure → properties → use' framework to an unfamiliar substance is the target competency for Grade 10 CBE. Collect written explanations as an assessment artefact. Celebrate students who can articulate that the sub-strand's answer is not just about carbon, but about a universal principle: arrangement of bonds determines the identity of a material.</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2026-07-30T21:33:07.677Z</dcterms:created>
  <dcterms:modified xsi:type="dcterms:W3CDTF">2026-07-30T21:33:07.677Z</dcterms:modified>
</cp:coreProperties>
</file>

<file path=docProps/custom.xml><?xml version="1.0" encoding="utf-8"?>
<Properties xmlns="http://schemas.openxmlformats.org/officeDocument/2006/custom-properties" xmlns:vt="http://schemas.openxmlformats.org/officeDocument/2006/docPropsVTypes"/>
</file>