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A3A6B"/>
          <w:sz w:val="36"/>
          <w:szCs w:val="36"/>
        </w:rPr>
        <w:t xml:space="preserve">TriGate-HDR: Gate-Partitioned Unified Radiance Energy for</w:t>
      </w:r>
    </w:p>
    <w:p>
      <w:pPr>
        <w:spacing w:after="120" w:before="0"/>
        <w:jc w:val="center"/>
      </w:pPr>
      <w:r>
        <w:rPr>
          <w:rFonts w:ascii="Times New Roman" w:cs="Times New Roman" w:eastAsia="Times New Roman" w:hAnsi="Times New Roman"/>
          <w:b/>
          <w:bCs/>
          <w:color w:val="1A3A6B"/>
          <w:sz w:val="36"/>
          <w:szCs w:val="36"/>
        </w:rPr>
        <w:t xml:space="preserve">Single-Image HDR Reconstruction via Cold and Generative Diffusion</w:t>
      </w:r>
    </w:p>
    <w:p>
      <w:pPr>
        <w:spacing w:after="60" w:before="60"/>
        <w:jc w:val="center"/>
      </w:pPr>
      <w:r>
        <w:rPr>
          <w:rFonts w:ascii="Times New Roman" w:cs="Times New Roman" w:eastAsia="Times New Roman" w:hAnsi="Times New Roman"/>
          <w:color w:val="888888"/>
          <w:sz w:val="22"/>
          <w:szCs w:val="22"/>
        </w:rPr>
        <w:t xml:space="preserve">Anonymous CVPR Submission</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ABSTRACT</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Single-image high dynamic range (HDR) reconstruction is a fundamentally ill-posed inverse problem where a single low dynamic range (LDR) photograph must yield a physically accurate radiance map across regions that are either saturated or severely underexposed. Prior work either addresses this through cascaded pipeline stages trained in isolation or through unified generative frameworks that apply a single prior uniformly across all exposure regimes. We argue that neither approach is optimal: isolated stages cannot jointly minimize a single coherent physical energy, while uniform generative models fail to respect the deterministic radiometric structure of well-exposed pixels.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We introduce TriGate-HDR, a framework built around the Gate-Partitioned Unified Radiance Energy (GPURE) objective that explicitly partitions the LDR input into three regions — trusted (well-exposed), clipped (saturated), and a seam band between them — and routes each region through a complementary generative path. The cold diffusion path (Path-C) applies an expansion-only Log-Radiance Cold Forward Process (LR-CFP) grounded in optical radiometry to trusted regions, while the generative diffusion path (Path-G) applies a masked InstructPix2Pix prior to clipped regions. A differentiable TriGateComposer and a seaming WGAN (Path-S) fuse the two paths and resolve boundary artifacts. All three paths are jointly optimized under a single partitioned variational energy L_GPURE that couples them through Exposure-Bracket Consistency (ECC) on seam bands and Radiometric Synapse Operators (RSO) at skip connections.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Our central theoretical contribution is that LR-CFP establishes a provably identifiable expansion field on trusted pixels under mild monotonicity assumptions, yielding a physically motivated cold forward process that is strictly more constrained than generic cold diffusion. RSO replaces conventional convolutional skip-fusion with a camera-response-aware depthwise Jacobian operator that encodes domain-specific radiometric knowledge. Experiments on HDR-Real, HDR-Eye, and AIM2025 benchmarks demonstrate that TriGate-HDR achieves competitive metrics against state-of-the-art single-image HDR methods while providing interpretable, physically grounded radiance partitioning that is not present in any prior framework.</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1. INTRODUCTION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Recovering a high dynamic range radiance map from a single low dynamic range photograph sits at the intersection of physics-based inversion and generative image synthesis. The difficulty is structural rather than merely statistical. A camera sensor clips all irradiance values above a saturation threshold to the same maximum digital code, permanently destroying the photon statistics for those pixels. In underexposed regions, quantization and noise corrupt the signal. These two failure modes have fundamentally different optimal treatments: saturated regions require synthesis of plausible radiance from scene context, while well-exposed regions admit a near-deterministic inversion of the camera response function (CRF) and tone curve. Most existing methods either apply a single learned prior uniformly across all regions, ignoring this structural dichotomy, or cascade separately trained modules without a coherent joint optimization objective.</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Feed-forward convolutional approaches such as FHDR </w:t>
      </w:r>
      <w:r>
        <w:rPr>
          <w:rFonts w:ascii="Times New Roman" w:cs="Times New Roman" w:eastAsia="Times New Roman" w:hAnsi="Times New Roman"/>
          <w:b w:val="false"/>
          <w:bCs w:val="false"/>
          <w:i/>
          <w:iCs/>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and SingleHDR </w:t>
      </w:r>
      <w:r>
        <w:rPr>
          <w:rFonts w:ascii="Times New Roman" w:cs="Times New Roman" w:eastAsia="Times New Roman" w:hAnsi="Times New Roman"/>
          <w:b w:val="false"/>
          <w:bCs w:val="false"/>
          <w:i/>
          <w:iCs/>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model HDR reconstruction as a direct regression and enforce no radiometric structure beyond pixel-wise loss. Diffusion-based methods including LEDiff </w:t>
      </w:r>
      <w:r>
        <w:rPr>
          <w:rFonts w:ascii="Times New Roman" w:cs="Times New Roman" w:eastAsia="Times New Roman" w:hAnsi="Times New Roman"/>
          <w:b w:val="false"/>
          <w:bCs w:val="false"/>
          <w:i/>
          <w:iCs/>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and the very recent ExpoCM </w:t>
      </w:r>
      <w:r>
        <w:rPr>
          <w:rFonts w:ascii="Times New Roman" w:cs="Times New Roman" w:eastAsia="Times New Roman" w:hAnsi="Times New Roman"/>
          <w:b w:val="false"/>
          <w:bCs w:val="false"/>
          <w:i/>
          <w:iCs/>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bring generative priors that substantially improve perceptual quality in saturated highlights, yet they apply the same stochastic sampling process to well-exposed pixels where the inverse problem is essentially deterministic, introducing unnecessary variance and potentially violating physical consistency.</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We identify the core failure mode as a </w:t>
      </w:r>
      <w:r>
        <w:rPr>
          <w:rFonts w:ascii="Times New Roman" w:cs="Times New Roman" w:eastAsia="Times New Roman" w:hAnsi="Times New Roman"/>
          <w:b w:val="false"/>
          <w:bCs w:val="false"/>
          <w:i/>
          <w:iCs/>
          <w:color w:val="000000"/>
          <w:sz w:val="22"/>
          <w:szCs w:val="22"/>
        </w:rPr>
        <w:t xml:space="preserve">regime conflation</w:t>
      </w:r>
      <w:r>
        <w:rPr>
          <w:rFonts w:ascii="Times New Roman" w:cs="Times New Roman" w:eastAsia="Times New Roman" w:hAnsi="Times New Roman"/>
          <w:b w:val="false"/>
          <w:bCs w:val="false"/>
          <w:i w:val="false"/>
          <w:iCs w:val="false"/>
          <w:color w:val="000000"/>
          <w:sz w:val="22"/>
          <w:szCs w:val="22"/>
        </w:rPr>
        <w:t xml:space="preserve"> problem: applying a single generative objective uniformly across exposure regimes conflates a well-conditioned regression problem (trusted pixels) with a genuinely generative one (clipped pixels). Our answer is to explicitly decompose the LDR image into a trust-gated partition and assign each regime its own physically appropriate operator, while coupling all operators under one joint variational energy so that gradients flow coherently.</w:t>
      </w:r>
    </w:p>
    <w:p>
      <w:pPr>
        <w:pStyle w:val="Heading2"/>
        <w:spacing w:after="80" w:before="180"/>
      </w:pPr>
      <w:r>
        <w:rPr>
          <w:rFonts w:ascii="Times New Roman" w:cs="Times New Roman" w:eastAsia="Times New Roman" w:hAnsi="Times New Roman"/>
          <w:b/>
          <w:bCs/>
          <w:color w:val="1A3A6B"/>
          <w:sz w:val="22"/>
          <w:szCs w:val="22"/>
        </w:rPr>
        <w:t xml:space="preserve">1.1 Contributions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key contributions of this work are as follows. First, we introduce the </w:t>
      </w:r>
      <w:r>
        <w:rPr>
          <w:rFonts w:ascii="Times New Roman" w:cs="Times New Roman" w:eastAsia="Times New Roman" w:hAnsi="Times New Roman"/>
          <w:b/>
          <w:bCs/>
          <w:i w:val="false"/>
          <w:iCs w:val="false"/>
          <w:color w:val="000000"/>
          <w:sz w:val="22"/>
          <w:szCs w:val="22"/>
        </w:rPr>
        <w:t xml:space="preserve">Gate-Partitioned Unified Radiance Energy (GPURE)</w:t>
      </w:r>
      <w:r>
        <w:rPr>
          <w:rFonts w:ascii="Times New Roman" w:cs="Times New Roman" w:eastAsia="Times New Roman" w:hAnsi="Times New Roman"/>
          <w:b w:val="false"/>
          <w:bCs w:val="false"/>
          <w:i w:val="false"/>
          <w:iCs w:val="false"/>
          <w:color w:val="000000"/>
          <w:sz w:val="22"/>
          <w:szCs w:val="22"/>
        </w:rPr>
        <w:t xml:space="preserve"> framework, which, to our knowledge, is the first HDR reconstruction formulation to unify a cold diffusion radiometric path and a masked generative diffusion path under a single differentiable variational objective. Second, we derive the </w:t>
      </w:r>
      <w:r>
        <w:rPr>
          <w:rFonts w:ascii="Times New Roman" w:cs="Times New Roman" w:eastAsia="Times New Roman" w:hAnsi="Times New Roman"/>
          <w:b/>
          <w:bCs/>
          <w:i w:val="false"/>
          <w:iCs w:val="false"/>
          <w:color w:val="000000"/>
          <w:sz w:val="22"/>
          <w:szCs w:val="22"/>
        </w:rPr>
        <w:t xml:space="preserve">Log-Radiance Cold Forward Process (LR-CFP)</w:t>
      </w:r>
      <w:r>
        <w:rPr>
          <w:rFonts w:ascii="Times New Roman" w:cs="Times New Roman" w:eastAsia="Times New Roman" w:hAnsi="Times New Roman"/>
          <w:b w:val="false"/>
          <w:bCs w:val="false"/>
          <w:i w:val="false"/>
          <w:iCs w:val="false"/>
          <w:color w:val="000000"/>
          <w:sz w:val="22"/>
          <w:szCs w:val="22"/>
        </w:rPr>
        <w:t xml:space="preserve"> and provide a formal identifiability theorem showing that the expansion latent field on trusted pixels is uniquely determined from paired HDR–LDR data under mild monotonicity assumptions, establishing a stronger theoretical foundation than generic cold diffusion. Third, we propose </w:t>
      </w:r>
      <w:r>
        <w:rPr>
          <w:rFonts w:ascii="Times New Roman" w:cs="Times New Roman" w:eastAsia="Times New Roman" w:hAnsi="Times New Roman"/>
          <w:b/>
          <w:bCs/>
          <w:i w:val="false"/>
          <w:iCs w:val="false"/>
          <w:color w:val="000000"/>
          <w:sz w:val="22"/>
          <w:szCs w:val="22"/>
        </w:rPr>
        <w:t xml:space="preserve">Radiometric Synapse Operators (RSO)</w:t>
      </w:r>
      <w:r>
        <w:rPr>
          <w:rFonts w:ascii="Times New Roman" w:cs="Times New Roman" w:eastAsia="Times New Roman" w:hAnsi="Times New Roman"/>
          <w:b w:val="false"/>
          <w:bCs w:val="false"/>
          <w:i w:val="false"/>
          <w:iCs w:val="false"/>
          <w:color w:val="000000"/>
          <w:sz w:val="22"/>
          <w:szCs w:val="22"/>
        </w:rPr>
        <w:t xml:space="preserve"> as camera-response-informed skip-level fusion modules that replace generic convolutional gates with physically meaningful log-ratio operators, making the skip fusion interpretable in terms of the CRF. Fourth, we introduce </w:t>
      </w:r>
      <w:r>
        <w:rPr>
          <w:rFonts w:ascii="Times New Roman" w:cs="Times New Roman" w:eastAsia="Times New Roman" w:hAnsi="Times New Roman"/>
          <w:b/>
          <w:bCs/>
          <w:i w:val="false"/>
          <w:iCs w:val="false"/>
          <w:color w:val="000000"/>
          <w:sz w:val="22"/>
          <w:szCs w:val="22"/>
        </w:rPr>
        <w:t xml:space="preserve">Exposure-Bracket Consistency (ECC)</w:t>
      </w:r>
      <w:r>
        <w:rPr>
          <w:rFonts w:ascii="Times New Roman" w:cs="Times New Roman" w:eastAsia="Times New Roman" w:hAnsi="Times New Roman"/>
          <w:b w:val="false"/>
          <w:bCs w:val="false"/>
          <w:i w:val="false"/>
          <w:iCs w:val="false"/>
          <w:color w:val="000000"/>
          <w:sz w:val="22"/>
          <w:szCs w:val="22"/>
        </w:rPr>
        <w:t xml:space="preserve"> as a seam-band coupling loss that enforces photometric consistency between Path-G and Path-C along clipping boundaries, mitigating seam artifacts without a separate alignment stage. Fifth, we present a three-phase joint training procedure (warmup, joint, seam) that efficiently bootstraps from independently pretrained cold and generative models.</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2. RELATED WORK</w:t>
      </w:r>
    </w:p>
    <w:p>
      <w:pPr>
        <w:pStyle w:val="Heading2"/>
        <w:spacing w:after="80" w:before="180"/>
      </w:pPr>
      <w:r>
        <w:rPr>
          <w:rFonts w:ascii="Times New Roman" w:cs="Times New Roman" w:eastAsia="Times New Roman" w:hAnsi="Times New Roman"/>
          <w:b/>
          <w:bCs/>
          <w:color w:val="1A3A6B"/>
          <w:sz w:val="22"/>
          <w:szCs w:val="22"/>
        </w:rPr>
        <w:t xml:space="preserve">2.1 Single-Image HDR Reconstruction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problem of reconstructing a high dynamic range image from a single low dynamic range exposure has a long history stretching back to Debevec and Malik's radiometric calibration work </w:t>
      </w:r>
      <w:r>
        <w:rPr>
          <w:rFonts w:ascii="Times New Roman" w:cs="Times New Roman" w:eastAsia="Times New Roman" w:hAnsi="Times New Roman"/>
          <w:b w:val="false"/>
          <w:bCs w:val="false"/>
          <w:i/>
          <w:iCs/>
          <w:color w:val="000000"/>
          <w:sz w:val="22"/>
          <w:szCs w:val="22"/>
        </w:rPr>
        <w:t xml:space="preserve">[5]</w:t>
      </w:r>
      <w:r>
        <w:rPr>
          <w:rFonts w:ascii="Times New Roman" w:cs="Times New Roman" w:eastAsia="Times New Roman" w:hAnsi="Times New Roman"/>
          <w:b w:val="false"/>
          <w:bCs w:val="false"/>
          <w:i w:val="false"/>
          <w:iCs w:val="false"/>
          <w:color w:val="000000"/>
          <w:sz w:val="22"/>
          <w:szCs w:val="22"/>
        </w:rPr>
        <w:t xml:space="preserve">. Early deep learning approaches, most notably the HDRCNN of Eilertsen et al. </w:t>
      </w:r>
      <w:r>
        <w:rPr>
          <w:rFonts w:ascii="Times New Roman" w:cs="Times New Roman" w:eastAsia="Times New Roman" w:hAnsi="Times New Roman"/>
          <w:b w:val="false"/>
          <w:bCs w:val="false"/>
          <w:i/>
          <w:iCs/>
          <w:color w:val="000000"/>
          <w:sz w:val="22"/>
          <w:szCs w:val="22"/>
        </w:rPr>
        <w:t xml:space="preserve">[6]</w:t>
      </w:r>
      <w:r>
        <w:rPr>
          <w:rFonts w:ascii="Times New Roman" w:cs="Times New Roman" w:eastAsia="Times New Roman" w:hAnsi="Times New Roman"/>
          <w:b w:val="false"/>
          <w:bCs w:val="false"/>
          <w:i w:val="false"/>
          <w:iCs w:val="false"/>
          <w:color w:val="000000"/>
          <w:sz w:val="22"/>
          <w:szCs w:val="22"/>
        </w:rPr>
        <w:t xml:space="preserve">, used convolutional encoders to hallucinate luminance content in saturated regions, framing the problem as masked inpainting in log-luminance space. Liu et al.'s SingleHDR </w:t>
      </w:r>
      <w:r>
        <w:rPr>
          <w:rFonts w:ascii="Times New Roman" w:cs="Times New Roman" w:eastAsia="Times New Roman" w:hAnsi="Times New Roman"/>
          <w:b w:val="false"/>
          <w:bCs w:val="false"/>
          <w:i/>
          <w:iCs/>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decomposed the LDR pipeline into three sequential sub-networks — dequantization, linearization, and hallucination — and jointly fine-tuned them end-to-end. The FHDR framework of Khan et al. </w:t>
      </w:r>
      <w:r>
        <w:rPr>
          <w:rFonts w:ascii="Times New Roman" w:cs="Times New Roman" w:eastAsia="Times New Roman" w:hAnsi="Times New Roman"/>
          <w:b w:val="false"/>
          <w:bCs w:val="false"/>
          <w:i/>
          <w:iCs/>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introduced a feedback recurrent structure that progressively refines coarse-to-fine HDR estimates over multiple iterations. Santos et al. </w:t>
      </w:r>
      <w:r>
        <w:rPr>
          <w:rFonts w:ascii="Times New Roman" w:cs="Times New Roman" w:eastAsia="Times New Roman" w:hAnsi="Times New Roman"/>
          <w:b w:val="false"/>
          <w:bCs w:val="false"/>
          <w:i/>
          <w:iCs/>
          <w:color w:val="000000"/>
          <w:sz w:val="22"/>
          <w:szCs w:val="22"/>
        </w:rPr>
        <w:t xml:space="preserve">[7]</w:t>
      </w:r>
      <w:r>
        <w:rPr>
          <w:rFonts w:ascii="Times New Roman" w:cs="Times New Roman" w:eastAsia="Times New Roman" w:hAnsi="Times New Roman"/>
          <w:b w:val="false"/>
          <w:bCs w:val="false"/>
          <w:i w:val="false"/>
          <w:iCs w:val="false"/>
          <w:color w:val="000000"/>
          <w:sz w:val="22"/>
          <w:szCs w:val="22"/>
        </w:rPr>
        <w:t xml:space="preserve"> combined masked feature learning with VGG-based perceptual losses to better recover fine details in saturated highlights. Barua et al.'s ArtHDR-Net </w:t>
      </w:r>
      <w:r>
        <w:rPr>
          <w:rFonts w:ascii="Times New Roman" w:cs="Times New Roman" w:eastAsia="Times New Roman" w:hAnsi="Times New Roman"/>
          <w:b w:val="false"/>
          <w:bCs w:val="false"/>
          <w:i/>
          <w:iCs/>
          <w:color w:val="000000"/>
          <w:sz w:val="22"/>
          <w:szCs w:val="22"/>
        </w:rPr>
        <w:t xml:space="preserve">[8]</w:t>
      </w:r>
      <w:r>
        <w:rPr>
          <w:rFonts w:ascii="Times New Roman" w:cs="Times New Roman" w:eastAsia="Times New Roman" w:hAnsi="Times New Roman"/>
          <w:b w:val="false"/>
          <w:bCs w:val="false"/>
          <w:i w:val="false"/>
          <w:iCs w:val="false"/>
          <w:color w:val="000000"/>
          <w:sz w:val="22"/>
          <w:szCs w:val="22"/>
        </w:rPr>
        <w:t xml:space="preserve"> and HistoHDR-Net </w:t>
      </w:r>
      <w:r>
        <w:rPr>
          <w:rFonts w:ascii="Times New Roman" w:cs="Times New Roman" w:eastAsia="Times New Roman" w:hAnsi="Times New Roman"/>
          <w:b w:val="false"/>
          <w:bCs w:val="false"/>
          <w:i/>
          <w:iCs/>
          <w:color w:val="000000"/>
          <w:sz w:val="22"/>
          <w:szCs w:val="22"/>
        </w:rPr>
        <w:t xml:space="preserve">[9]</w:t>
      </w:r>
      <w:r>
        <w:rPr>
          <w:rFonts w:ascii="Times New Roman" w:cs="Times New Roman" w:eastAsia="Times New Roman" w:hAnsi="Times New Roman"/>
          <w:b w:val="false"/>
          <w:bCs w:val="false"/>
          <w:i w:val="false"/>
          <w:iCs w:val="false"/>
          <w:color w:val="000000"/>
          <w:sz w:val="22"/>
          <w:szCs w:val="22"/>
        </w:rPr>
        <w:t xml:space="preserve"> emphasized perceptual quality and histogram-based conditioning respectively. While all of these methods achieve competitive pixel-wise metrics, they apply a single feedforward pass uniformly across all exposure regimes and thus treat the deterministic trusted-pixel inversion and the generative saturated-pixel synthesis as instances of the same regression problem.</w:t>
      </w:r>
    </w:p>
    <w:p>
      <w:pPr>
        <w:pStyle w:val="Heading2"/>
        <w:spacing w:after="80" w:before="180"/>
      </w:pPr>
      <w:r>
        <w:rPr>
          <w:rFonts w:ascii="Times New Roman" w:cs="Times New Roman" w:eastAsia="Times New Roman" w:hAnsi="Times New Roman"/>
          <w:b/>
          <w:bCs/>
          <w:color w:val="1A3A6B"/>
          <w:sz w:val="22"/>
          <w:szCs w:val="22"/>
        </w:rPr>
        <w:t xml:space="preserve">2.2 Diffusion-Based HDR Methods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recent surge in diffusion models has spurred a new generation of HDR reconstruction methods that leverage powerful generative priors. LEDiff (Wang et al., 2024) </w:t>
      </w:r>
      <w:r>
        <w:rPr>
          <w:rFonts w:ascii="Times New Roman" w:cs="Times New Roman" w:eastAsia="Times New Roman" w:hAnsi="Times New Roman"/>
          <w:b w:val="false"/>
          <w:bCs w:val="false"/>
          <w:i/>
          <w:iCs/>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adapts a pretrained latent diffusion model to HDR generation by fusing exposure-bracket latent codes with a fine-tuned VAE decoder that supports linear HDR output. Bracket Diffusion-style approaches </w:t>
      </w:r>
      <w:r>
        <w:rPr>
          <w:rFonts w:ascii="Times New Roman" w:cs="Times New Roman" w:eastAsia="Times New Roman" w:hAnsi="Times New Roman"/>
          <w:b w:val="false"/>
          <w:bCs w:val="false"/>
          <w:i/>
          <w:iCs/>
          <w:color w:val="000000"/>
          <w:sz w:val="22"/>
          <w:szCs w:val="22"/>
        </w:rPr>
        <w:t xml:space="preserve">[10]</w:t>
      </w:r>
      <w:r>
        <w:rPr>
          <w:rFonts w:ascii="Times New Roman" w:cs="Times New Roman" w:eastAsia="Times New Roman" w:hAnsi="Times New Roman"/>
          <w:b w:val="false"/>
          <w:bCs w:val="false"/>
          <w:i w:val="false"/>
          <w:iCs w:val="false"/>
          <w:color w:val="000000"/>
          <w:sz w:val="22"/>
          <w:szCs w:val="22"/>
        </w:rPr>
        <w:t xml:space="preserve"> apply DDPM-like consistency across multiple synthetic exposures derived from the single LDR input, providing exposure diversity through re-rendering rather than multi-shot capture. The concurrent ExpoCM </w:t>
      </w:r>
      <w:r>
        <w:rPr>
          <w:rFonts w:ascii="Times New Roman" w:cs="Times New Roman" w:eastAsia="Times New Roman" w:hAnsi="Times New Roman"/>
          <w:b w:val="false"/>
          <w:bCs w:val="false"/>
          <w:i/>
          <w:iCs/>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is the closest prior work to our framework: it constructs exposure-aware consistency trajectories via a Probability Flow ODE and a soft exposure mask that partitions the LDR image into over-, under-, and well-exposed regions, then applies region-conditioned hallucination within a distillation-free one-step model. Our work differs from ExpoCM in three fundamental ways. Where ExpoCM applies a single generative ODE conditioned on the exposure mask, GPURE routes distinct complementary generators — a cold radiometric path and a generative diffusion path — through physically motivated skip operators. ExpoCM uses Gaussian diffusion noise throughout; GPURE's cold path applies deterministic LDR-anchored corruption restricted to the expansion latent component, exploiting the known LDR observation as a structural anchor. Finally, ExpoCM's exposure partitioning is a soft conditioning mechanism for one generator; GPURE's gate partition determines which generator has gradient ownership over which pixel region.</w:t>
      </w:r>
    </w:p>
    <w:p>
      <w:pPr>
        <w:pStyle w:val="Heading2"/>
        <w:spacing w:after="80" w:before="180"/>
      </w:pPr>
      <w:r>
        <w:rPr>
          <w:rFonts w:ascii="Times New Roman" w:cs="Times New Roman" w:eastAsia="Times New Roman" w:hAnsi="Times New Roman"/>
          <w:b/>
          <w:bCs/>
          <w:color w:val="1A3A6B"/>
          <w:sz w:val="22"/>
          <w:szCs w:val="22"/>
        </w:rPr>
        <w:t xml:space="preserve">2.3 Cold Diffusion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Cold diffusion was introduced by Bansal et al. </w:t>
      </w:r>
      <w:r>
        <w:rPr>
          <w:rFonts w:ascii="Times New Roman" w:cs="Times New Roman" w:eastAsia="Times New Roman" w:hAnsi="Times New Roman"/>
          <w:b w:val="false"/>
          <w:bCs w:val="false"/>
          <w:i/>
          <w:iCs/>
          <w:color w:val="000000"/>
          <w:sz w:val="22"/>
          <w:szCs w:val="22"/>
        </w:rPr>
        <w:t xml:space="preserve">[11]</w:t>
      </w:r>
      <w:r>
        <w:rPr>
          <w:rFonts w:ascii="Times New Roman" w:cs="Times New Roman" w:eastAsia="Times New Roman" w:hAnsi="Times New Roman"/>
          <w:b w:val="false"/>
          <w:bCs w:val="false"/>
          <w:i w:val="false"/>
          <w:iCs w:val="false"/>
          <w:color w:val="000000"/>
          <w:sz w:val="22"/>
          <w:szCs w:val="22"/>
        </w:rPr>
        <w:t xml:space="preserve"> as a generalization of the diffusion paradigm that replaces Gaussian noise with arbitrary deterministic corruptions — blurring, snowification, inpainting masks — and shows that valid generative models can be built on any such forward process. The key insight is that the model's generative behavior does not strongly depend on the specific choice of corruption as long as the reverse process is trained consistently with it. LR-CFP is a new member of this family: the corruption is LDR-clip blending restricted to the expansion latent, operating in log-radiance space. Unlike generic cold diffusion, LR-CFP comes with domain-specific constraints — monotonicity of the lift map, trust-gate partitioning, and optical calibration — that together yield the identifiability theorem in Section 4.3. Reti-Diff </w:t>
      </w:r>
      <w:r>
        <w:rPr>
          <w:rFonts w:ascii="Times New Roman" w:cs="Times New Roman" w:eastAsia="Times New Roman" w:hAnsi="Times New Roman"/>
          <w:b w:val="false"/>
          <w:bCs w:val="false"/>
          <w:i/>
          <w:iCs/>
          <w:color w:val="000000"/>
          <w:sz w:val="22"/>
          <w:szCs w:val="22"/>
        </w:rPr>
        <w:t xml:space="preserve">[12]</w:t>
      </w:r>
      <w:r>
        <w:rPr>
          <w:rFonts w:ascii="Times New Roman" w:cs="Times New Roman" w:eastAsia="Times New Roman" w:hAnsi="Times New Roman"/>
          <w:b w:val="false"/>
          <w:bCs w:val="false"/>
          <w:i w:val="false"/>
          <w:iCs w:val="false"/>
          <w:color w:val="000000"/>
          <w:sz w:val="22"/>
          <w:szCs w:val="22"/>
        </w:rPr>
        <w:t xml:space="preserve"> applies a Retinex-based latent diffusion framework to illumination-degraded image restoration and similarly separates a reflectance prior from an illumination correction objective in latent space. GPURE differs in that it targets radiance expansion (HDR dynamic range recovery) rather than reflectance normalization, and the two paths are complementary generators rather than a single DM with decomposed input.</w:t>
      </w:r>
    </w:p>
    <w:p>
      <w:pPr>
        <w:pStyle w:val="Heading2"/>
        <w:spacing w:after="80" w:before="180"/>
      </w:pPr>
      <w:r>
        <w:rPr>
          <w:rFonts w:ascii="Times New Roman" w:cs="Times New Roman" w:eastAsia="Times New Roman" w:hAnsi="Times New Roman"/>
          <w:b/>
          <w:bCs/>
          <w:color w:val="1A3A6B"/>
          <w:sz w:val="22"/>
          <w:szCs w:val="22"/>
        </w:rPr>
        <w:t xml:space="preserve">2.4 Instruction-Guided Latent Diffusion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InstructPix2Pix (Brooks et al., 2023) </w:t>
      </w:r>
      <w:r>
        <w:rPr>
          <w:rFonts w:ascii="Times New Roman" w:cs="Times New Roman" w:eastAsia="Times New Roman" w:hAnsi="Times New Roman"/>
          <w:b w:val="false"/>
          <w:bCs w:val="false"/>
          <w:i/>
          <w:iCs/>
          <w:color w:val="000000"/>
          <w:sz w:val="22"/>
          <w:szCs w:val="22"/>
        </w:rPr>
        <w:t xml:space="preserve">[13]</w:t>
      </w:r>
      <w:r>
        <w:rPr>
          <w:rFonts w:ascii="Times New Roman" w:cs="Times New Roman" w:eastAsia="Times New Roman" w:hAnsi="Times New Roman"/>
          <w:b w:val="false"/>
          <w:bCs w:val="false"/>
          <w:i w:val="false"/>
          <w:iCs w:val="false"/>
          <w:color w:val="000000"/>
          <w:sz w:val="22"/>
          <w:szCs w:val="22"/>
        </w:rPr>
        <w:t xml:space="preserve"> introduced the paradigm of conditioning a pretrained latent diffusion model on both an input image and a textual editing instruction, enabling general-purpose image editing from paired synthetic training data. In TriGate-HDR's Stage 1 (Path-G), we fine-tune InstructPix2Pix with LoRA adapters and a set of TriGate conditioning encoders that inject material, structural, semantic, and mask features into the image latents. This grounds the generative hallucination in spatial structure derived from the LDR input, reducing ungrounded hallucination artifacts in clipped regions.</w:t>
      </w:r>
    </w:p>
    <w:p>
      <w:pPr>
        <w:pStyle w:val="Heading2"/>
        <w:spacing w:after="80" w:before="180"/>
      </w:pPr>
      <w:r>
        <w:rPr>
          <w:rFonts w:ascii="Times New Roman" w:cs="Times New Roman" w:eastAsia="Times New Roman" w:hAnsi="Times New Roman"/>
          <w:b/>
          <w:bCs/>
          <w:color w:val="1A3A6B"/>
          <w:sz w:val="22"/>
          <w:szCs w:val="22"/>
        </w:rPr>
        <w:t xml:space="preserve">2.5 GAN-Based Seam Refinement</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Compositing-based HDR methods that paste independently generated content into a base image face seam artifacts at paste boundaries. While most methods apply simple alpha blending or morphological smoothing, we argue that a learned adversarial refiner with mask-gated attention is necessary to propagate context across the seam band. Our Stage 3 Seaming WGAN draws on the Wasserstein GAN with gradient penalty (WGAN-GP) </w:t>
      </w:r>
      <w:r>
        <w:rPr>
          <w:rFonts w:ascii="Times New Roman" w:cs="Times New Roman" w:eastAsia="Times New Roman" w:hAnsi="Times New Roman"/>
          <w:b w:val="false"/>
          <w:bCs w:val="false"/>
          <w:i/>
          <w:iCs/>
          <w:color w:val="000000"/>
          <w:sz w:val="22"/>
          <w:szCs w:val="22"/>
        </w:rPr>
        <w:t xml:space="preserve">[14]</w:t>
      </w:r>
      <w:r>
        <w:rPr>
          <w:rFonts w:ascii="Times New Roman" w:cs="Times New Roman" w:eastAsia="Times New Roman" w:hAnsi="Times New Roman"/>
          <w:b w:val="false"/>
          <w:bCs w:val="false"/>
          <w:i w:val="false"/>
          <w:iCs w:val="false"/>
          <w:color w:val="000000"/>
          <w:sz w:val="22"/>
          <w:szCs w:val="22"/>
        </w:rPr>
        <w:t xml:space="preserve"> framework with a dual-head PatchGAN discriminator </w:t>
      </w:r>
      <w:r>
        <w:rPr>
          <w:rFonts w:ascii="Times New Roman" w:cs="Times New Roman" w:eastAsia="Times New Roman" w:hAnsi="Times New Roman"/>
          <w:b w:val="false"/>
          <w:bCs w:val="false"/>
          <w:i/>
          <w:iCs/>
          <w:color w:val="000000"/>
          <w:sz w:val="22"/>
          <w:szCs w:val="22"/>
        </w:rPr>
        <w:t xml:space="preserve">[15]</w:t>
      </w:r>
      <w:r>
        <w:rPr>
          <w:rFonts w:ascii="Times New Roman" w:cs="Times New Roman" w:eastAsia="Times New Roman" w:hAnsi="Times New Roman"/>
          <w:b w:val="false"/>
          <w:bCs w:val="false"/>
          <w:i w:val="false"/>
          <w:iCs w:val="false"/>
          <w:color w:val="000000"/>
          <w:sz w:val="22"/>
          <w:szCs w:val="22"/>
        </w:rPr>
        <w:t xml:space="preserve"> that separately evaluates global coherence and local seam quality. The mask-gated self-attention in each seam block is inspired by the observation that standard residual refiners without explicit spatial masking tend to over-smooth across the entire image rather than localizing corrections to the seam neighborhood.</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3. METHOD</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TriGate-HDR is a three-path HDR reconstruction framework jointly optimized under the GPURE variational energy. The three paths — Path-C (cold radiometric), Path-G (generative diffusion), and Path-S (seam adversarial) — each address a structurally distinct regime of the LDR-to-HDR inverse problem, and they are coupled through a differentiable composition operator and a set of physical consistency losses. This section describes the problem formulation, the gate partition, and each path in detail before presenting the unified training objective.</w:t>
      </w:r>
    </w:p>
    <w:p>
      <w:pPr>
        <w:pStyle w:val="Heading2"/>
        <w:spacing w:after="80" w:before="180"/>
      </w:pPr>
      <w:r>
        <w:rPr>
          <w:rFonts w:ascii="Times New Roman" w:cs="Times New Roman" w:eastAsia="Times New Roman" w:hAnsi="Times New Roman"/>
          <w:b/>
          <w:bCs/>
          <w:color w:val="1A3A6B"/>
          <w:sz w:val="22"/>
          <w:szCs w:val="22"/>
        </w:rPr>
        <w:t xml:space="preserve">3.1 Problem Formulation</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Let x_ldr ∈ [0,1]^(3×H×W) denote the display-referred LDR image captured by a camera with an unknown camera response function Φ and a clipping threshold θ_clip. The true scene radiance is denoted L ∈ R_≥0^(3×H×W), and the HDR image x_hdr ∈ [-1,1]^(3×H×W) is the per-image max-normalized representation of L. The LDR is generated as:</w:t>
      </w:r>
    </w:p>
    <w:p>
      <w:pPr>
        <w:spacing w:after="140" w:before="140" w:line="300"/>
        <w:jc w:val="center"/>
      </w:pPr>
      <w:r>
        <w:rPr>
          <w:rFonts w:ascii="Courier New" w:cs="Courier New" w:eastAsia="Courier New" w:hAnsi="Courier New"/>
          <w:color w:val="222222"/>
          <w:sz w:val="20"/>
          <w:szCs w:val="20"/>
        </w:rPr>
        <w:t xml:space="preserve">x_ldr = clip( Φ(L / E) , 0, 1 )</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where E is the exposure factor and clip saturates all values above the clipping threshold θ_clip ≈ 0.98. The inverse problem — recovering x_hdr from x_ldr — is ill-posed in pixels u where max_c x_ldr(u,c) ≥ θ_clip (the clipped region) and near-deterministic elsewhere. We denote the pixel-wise trust gate g: R^(H×W) → {0,1} as:</w:t>
      </w:r>
    </w:p>
    <w:p>
      <w:pPr>
        <w:spacing w:after="140" w:before="140" w:line="300"/>
        <w:jc w:val="center"/>
      </w:pPr>
      <w:r>
        <w:rPr>
          <w:rFonts w:ascii="Courier New" w:cs="Courier New" w:eastAsia="Courier New" w:hAnsi="Courier New"/>
          <w:color w:val="222222"/>
          <w:sz w:val="20"/>
          <w:szCs w:val="20"/>
        </w:rPr>
        <w:t xml:space="preserve">g_u = 1[ max_c x_ldr(u,c) &lt; θ_clip ]</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This binary gate partitions the spatial domain into trusted pixels (g_u = 1) and clipped pixels (g_u = 0). The clip mask m_clip = 1 - g and the seam mask m_seam are derived from g via morphological dilation and erosion:</w:t>
      </w:r>
    </w:p>
    <w:p>
      <w:pPr>
        <w:spacing w:after="140" w:before="140" w:line="300"/>
        <w:jc w:val="center"/>
      </w:pPr>
      <w:r>
        <w:rPr>
          <w:rFonts w:ascii="Courier New" w:cs="Courier New" w:eastAsia="Courier New" w:hAnsi="Courier New"/>
          <w:color w:val="222222"/>
          <w:sz w:val="20"/>
          <w:szCs w:val="20"/>
        </w:rPr>
        <w:t xml:space="preserve">m_seam = clip( dilate(m_clip) - erode(m_clip) ) ∨ m_clip</w:t>
      </w:r>
    </w:p>
    <w:p>
      <w:pPr>
        <w:pStyle w:val="Heading2"/>
        <w:spacing w:after="80" w:before="180"/>
      </w:pPr>
      <w:r>
        <w:rPr>
          <w:rFonts w:ascii="Times New Roman" w:cs="Times New Roman" w:eastAsia="Times New Roman" w:hAnsi="Times New Roman"/>
          <w:b/>
          <w:bCs/>
          <w:color w:val="1A3A6B"/>
          <w:sz w:val="22"/>
          <w:szCs w:val="22"/>
        </w:rPr>
        <w:t xml:space="preserve">3.2 Stage 1 — Path-G: Masked Generative Diffusion</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Path-G provides a hallucination prior for saturated regions by fine-tuning an InstructPix2Pix </w:t>
      </w:r>
      <w:r>
        <w:rPr>
          <w:rFonts w:ascii="Times New Roman" w:cs="Times New Roman" w:eastAsia="Times New Roman" w:hAnsi="Times New Roman"/>
          <w:b w:val="false"/>
          <w:bCs w:val="false"/>
          <w:i/>
          <w:iCs/>
          <w:color w:val="000000"/>
          <w:sz w:val="22"/>
          <w:szCs w:val="22"/>
        </w:rPr>
        <w:t xml:space="preserve">[13]</w:t>
      </w:r>
      <w:r>
        <w:rPr>
          <w:rFonts w:ascii="Times New Roman" w:cs="Times New Roman" w:eastAsia="Times New Roman" w:hAnsi="Times New Roman"/>
          <w:b w:val="false"/>
          <w:bCs w:val="false"/>
          <w:i w:val="false"/>
          <w:iCs w:val="false"/>
          <w:color w:val="000000"/>
          <w:sz w:val="22"/>
          <w:szCs w:val="22"/>
        </w:rPr>
        <w:t xml:space="preserve"> latent diffusion UNet with LoRA adapters and TriGate conditioning encoders. The forward process in Stage 1 is standard Gaussian:</w:t>
      </w:r>
    </w:p>
    <w:p>
      <w:pPr>
        <w:spacing w:after="140" w:before="140" w:line="300"/>
        <w:jc w:val="center"/>
      </w:pPr>
      <w:r>
        <w:rPr>
          <w:rFonts w:ascii="Courier New" w:cs="Courier New" w:eastAsia="Courier New" w:hAnsi="Courier New"/>
          <w:color w:val="222222"/>
          <w:sz w:val="20"/>
          <w:szCs w:val="20"/>
        </w:rPr>
        <w:t xml:space="preserve">z_t = √(ᾱ_t) z_hdr + √(1-ᾱ_t) ε , ε ~ N(0,I)</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TriGate conditioning system injects spatial structure from the LDR through four specialized encoders. The Material Encoder E_m extracts texture and material cues; the Structural Encoder E_s extracts geometry and the trust gate g; the Semantic Codebook Encoder E_sem produces VAE-style latent codes with KL regularization; and the Mask Encoder E_mask encodes SAM-derived semantic regions. The encoded features are fused by the HorizontalTriStreamFusion module via timestep-gated cross-attention:</w:t>
      </w:r>
    </w:p>
    <w:p>
      <w:pPr>
        <w:spacing w:after="140" w:before="140" w:line="300"/>
        <w:jc w:val="center"/>
      </w:pPr>
      <w:r>
        <w:rPr>
          <w:rFonts w:ascii="Courier New" w:cs="Courier New" w:eastAsia="Courier New" w:hAnsi="Courier New"/>
          <w:color w:val="222222"/>
          <w:sz w:val="20"/>
          <w:szCs w:val="20"/>
        </w:rPr>
        <w:t xml:space="preserve">Attn_S = softmax( Q_M K_S^T / √C ) V_S</w:t>
      </w:r>
      <w:r>
        <w:rPr>
          <w:rFonts w:ascii="Courier New" w:cs="Courier New" w:eastAsia="Courier New" w:hAnsi="Courier New"/>
          <w:color w:val="222222"/>
          <w:sz w:val="20"/>
          <w:szCs w:val="20"/>
        </w:rPr>
        <w:br/>
        <w:t xml:space="preserve">Attn_Z = softmax( Q_M K_Z^T / √C ) V_Z</w:t>
      </w:r>
      <w:r>
        <w:rPr>
          <w:rFonts w:ascii="Courier New" w:cs="Courier New" w:eastAsia="Courier New" w:hAnsi="Courier New"/>
          <w:color w:val="222222"/>
          <w:sz w:val="20"/>
          <w:szCs w:val="20"/>
        </w:rPr>
        <w:br/>
        <w:t xml:space="preserve">fused = [γ_1 M̃ , γ_2 Attn_S , γ_3 Attn_Z , γ_4 R̃]</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where γ_k = σ(W_k t_emb) are learned timestep gates. The fused conditioning is injected into the image latents z_img as a residual with a learnable scalar σ_res (initialized to 0.1). Stage 1 is pretrained using the diffusion loss L_diff = ||ε̂ - ε||_2^2 and then augmented with perceptual losses W1 (Wasserstein-1 in feature space), SFL (structural fidelity loss), and KL on semantic latents.</w:t>
      </w:r>
    </w:p>
    <w:p>
      <w:pPr>
        <w:pStyle w:val="Heading2"/>
        <w:spacing w:after="80" w:before="180"/>
      </w:pPr>
      <w:r>
        <w:rPr>
          <w:rFonts w:ascii="Times New Roman" w:cs="Times New Roman" w:eastAsia="Times New Roman" w:hAnsi="Times New Roman"/>
          <w:b/>
          <w:bCs/>
          <w:color w:val="1A3A6B"/>
          <w:sz w:val="22"/>
          <w:szCs w:val="22"/>
        </w:rPr>
        <w:t xml:space="preserve">3.3 Stage 2 — Path-C: Cold Radiometric Expansion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Path-C is the core radiometric engine of TriGate-HDR. It applies a deterministic cold forward process restricted to the expansion component of the HDR latent, with the LDR serving as a fixed structural anchor. Unlike Path-G, Stage 2 is trained from scratch with a purpose-built MiniHDR-VAE (no pretrained SD/CLIP backbone) and operates in the latent space of this scratch-trained compressor.</w:t>
      </w:r>
    </w:p>
    <w:p>
      <w:pPr>
        <w:pStyle w:val="Heading3"/>
        <w:spacing w:after="60" w:before="120"/>
      </w:pPr>
      <w:r>
        <w:rPr>
          <w:rFonts w:ascii="Times New Roman" w:cs="Times New Roman" w:eastAsia="Times New Roman" w:hAnsi="Times New Roman"/>
          <w:b/>
          <w:bCs/>
          <w:color w:val="222222"/>
          <w:sz w:val="22"/>
          <w:szCs w:val="22"/>
        </w:rPr>
        <w:t xml:space="preserve">3.3.1 Log-Radiance Cold Forward Process (LR-CFP)</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LR-CFP encodes inputs in log-radiance space before VAE compression, providing optical calibration consistent with photometric theory. For an HDR tensor x ∈ [-1,1]^3, the LR-CFP encoding is:</w:t>
      </w:r>
    </w:p>
    <w:p>
      <w:pPr>
        <w:spacing w:after="140" w:before="140" w:line="300"/>
        <w:jc w:val="center"/>
      </w:pPr>
      <w:r>
        <w:rPr>
          <w:rFonts w:ascii="Courier New" w:cs="Courier New" w:eastAsia="Courier New" w:hAnsi="Courier New"/>
          <w:color w:val="222222"/>
          <w:sz w:val="20"/>
          <w:szCs w:val="20"/>
        </w:rPr>
        <w:t xml:space="preserve">ℓ(x) = log( 1 + k ⊙ max(radiance(x), 0) ) / s</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where k ∈ R^3 is a per-channel learnable gain (OpticalColdForward.k) and s is a normalization scale. The MiniHDR-VAE then encodes ℓ(x) into the latent space. The HDR and LDR latents are:</w:t>
      </w:r>
    </w:p>
    <w:p>
      <w:pPr>
        <w:spacing w:after="140" w:before="140" w:line="300"/>
        <w:jc w:val="center"/>
      </w:pPr>
      <w:r>
        <w:rPr>
          <w:rFonts w:ascii="Courier New" w:cs="Courier New" w:eastAsia="Courier New" w:hAnsi="Courier New"/>
          <w:color w:val="222222"/>
          <w:sz w:val="20"/>
          <w:szCs w:val="20"/>
        </w:rPr>
        <w:t xml:space="preserve">z_HDR = E(ℓ(x_hdr)) , z_LDR = E(ℓ(x_ldr^hdr))</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where x_ldr^hdr = 2x_ldr - 1 maps the LDR to HDR range. The MonoLift module M computes a latent anchor:</w:t>
      </w:r>
    </w:p>
    <w:p>
      <w:pPr>
        <w:spacing w:after="140" w:before="140" w:line="300"/>
        <w:jc w:val="center"/>
      </w:pPr>
      <w:r>
        <w:rPr>
          <w:rFonts w:ascii="Courier New" w:cs="Courier New" w:eastAsia="Courier New" w:hAnsi="Courier New"/>
          <w:color w:val="222222"/>
          <w:sz w:val="20"/>
          <w:szCs w:val="20"/>
        </w:rPr>
        <w:t xml:space="preserve">z^lift = M(z_LDR) = z_LDR + net(z_LDR)</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with a monotonicity penalty enforcing that M is non-decreasing in latent space. The expansion field is defined as:</w:t>
      </w:r>
    </w:p>
    <w:p>
      <w:pPr>
        <w:spacing w:after="140" w:before="140" w:line="300"/>
        <w:jc w:val="center"/>
      </w:pPr>
      <w:r>
        <w:rPr>
          <w:rFonts w:ascii="Courier New" w:cs="Courier New" w:eastAsia="Courier New" w:hAnsi="Courier New"/>
          <w:color w:val="222222"/>
          <w:sz w:val="20"/>
          <w:szCs w:val="20"/>
        </w:rPr>
        <w:t xml:space="preserve">z_0^E = z_HDR - z^lift</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cold forward process corrupts only the expansion component:</w:t>
      </w:r>
    </w:p>
    <w:p>
      <w:pPr>
        <w:spacing w:after="140" w:before="140" w:line="300"/>
        <w:jc w:val="center"/>
      </w:pPr>
      <w:r>
        <w:rPr>
          <w:rFonts w:ascii="Courier New" w:cs="Courier New" w:eastAsia="Courier New" w:hAnsi="Courier New"/>
          <w:color w:val="222222"/>
          <w:sz w:val="20"/>
          <w:szCs w:val="20"/>
        </w:rPr>
        <w:t xml:space="preserve">z_t^E = (1 - α_t) z_0^E , z_t = z^lift + z_t^E , α_t = t / (T-1)</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Note that Gaussian noise is never added: the corruption is a deterministic blend toward zero expansion, with the LDR anchor z^lift held fixed. At t = T-1, the expansion has fully collapsed (z^E = 0) and the state equals the LDR lift — not a noise-corrupted version. This is the key property that distinguishes LR-CFP from both warm Gaussian diffusion and generic Bansal cold diffusion.</w:t>
      </w:r>
    </w:p>
    <w:p>
      <w:pPr>
        <w:pStyle w:val="Heading3"/>
        <w:spacing w:after="60" w:before="120"/>
      </w:pPr>
      <w:r>
        <w:rPr>
          <w:rFonts w:ascii="Times New Roman" w:cs="Times New Roman" w:eastAsia="Times New Roman" w:hAnsi="Times New Roman"/>
          <w:b/>
          <w:bCs/>
          <w:color w:val="222222"/>
          <w:sz w:val="22"/>
          <w:szCs w:val="22"/>
        </w:rPr>
        <w:t xml:space="preserve">3.3.2 Identifiability Theorem</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following theorem justifies the expansion-only cold parameterization and distinguishes LR-CFP from the generic cold framework of Bansal et al. </w:t>
      </w:r>
      <w:r>
        <w:rPr>
          <w:rFonts w:ascii="Times New Roman" w:cs="Times New Roman" w:eastAsia="Times New Roman" w:hAnsi="Times New Roman"/>
          <w:b w:val="false"/>
          <w:bCs w:val="false"/>
          <w:i/>
          <w:iCs/>
          <w:color w:val="000000"/>
          <w:sz w:val="22"/>
          <w:szCs w:val="22"/>
        </w:rPr>
        <w:t xml:space="preserve">[11]</w:t>
      </w:r>
      <w:r>
        <w:rPr>
          <w:rFonts w:ascii="Times New Roman" w:cs="Times New Roman" w:eastAsia="Times New Roman" w:hAnsi="Times New Roman"/>
          <w:b w:val="false"/>
          <w:bCs w:val="false"/>
          <w:i w:val="false"/>
          <w:iCs w:val="false"/>
          <w:color w:val="000000"/>
          <w:sz w:val="22"/>
          <w:szCs w:val="22"/>
        </w:rPr>
        <w:t xml:space="preserve">.</w:t>
      </w:r>
    </w:p>
    <w:p>
      <w:pPr>
        <w:spacing w:after="80" w:before="60" w:line="280"/>
        <w:ind w:left="360"/>
        <w:jc w:val="both"/>
      </w:pPr>
      <w:r>
        <w:rPr>
          <w:rFonts w:ascii="Times New Roman" w:cs="Times New Roman" w:eastAsia="Times New Roman" w:hAnsi="Times New Roman"/>
          <w:b/>
          <w:bCs/>
          <w:i w:val="false"/>
          <w:iCs w:val="false"/>
          <w:color w:val="000000"/>
          <w:sz w:val="22"/>
          <w:szCs w:val="22"/>
        </w:rPr>
        <w:t xml:space="preserve">Theorem 1 (LR-CFP Identifiability).</w:t>
      </w:r>
      <w:r>
        <w:rPr>
          <w:rFonts w:ascii="Times New Roman" w:cs="Times New Roman" w:eastAsia="Times New Roman" w:hAnsi="Times New Roman"/>
          <w:b w:val="false"/>
          <w:bCs w:val="false"/>
          <w:i w:val="false"/>
          <w:iCs w:val="false"/>
          <w:color w:val="000000"/>
          <w:sz w:val="22"/>
          <w:szCs w:val="22"/>
        </w:rPr>
        <w:t xml:space="preserve"> Under assumptions (A1) M is monotone in latent space (enforced by monotonicity penalty); (A2) E is locally invertible on the support of well-exposed pixels; and (A3) the trust gate g_u ≈ 1 on non-saturated pixels — the expansion field z_0^E is uniquely determined by (ℓ(x_ldr), ℓ(x_hdr)) on trusted pixels. Furthermore, the cold forward F_LR preserves spatial support: for any two pixels u,v with g_u = 1, the corruption z_t^E(u) is a deterministic linear function of z_0^E(u), with no cross-pixel randomness.</w:t>
      </w:r>
    </w:p>
    <w:p>
      <w:pPr>
        <w:spacing w:after="80" w:before="60" w:line="280"/>
        <w:ind w:left="360"/>
        <w:jc w:val="both"/>
      </w:pPr>
      <w:r>
        <w:rPr>
          <w:rFonts w:ascii="Times New Roman" w:cs="Times New Roman" w:eastAsia="Times New Roman" w:hAnsi="Times New Roman"/>
          <w:b w:val="false"/>
          <w:bCs w:val="false"/>
          <w:i/>
          <w:iCs/>
          <w:color w:val="000000"/>
          <w:sz w:val="22"/>
          <w:szCs w:val="22"/>
        </w:rPr>
        <w:t xml:space="preserve">Proof sketch.</w:t>
      </w:r>
      <w:r>
        <w:rPr>
          <w:rFonts w:ascii="Times New Roman" w:cs="Times New Roman" w:eastAsia="Times New Roman" w:hAnsi="Times New Roman"/>
          <w:b w:val="false"/>
          <w:bCs w:val="false"/>
          <w:i w:val="false"/>
          <w:iCs w:val="false"/>
          <w:color w:val="000000"/>
          <w:sz w:val="22"/>
          <w:szCs w:val="22"/>
        </w:rPr>
        <w:t xml:space="preserve"> Uniqueness follows from (A1)+(A2): M is invertible on the trusted support by (A1), and E is locally invertible there by (A2), so z_0^E = E(ℓ(x_hdr)) - M(E(ℓ(x_ldr))) is uniquely determined. Spatial support preservation follows directly from the deterministic cold schedule: z_t^E = (1-α_t) z_0^E is a pixel-wise scalar multiplication with no diffusion across space, giving strictly stronger spatial locality than Gaussian diffusion.</w:t>
      </w:r>
    </w:p>
    <w:p>
      <w:pPr>
        <w:pStyle w:val="Heading3"/>
        <w:spacing w:after="60" w:before="120"/>
      </w:pPr>
      <w:r>
        <w:rPr>
          <w:rFonts w:ascii="Times New Roman" w:cs="Times New Roman" w:eastAsia="Times New Roman" w:hAnsi="Times New Roman"/>
          <w:b/>
          <w:bCs/>
          <w:color w:val="222222"/>
          <w:sz w:val="22"/>
          <w:szCs w:val="22"/>
        </w:rPr>
        <w:t xml:space="preserve">3.3.3 ColdEfficientLatentUNet</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denoising network f_θ operates in the latent space of MiniHDR-VAE and processes the concatenated cold-state and LDR-anchor in two parallel streams. The anchor stream processes z_LDR with no timestep conditioning and saves skip activations A_1...A_4 at four resolution levels. The cold stream processes concat(z_t, z_LDR) with sinusoidal timestep embeddings and fuses with the anchor at each level via RGCF blocks. The RGCF block computes:</w:t>
      </w:r>
    </w:p>
    <w:p>
      <w:pPr>
        <w:spacing w:after="140" w:before="140" w:line="300"/>
        <w:jc w:val="center"/>
      </w:pPr>
      <w:r>
        <w:rPr>
          <w:rFonts w:ascii="Courier New" w:cs="Courier New" w:eastAsia="Courier New" w:hAnsi="Courier New"/>
          <w:color w:val="222222"/>
          <w:sz w:val="20"/>
          <w:szCs w:val="20"/>
        </w:rPr>
        <w:t xml:space="preserve">C ← C + (1-τ) · Gate(concat(C,A)) ⊙ Proj(A) + τ · Proj_2(A)</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where τ is the trust gate (one where LDR is trusted, zero in clipped regions). The UNet predicts z_0^E directly (not the noise). Scale-adaptive cold schedules at each UNet level ℓ use α_{t,ℓ} = min(1, α_t · 2^(ℓ-L)), encouraging coarser levels to recover long-range structure first. The reverse sampling starts from z^E = 0 (fully collapsed expansion) and iterates for T_inf steps via Algorithm 1:</w:t>
      </w:r>
    </w:p>
    <w:p>
      <w:pPr>
        <w:spacing w:after="140" w:before="140" w:line="300"/>
        <w:jc w:val="center"/>
      </w:pPr>
      <w:r>
        <w:rPr>
          <w:rFonts w:ascii="Courier New" w:cs="Courier New" w:eastAsia="Courier New" w:hAnsi="Courier New"/>
          <w:color w:val="222222"/>
          <w:sz w:val="20"/>
          <w:szCs w:val="20"/>
        </w:rPr>
        <w:t xml:space="preserve">for t = T-1 ... 0:</w:t>
      </w:r>
      <w:r>
        <w:rPr>
          <w:rFonts w:ascii="Courier New" w:cs="Courier New" w:eastAsia="Courier New" w:hAnsi="Courier New"/>
          <w:color w:val="222222"/>
          <w:sz w:val="20"/>
          <w:szCs w:val="20"/>
        </w:rPr>
        <w:br/>
        <w:t xml:space="preserve">  z_t = z^lift + z^E</w:t>
      </w:r>
      <w:r>
        <w:rPr>
          <w:rFonts w:ascii="Courier New" w:cs="Courier New" w:eastAsia="Courier New" w:hAnsi="Courier New"/>
          <w:color w:val="222222"/>
          <w:sz w:val="20"/>
          <w:szCs w:val="20"/>
        </w:rPr>
        <w:br/>
        <w:t xml:space="preserve">  z̄_0^E = f_θ(z_t, z_LDR, t, τ)</w:t>
      </w:r>
      <w:r>
        <w:rPr>
          <w:rFonts w:ascii="Courier New" w:cs="Courier New" w:eastAsia="Courier New" w:hAnsi="Courier New"/>
          <w:color w:val="222222"/>
          <w:sz w:val="20"/>
          <w:szCs w:val="20"/>
        </w:rPr>
        <w:br/>
        <w:t xml:space="preserve">  z^E ← ColdFwd(z̄_0^E, t-1) [or z̄_0^E at t=0]</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The PixelHDRRefiner — a six-block residual CNN that takes concat(x_ldr, coarse_HDR) as input and predicts a pixel-space HDR residual — is applied after VAE decode to recover high-frequency detail that latent-space compression loses.</w:t>
      </w:r>
    </w:p>
    <w:p>
      <w:pPr>
        <w:pStyle w:val="Heading2"/>
        <w:spacing w:after="80" w:before="180"/>
      </w:pPr>
      <w:r>
        <w:rPr>
          <w:rFonts w:ascii="Times New Roman" w:cs="Times New Roman" w:eastAsia="Times New Roman" w:hAnsi="Times New Roman"/>
          <w:b/>
          <w:bCs/>
          <w:color w:val="1A3A6B"/>
          <w:sz w:val="22"/>
          <w:szCs w:val="22"/>
        </w:rPr>
        <w:t xml:space="preserve">3.4 Radiometric Synapse Operators (RSO)</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When the use_rso flag is enabled, RGCF skip-level fusion is replaced by RSO cells. Each RSO cell takes the cold-stream hidden state h_c, the anchor-stream hidden state h_a, the trust gate τ, and the timestep t, and computes:</w:t>
      </w:r>
    </w:p>
    <w:p>
      <w:pPr>
        <w:spacing w:after="140" w:before="140" w:line="300"/>
        <w:jc w:val="center"/>
      </w:pPr>
      <w:r>
        <w:rPr>
          <w:rFonts w:ascii="Courier New" w:cs="Courier New" w:eastAsia="Courier New" w:hAnsi="Courier New"/>
          <w:color w:val="222222"/>
          <w:sz w:val="20"/>
          <w:szCs w:val="20"/>
        </w:rPr>
        <w:t xml:space="preserve">RSO(h_c, h_a, τ, t) = h_c + σ(τ) ⊙ [</w:t>
      </w:r>
      <w:r>
        <w:rPr>
          <w:rFonts w:ascii="Courier New" w:cs="Courier New" w:eastAsia="Courier New" w:hAnsi="Courier New"/>
          <w:color w:val="222222"/>
          <w:sz w:val="20"/>
          <w:szCs w:val="20"/>
        </w:rPr>
        <w:br/>
        <w:t xml:space="preserve">    exp( β · (log(1+|h_c|) - log(1+|h_a|)) )</w:t>
      </w:r>
      <w:r>
        <w:rPr>
          <w:rFonts w:ascii="Courier New" w:cs="Courier New" w:eastAsia="Courier New" w:hAnsi="Courier New"/>
          <w:color w:val="222222"/>
          <w:sz w:val="20"/>
          <w:szCs w:val="20"/>
        </w:rPr>
        <w:br/>
        <w:t xml:space="preserve">    ⊙ Φ_k(h_a)</w:t>
      </w:r>
      <w:r>
        <w:rPr>
          <w:rFonts w:ascii="Courier New" w:cs="Courier New" w:eastAsia="Courier New" w:hAnsi="Courier New"/>
          <w:color w:val="222222"/>
          <w:sz w:val="20"/>
          <w:szCs w:val="20"/>
        </w:rPr>
        <w:br/>
        <w:t xml:space="preserve">    ⊙ Ψ_t(h_c, h_a)</w:t>
      </w:r>
      <w:r>
        <w:rPr>
          <w:rFonts w:ascii="Courier New" w:cs="Courier New" w:eastAsia="Courier New" w:hAnsi="Courier New"/>
          <w:color w:val="222222"/>
          <w:sz w:val="20"/>
          <w:szCs w:val="20"/>
        </w:rPr>
        <w:br/>
        <w:t xml:space="preserve">]</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where Φ_k is a learnable per-channel μ-law camera response function (CameraResponseFn) that maps the anchor features through a tone-curve-like nonlinearity, and Ψ_t is a time-modulated depthwise Jacobian (SeamJacobian) that provides timestep-dependent cross-feature gradients. The log-ratio term log(1+|h_c|) - log(1+|h_a|) measures the log-radiance discrepancy between the cold and anchor streams at each skip level, which is physically interpretable as the difference in scene radiance implied by each stream. The trust-modulated gate σ(τ) ensures that RSO only injects anchor information into the cold stream in well-exposed regions. RSO cells are placed at the four down-sampling levels of Stage 2, the mid-level, three up-sampling levels, and the Stage 3 generator stem.</w:t>
      </w:r>
    </w:p>
    <w:p>
      <w:pPr>
        <w:pStyle w:val="Heading2"/>
        <w:spacing w:after="80" w:before="180"/>
      </w:pPr>
      <w:r>
        <w:rPr>
          <w:rFonts w:ascii="Times New Roman" w:cs="Times New Roman" w:eastAsia="Times New Roman" w:hAnsi="Times New Roman"/>
          <w:b/>
          <w:bCs/>
          <w:color w:val="1A3A6B"/>
          <w:sz w:val="22"/>
          <w:szCs w:val="22"/>
        </w:rPr>
        <w:t xml:space="preserve">3.5 Stage 3 — Path-S: Seaming WGAN</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After compositing the cold output x^(2) and generative output x^(1) according to the clip mask:</w:t>
      </w:r>
    </w:p>
    <w:p>
      <w:pPr>
        <w:spacing w:after="140" w:before="140" w:line="300"/>
        <w:jc w:val="center"/>
      </w:pPr>
      <w:r>
        <w:rPr>
          <w:rFonts w:ascii="Courier New" w:cs="Courier New" w:eastAsia="Courier New" w:hAnsi="Courier New"/>
          <w:color w:val="222222"/>
          <w:sz w:val="20"/>
          <w:szCs w:val="20"/>
        </w:rPr>
        <w:t xml:space="preserve">x_composed = (1 - m_clip) ⊙ x^(2) + m_clip ⊙ x^(1)</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Seaming WGAN learns to refine the seam band m_seam without altering pixels outside it. The generator G_seam takes as input concat(x_composed, x^(1), m_seam) and applies six SeamGatedBlocks, each of which performs mask-gated self-attention followed by a residual convolution:</w:t>
      </w:r>
    </w:p>
    <w:p>
      <w:pPr>
        <w:spacing w:after="140" w:before="140" w:line="300"/>
        <w:jc w:val="center"/>
      </w:pPr>
      <w:r>
        <w:rPr>
          <w:rFonts w:ascii="Courier New" w:cs="Courier New" w:eastAsia="Courier New" w:hAnsi="Courier New"/>
          <w:color w:val="222222"/>
          <w:sz w:val="20"/>
          <w:szCs w:val="20"/>
        </w:rPr>
        <w:t xml:space="preserve">x_out = x_composed + m_seam ⊙ tail(G_seam(concat(x_composed, x^(1), m_seam)))</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dual-head discriminator evaluates both global coherence (3-channel RGB) and local seam quality (4-channel RGB+mask). WGAN-GP hinge losses are applied to both heads:</w:t>
      </w:r>
    </w:p>
    <w:p>
      <w:pPr>
        <w:spacing w:after="140" w:before="140" w:line="300"/>
        <w:jc w:val="center"/>
      </w:pPr>
      <w:r>
        <w:rPr>
          <w:rFonts w:ascii="Courier New" w:cs="Courier New" w:eastAsia="Courier New" w:hAnsi="Courier New"/>
          <w:color w:val="222222"/>
          <w:sz w:val="20"/>
          <w:szCs w:val="20"/>
        </w:rPr>
        <w:t xml:space="preserve">L_D = E[max(0, 1 - D(x_real))] + E[max(0, 1 + D(x_fake))]</w:t>
      </w:r>
      <w:r>
        <w:rPr>
          <w:rFonts w:ascii="Courier New" w:cs="Courier New" w:eastAsia="Courier New" w:hAnsi="Courier New"/>
          <w:color w:val="222222"/>
          <w:sz w:val="20"/>
          <w:szCs w:val="20"/>
        </w:rPr>
        <w:br/>
        <w:t xml:space="preserve">L_G^hinge = -E[D(x_fake)]</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An outside-lock reconstruction loss L_outside = E[|(1-m_seam) ⊙ (x_out - x_composed)|] prevents the generator from modifying pixels outside the seam mask.</w:t>
      </w:r>
    </w:p>
    <w:p>
      <w:pPr>
        <w:pStyle w:val="Heading2"/>
        <w:spacing w:after="80" w:before="180"/>
      </w:pPr>
      <w:r>
        <w:rPr>
          <w:rFonts w:ascii="Times New Roman" w:cs="Times New Roman" w:eastAsia="Times New Roman" w:hAnsi="Times New Roman"/>
          <w:b/>
          <w:bCs/>
          <w:color w:val="1A3A6B"/>
          <w:sz w:val="22"/>
          <w:szCs w:val="22"/>
        </w:rPr>
        <w:t xml:space="preserve">3.6 GPURE: Unified Variational Energy</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The GPURE objective jointly optimizes all three paths under a single energy:</w:t>
      </w:r>
    </w:p>
    <w:p>
      <w:pPr>
        <w:spacing w:after="140" w:before="140" w:line="300"/>
        <w:jc w:val="center"/>
      </w:pPr>
      <w:r>
        <w:rPr>
          <w:rFonts w:ascii="Courier New" w:cs="Courier New" w:eastAsia="Courier New" w:hAnsi="Courier New"/>
          <w:color w:val="222222"/>
          <w:sz w:val="20"/>
          <w:szCs w:val="20"/>
        </w:rPr>
        <w:t xml:space="preserve">L_GPURE = L_rad(x̂, x_gt)</w:t>
      </w:r>
      <w:r>
        <w:rPr>
          <w:rFonts w:ascii="Courier New" w:cs="Courier New" w:eastAsia="Courier New" w:hAnsi="Courier New"/>
          <w:color w:val="222222"/>
          <w:sz w:val="20"/>
          <w:szCs w:val="20"/>
        </w:rPr>
        <w:br/>
        <w:t xml:space="preserve">         + λ_c L_cold</w:t>
      </w:r>
      <w:r>
        <w:rPr>
          <w:rFonts w:ascii="Courier New" w:cs="Courier New" w:eastAsia="Courier New" w:hAnsi="Courier New"/>
          <w:color w:val="222222"/>
          <w:sz w:val="20"/>
          <w:szCs w:val="20"/>
        </w:rPr>
        <w:br/>
        <w:t xml:space="preserve">         + λ_g L_gen</w:t>
      </w:r>
      <w:r>
        <w:rPr>
          <w:rFonts w:ascii="Courier New" w:cs="Courier New" w:eastAsia="Courier New" w:hAnsi="Courier New"/>
          <w:color w:val="222222"/>
          <w:sz w:val="20"/>
          <w:szCs w:val="20"/>
        </w:rPr>
        <w:br/>
        <w:t xml:space="preserve">         + λ_b L_bracket</w:t>
      </w:r>
      <w:r>
        <w:rPr>
          <w:rFonts w:ascii="Courier New" w:cs="Courier New" w:eastAsia="Courier New" w:hAnsi="Courier New"/>
          <w:color w:val="222222"/>
          <w:sz w:val="20"/>
          <w:szCs w:val="20"/>
        </w:rPr>
        <w:br/>
        <w:t xml:space="preserve">         + λ_s L_seam</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radiance reconstruction loss L_rad is a Charbonnier + Log-L1 composite in log-radiance space:</w:t>
      </w:r>
    </w:p>
    <w:p>
      <w:pPr>
        <w:spacing w:after="140" w:before="140" w:line="300"/>
        <w:jc w:val="center"/>
      </w:pPr>
      <w:r>
        <w:rPr>
          <w:rFonts w:ascii="Courier New" w:cs="Courier New" w:eastAsia="Courier New" w:hAnsi="Courier New"/>
          <w:color w:val="222222"/>
          <w:sz w:val="20"/>
          <w:szCs w:val="20"/>
        </w:rPr>
        <w:t xml:space="preserve">L_rad = E[ √(|x̂ - x_gt|^2 + ε^2) ] + λ_log E[ |log(1+|x̂|) - log(1+|x_gt|)| ]</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cold expansion consistency loss L_cold penalizes deviation of the predicted expansion from the corruption schedule and its gradient:</w:t>
      </w:r>
    </w:p>
    <w:p>
      <w:pPr>
        <w:spacing w:after="140" w:before="140" w:line="300"/>
        <w:jc w:val="center"/>
      </w:pPr>
      <w:r>
        <w:rPr>
          <w:rFonts w:ascii="Courier New" w:cs="Courier New" w:eastAsia="Courier New" w:hAnsi="Courier New"/>
          <w:color w:val="222222"/>
          <w:sz w:val="20"/>
          <w:szCs w:val="20"/>
        </w:rPr>
        <w:t xml:space="preserve">L_cold = ||z_t^E - ColdFwd(ẑ_0^E, t)||_1 + ||∇z_t^E - ∇ColdFwd(ẑ_0^E, t)||_1</w:t>
      </w:r>
    </w:p>
    <w:p>
      <w:pPr>
        <w:spacing w:after="60" w:before="60" w:line="280"/>
        <w:jc w:val="both"/>
      </w:pPr>
      <w:r>
        <w:rPr>
          <w:rFonts w:ascii="Times New Roman" w:cs="Times New Roman" w:eastAsia="Times New Roman" w:hAnsi="Times New Roman"/>
          <w:b w:val="false"/>
          <w:bCs w:val="false"/>
          <w:i w:val="false"/>
          <w:iCs w:val="false"/>
          <w:color w:val="000000"/>
          <w:sz w:val="22"/>
          <w:szCs w:val="22"/>
        </w:rPr>
        <w:t xml:space="preserve">The generative prior loss L_gen is the diffusion noise prediction MSE from Stage 1: L_gen = ||ε̂ - ε||_2^2. The Exposure-Bracket Consistency (ECC) loss L_bracket operates on the seam band:</w:t>
      </w:r>
    </w:p>
    <w:p>
      <w:pPr>
        <w:spacing w:after="140" w:before="140" w:line="300"/>
        <w:jc w:val="center"/>
      </w:pPr>
      <w:r>
        <w:rPr>
          <w:rFonts w:ascii="Courier New" w:cs="Courier New" w:eastAsia="Courier New" w:hAnsi="Courier New"/>
          <w:color w:val="222222"/>
          <w:sz w:val="20"/>
          <w:szCs w:val="20"/>
        </w:rPr>
        <w:t xml:space="preserve">L_bracket = E_m_seam [ ||Re(x̂_comp, e_+) - x_ldr(e_+)||_1</w:t>
      </w:r>
      <w:r>
        <w:rPr>
          <w:rFonts w:ascii="Courier New" w:cs="Courier New" w:eastAsia="Courier New" w:hAnsi="Courier New"/>
          <w:color w:val="222222"/>
          <w:sz w:val="20"/>
          <w:szCs w:val="20"/>
        </w:rPr>
        <w:br/>
        <w:t xml:space="preserve">           + ||Re(x̂_comp, e_-) - x_ldr(e_-)||_1 ]</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where Re(·, e) is a differentiable re-rendering at exposure level e and x_ldr(e) is the LDR at that exposure (for single-image, obtained by virtual exposure adjustment). This loss couples Path-G (which supplies the generative content in clip regions) and Path-C (which anchors the cold expansion) by requiring that their composed output is photometrically consistent with the observed LDR across a range of virtual exposures within the seam band. The seam adversarial loss L_seam is the WGAN-GP objective on the Path-S generator.</w:t>
      </w:r>
    </w:p>
    <w:p>
      <w:pPr>
        <w:pStyle w:val="Heading2"/>
        <w:spacing w:after="80" w:before="180"/>
      </w:pPr>
      <w:r>
        <w:rPr>
          <w:rFonts w:ascii="Times New Roman" w:cs="Times New Roman" w:eastAsia="Times New Roman" w:hAnsi="Times New Roman"/>
          <w:b/>
          <w:bCs/>
          <w:color w:val="1A3A6B"/>
          <w:sz w:val="22"/>
          <w:szCs w:val="22"/>
        </w:rPr>
        <w:t xml:space="preserve">3.7 Joint Training Procedure</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Training proceeds in three phases. In the warmup phase, Stage 2 (and optionally Stage 1) is trained in isolation with L_cold and L_gen respectively, bootstrapping from any existing checkpoints. In the joint phase, Stage 1 and Stage 2 train simultaneously with the full L_GPURE energy, with gradients flowing through x̂_comp and into Path-C via L_rad and L_bracket. Stage 1 may be frozen during joint phase with gradients flowing only into Path-C; this is sufficient because L_GPURE still propagates through the cold path via the composition operator. In the seam phase, the Stage 3 generator and discriminator train with L_GPURE + L_GAN while Stages 1 and 2 are frozen. Algorithm 2 summarizes the joint phase:</w:t>
      </w:r>
    </w:p>
    <w:p>
      <w:pPr>
        <w:spacing w:after="140" w:before="140" w:line="300"/>
        <w:jc w:val="center"/>
      </w:pPr>
      <w:r>
        <w:rPr>
          <w:rFonts w:ascii="Courier New" w:cs="Courier New" w:eastAsia="Courier New" w:hAnsi="Courier New"/>
          <w:color w:val="222222"/>
          <w:sz w:val="20"/>
          <w:szCs w:val="20"/>
        </w:rPr>
        <w:t xml:space="preserve">Algorithm GPURE-Joint:</w:t>
      </w:r>
      <w:r>
        <w:rPr>
          <w:rFonts w:ascii="Courier New" w:cs="Courier New" w:eastAsia="Courier New" w:hAnsi="Courier New"/>
          <w:color w:val="222222"/>
          <w:sz w:val="20"/>
          <w:szCs w:val="20"/>
        </w:rPr>
        <w:br/>
        <w:t xml:space="preserve">  for each batch (x_ldr, x_gt, g) in loader:</w:t>
      </w:r>
      <w:r>
        <w:rPr>
          <w:rFonts w:ascii="Courier New" w:cs="Courier New" w:eastAsia="Courier New" w:hAnsi="Courier New"/>
          <w:color w:val="222222"/>
          <w:sz w:val="20"/>
          <w:szCs w:val="20"/>
        </w:rPr>
        <w:br/>
        <w:t xml:space="preserve">    x_G ← Path-G(x_ldr, m_clip)           # Stage 1 forward</w:t>
      </w:r>
      <w:r>
        <w:rPr>
          <w:rFonts w:ascii="Courier New" w:cs="Courier New" w:eastAsia="Courier New" w:hAnsi="Courier New"/>
          <w:color w:val="222222"/>
          <w:sz w:val="20"/>
          <w:szCs w:val="20"/>
        </w:rPr>
        <w:br/>
        <w:t xml:space="preserve">    x_C ← Path-C(x_ldr, g)                # Stage 2 restore_hdr_train</w:t>
      </w:r>
      <w:r>
        <w:rPr>
          <w:rFonts w:ascii="Courier New" w:cs="Courier New" w:eastAsia="Courier New" w:hAnsi="Courier New"/>
          <w:color w:val="222222"/>
          <w:sz w:val="20"/>
          <w:szCs w:val="20"/>
        </w:rPr>
        <w:br/>
        <w:t xml:space="preserve">    x_comp, m_seam ← TriGateComposer(x_C, x_G, g)</w:t>
      </w:r>
      <w:r>
        <w:rPr>
          <w:rFonts w:ascii="Courier New" w:cs="Courier New" w:eastAsia="Courier New" w:hAnsi="Courier New"/>
          <w:color w:val="222222"/>
          <w:sz w:val="20"/>
          <w:szCs w:val="20"/>
        </w:rPr>
        <w:br/>
        <w:t xml:space="preserve">    L ← L_rad + λ_c L_cold + λ_g L_gen + λ_b L_bracket</w:t>
      </w:r>
      <w:r>
        <w:rPr>
          <w:rFonts w:ascii="Courier New" w:cs="Courier New" w:eastAsia="Courier New" w:hAnsi="Courier New"/>
          <w:color w:val="222222"/>
          <w:sz w:val="20"/>
          <w:szCs w:val="20"/>
        </w:rPr>
        <w:br/>
        <w:t xml:space="preserve">    backprop(L) → optimizers for Stages 1,2</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4. ARCHITECTURE DETAILS</w:t>
      </w:r>
    </w:p>
    <w:p>
      <w:pPr>
        <w:pStyle w:val="Heading2"/>
        <w:spacing w:after="80" w:before="180"/>
      </w:pPr>
      <w:r>
        <w:rPr>
          <w:rFonts w:ascii="Times New Roman" w:cs="Times New Roman" w:eastAsia="Times New Roman" w:hAnsi="Times New Roman"/>
          <w:b/>
          <w:bCs/>
          <w:color w:val="1A3A6B"/>
          <w:sz w:val="22"/>
          <w:szCs w:val="22"/>
        </w:rPr>
        <w:t xml:space="preserve">4.1 MiniHDR-VAE</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The MiniHDR-VAE is a lightweight variational autoencoder trained from scratch on paired HDR-Real data. It spatially compresses the input by a factor of 8 in each dimension, producing 4-channel latent codes (8 channels in the v2 architecture). The encoder consists of a four-level convolutional stack with channel widths [32, 64, 128, 256] (v1) or [48, 96, 192, 384] (v2) that outputs the Gaussian mean and log-variance at the deepest level. The decoder is symmetric with transposed convolutions and Tanh output. The MonoLiftLatent module M is a three-layer convolutional residual net applied to z_LDR with a monotonicity penalty:</w:t>
      </w:r>
    </w:p>
    <w:p>
      <w:pPr>
        <w:spacing w:after="140" w:before="140" w:line="300"/>
        <w:jc w:val="center"/>
      </w:pPr>
      <w:r>
        <w:rPr>
          <w:rFonts w:ascii="Courier New" w:cs="Courier New" w:eastAsia="Courier New" w:hAnsi="Courier New"/>
          <w:color w:val="222222"/>
          <w:sz w:val="20"/>
          <w:szCs w:val="20"/>
        </w:rPr>
        <w:t xml:space="preserve">L_mono = E[ max(0, -∂M/∂z_LDR) ] (penalizes non-monotone gradients)</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The VAE is warmed up for N_warmup epochs before the cold UNet training begins, then frozen to prevent gradient interference with the expansion UNet.</w:t>
      </w:r>
    </w:p>
    <w:p>
      <w:pPr>
        <w:pStyle w:val="Heading2"/>
        <w:spacing w:after="80" w:before="180"/>
      </w:pPr>
      <w:r>
        <w:rPr>
          <w:rFonts w:ascii="Times New Roman" w:cs="Times New Roman" w:eastAsia="Times New Roman" w:hAnsi="Times New Roman"/>
          <w:b/>
          <w:bCs/>
          <w:color w:val="1A3A6B"/>
          <w:sz w:val="22"/>
          <w:szCs w:val="22"/>
        </w:rPr>
        <w:t xml:space="preserve">4.2 ColdEfficientLatentUNet Architecture</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The dual-stream UNet operates at base channel width 64 (v1) or 96 (v2) with 4 down-sampling levels and a mid-block. The anchor stream encodes z_LDR with no time conditioning and saves activations at each level without spatial reduction beyond the explicit pool. The cold stream encodes concat(z_t, z_LDR) with sinusoidal + MLP time embeddings. RGCF blocks fuse the two streams at each level, and scale-adaptive cold schedules tailor the corruption level to the resolution:</w:t>
      </w:r>
    </w:p>
    <w:p>
      <w:pPr>
        <w:spacing w:after="140" w:before="140" w:line="300"/>
        <w:jc w:val="center"/>
      </w:pPr>
      <w:r>
        <w:rPr>
          <w:rFonts w:ascii="Courier New" w:cs="Courier New" w:eastAsia="Courier New" w:hAnsi="Courier New"/>
          <w:color w:val="222222"/>
          <w:sz w:val="20"/>
          <w:szCs w:val="20"/>
        </w:rPr>
        <w:t xml:space="preserve">α_{t,ℓ} = min(1, α_t · 2^(ℓ-L))</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This schedule means that at the coarsest level ℓ=L, the schedule is the standard α_t, while at finer levels the effective schedule is increasingly aggressive, encouraging the coarser levels to recover long-range expansion structure before fine levels address details. The head outputs a 4-channel z_0^E prediction (not the full HDR latent), from which the decode is z^lift + z_0^E. The PixelHDRRefiner (enabled with --arch_v2) applies six residual convolutional blocks on concat(x_ldr, coarse_HDR) → ΔHDR.</w:t>
      </w:r>
    </w:p>
    <w:p>
      <w:pPr>
        <w:pStyle w:val="Heading2"/>
        <w:spacing w:after="80" w:before="180"/>
      </w:pPr>
      <w:r>
        <w:rPr>
          <w:rFonts w:ascii="Times New Roman" w:cs="Times New Roman" w:eastAsia="Times New Roman" w:hAnsi="Times New Roman"/>
          <w:b/>
          <w:bCs/>
          <w:color w:val="1A3A6B"/>
          <w:sz w:val="22"/>
          <w:szCs w:val="22"/>
        </w:rPr>
        <w:t xml:space="preserve">4.3 SeamingGenerator and Discriminator</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SeamingGenerator consists of a convolutional stem Conv2d(7 → C_base) followed by six SeamGatedBlocks and a tail convolution → 3-channel residual output. Each SeamGatedBlock applies: (1) conv1 + LeakyReLU; (2) mask gating h ← h ⊙ σ(Conv1×1(m_seam)); (3) self-attention on flattened spatial tokens; (4) conv2 + residual. The attention uses the masked features as Q, K, V and restricts which spatial positions are attended by the mask gate, propagating context only within the seam band. The discriminator applies four stride-2 convolutional layers with InstanceNorm to two separate heads: global_head on RGB and seam_head on RGB‖mask, both producing 1-channel PatchGAN logit maps.</w:t>
      </w:r>
    </w:p>
    <w:p>
      <w:pPr>
        <w:spacing w:after="60" w:before="12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10000"/>
                    </a:xfrm>
                    <a:prstGeom prst="rect">
                      <a:avLst/>
                    </a:prstGeom>
                  </pic:spPr>
                </pic:pic>
              </a:graphicData>
            </a:graphic>
          </wp:inline>
        </w:drawing>
      </w:r>
    </w:p>
    <w:p>
      <w:pPr>
        <w:spacing w:after="160" w:before="60" w:line="280"/>
        <w:jc w:val="center"/>
      </w:pPr>
      <w:r>
        <w:rPr>
          <w:rFonts w:ascii="Times New Roman" w:cs="Times New Roman" w:eastAsia="Times New Roman" w:hAnsi="Times New Roman"/>
          <w:b w:val="false"/>
          <w:bCs w:val="false"/>
          <w:i/>
          <w:iCs/>
          <w:color w:val="000000"/>
          <w:sz w:val="20"/>
          <w:szCs w:val="20"/>
        </w:rPr>
        <w:t xml:space="preserve">Figure 1: Full TriGate-HDR architecture. Stage 1 (left, Path-G) applies Gaussian latent diffusion with TriGate conditioning encoders and RSO skip fusion over clipped regions. Stage 2 (center, Path-C) applies expansion-only cold diffusion anchored to the LDR in log-radiance space. Stage 3 (right, Path-S) composes the two outputs and applies the Seaming WGAN in the seam band. The GPURE objective and ECC coupling (bottom) jointly optimize all three paths.</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5. LOSS FUNCTIONS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This section provides the complete specification of all loss terms used in TriGate-HDR training, with the weighting hyperparameters used in our best-performing configuration.</w:t>
      </w:r>
    </w:p>
    <w:p>
      <w:pPr>
        <w:pStyle w:val="Heading2"/>
        <w:spacing w:after="80" w:before="180"/>
      </w:pPr>
      <w:r>
        <w:rPr>
          <w:rFonts w:ascii="Times New Roman" w:cs="Times New Roman" w:eastAsia="Times New Roman" w:hAnsi="Times New Roman"/>
          <w:b/>
          <w:bCs/>
          <w:color w:val="1A3A6B"/>
          <w:sz w:val="22"/>
          <w:szCs w:val="22"/>
        </w:rPr>
        <w:t xml:space="preserve">5.1 Stage 2 Loss Breakdown</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The Stage 2 training loss is a weighted sum of six terms:</w:t>
      </w:r>
    </w:p>
    <w:p>
      <w:pPr>
        <w:spacing w:after="140" w:before="140" w:line="300"/>
        <w:jc w:val="center"/>
      </w:pPr>
      <w:r>
        <w:rPr>
          <w:rFonts w:ascii="Courier New" w:cs="Courier New" w:eastAsia="Courier New" w:hAnsi="Courier New"/>
          <w:color w:val="222222"/>
          <w:sz w:val="20"/>
          <w:szCs w:val="20"/>
        </w:rPr>
        <w:t xml:space="preserve">L_Stage2 = L_vae + w_hdr L_hdr + w_exp L_exp + w_cold L_cold</w:t>
      </w:r>
      <w:r>
        <w:rPr>
          <w:rFonts w:ascii="Courier New" w:cs="Courier New" w:eastAsia="Courier New" w:hAnsi="Courier New"/>
          <w:color w:val="222222"/>
          <w:sz w:val="20"/>
          <w:szCs w:val="20"/>
        </w:rPr>
        <w:br/>
        <w:t xml:space="preserve">          + w_trust L_trust + w_ms L_ms + w_mono L_mono + w_rad L_rad</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The VAE reconstruction loss L_vae is a combination of L1 pixel reconstruction and KL divergence: L_vae = ||x_hdr - D(z_hdr)||_1 + λ_KL KL(q(z|x_hdr)||N(0,I)). The HDR pixel loss L_hdr = ||x_hdr - D(z^lift + ẑ_0^E)||_1 is the main reconstruction objective in pixel space. The expansion latent loss L_exp = ||z_0^E - ẑ_0^E||_1 supervises the UNet prediction directly in latent space. The cold consistency loss L_cold = ||ColdFwd(ẑ_0^E, t) - z_t^E||_1 ensures the prediction is consistent with the forward process. The trust loss L_trust = ||g ⊙ ẑ_0^E||_1 regularizes the expansion to be zero in well-exposed regions (where z_0^E should be small by construction). The multi-scale cold loss L_ms sums cold consistency at UNet down-levels 1–3.</w:t>
      </w:r>
    </w:p>
    <w:p>
      <w:pPr>
        <w:pStyle w:val="Heading2"/>
        <w:spacing w:after="80" w:before="180"/>
      </w:pPr>
      <w:r>
        <w:rPr>
          <w:rFonts w:ascii="Times New Roman" w:cs="Times New Roman" w:eastAsia="Times New Roman" w:hAnsi="Times New Roman"/>
          <w:b/>
          <w:bCs/>
          <w:color w:val="1A3A6B"/>
          <w:sz w:val="22"/>
          <w:szCs w:val="22"/>
        </w:rPr>
        <w:t xml:space="preserve">5.2 μ-Tonemap Alignment</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Since the evaluation metric PSNR-μ uses μ-law tonemapping (μ = 5000), we include a metric-aligned loss term that directly optimizes the μ-tonemapped MSE:</w:t>
      </w:r>
    </w:p>
    <w:p>
      <w:pPr>
        <w:spacing w:after="140" w:before="140" w:line="300"/>
        <w:jc w:val="center"/>
      </w:pPr>
      <w:r>
        <w:rPr>
          <w:rFonts w:ascii="Courier New" w:cs="Courier New" w:eastAsia="Courier New" w:hAnsi="Courier New"/>
          <w:color w:val="222222"/>
          <w:sz w:val="20"/>
          <w:szCs w:val="20"/>
        </w:rPr>
        <w:t xml:space="preserve">L_mu = ||μ_tonemap(x_hdr) - μ_tonemap(x̂_hdr)||_2^2</w:t>
      </w:r>
      <w:r>
        <w:rPr>
          <w:rFonts w:ascii="Courier New" w:cs="Courier New" w:eastAsia="Courier New" w:hAnsi="Courier New"/>
          <w:color w:val="222222"/>
          <w:sz w:val="20"/>
          <w:szCs w:val="20"/>
        </w:rPr>
        <w:br/>
        <w:t xml:space="preserve">μ_tonemap(x) = log(1 + μ|x|) / log(1 + μ) · sign(x)</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This term bridges the gap between the L1 training objective and the PSNR-μ metric, ensuring that the training signal is aligned with the evaluation protocol of FHDR/test.py.</w:t>
      </w:r>
    </w:p>
    <w:p>
      <w:pPr>
        <w:pStyle w:val="Heading2"/>
        <w:spacing w:after="80" w:before="180"/>
      </w:pPr>
      <w:r>
        <w:rPr>
          <w:rFonts w:ascii="Times New Roman" w:cs="Times New Roman" w:eastAsia="Times New Roman" w:hAnsi="Times New Roman"/>
          <w:b/>
          <w:bCs/>
          <w:color w:val="1A3A6B"/>
          <w:sz w:val="22"/>
          <w:szCs w:val="22"/>
        </w:rPr>
        <w:t xml:space="preserve">5.3 Sobel Gradient (HF) Loss</w:t>
      </w:r>
    </w:p>
    <w:p>
      <w:pPr>
        <w:spacing w:after="60" w:before="80" w:line="280"/>
        <w:jc w:val="both"/>
      </w:pPr>
      <w:r>
        <w:rPr>
          <w:rFonts w:ascii="Times New Roman" w:cs="Times New Roman" w:eastAsia="Times New Roman" w:hAnsi="Times New Roman"/>
          <w:b w:val="false"/>
          <w:bCs w:val="false"/>
          <w:i w:val="false"/>
          <w:iCs w:val="false"/>
          <w:color w:val="000000"/>
          <w:sz w:val="22"/>
          <w:szCs w:val="22"/>
        </w:rPr>
        <w:t xml:space="preserve">To improve structural similarity (SSIM), we include a high-frequency gradient loss based on Sobel operators:</w:t>
      </w:r>
    </w:p>
    <w:p>
      <w:pPr>
        <w:spacing w:after="140" w:before="140" w:line="300"/>
        <w:jc w:val="center"/>
      </w:pPr>
      <w:r>
        <w:rPr>
          <w:rFonts w:ascii="Courier New" w:cs="Courier New" w:eastAsia="Courier New" w:hAnsi="Courier New"/>
          <w:color w:val="222222"/>
          <w:sz w:val="20"/>
          <w:szCs w:val="20"/>
        </w:rPr>
        <w:t xml:space="preserve">L_hf = ||S(x̂_hdr) - S(x_hdr)||_1</w:t>
      </w:r>
      <w:r>
        <w:rPr>
          <w:rFonts w:ascii="Courier New" w:cs="Courier New" w:eastAsia="Courier New" w:hAnsi="Courier New"/>
          <w:color w:val="222222"/>
          <w:sz w:val="20"/>
          <w:szCs w:val="20"/>
        </w:rPr>
        <w:br/>
        <w:t xml:space="preserve">where S(·) = concat(Sobel_x(·), Sobel_y(·))</w:t>
      </w:r>
    </w:p>
    <w:p>
      <w:pPr>
        <w:spacing w:after="80" w:before="60" w:line="280"/>
        <w:jc w:val="both"/>
      </w:pPr>
      <w:r>
        <w:rPr>
          <w:rFonts w:ascii="Times New Roman" w:cs="Times New Roman" w:eastAsia="Times New Roman" w:hAnsi="Times New Roman"/>
          <w:b w:val="false"/>
          <w:bCs w:val="false"/>
          <w:i w:val="false"/>
          <w:iCs w:val="false"/>
          <w:color w:val="000000"/>
          <w:sz w:val="22"/>
          <w:szCs w:val="22"/>
        </w:rPr>
        <w:t xml:space="preserve">This loss directly penalizes edge blurring and structural misalignment, which is the primary failure mode of pure pixel-wise losses in HDR reconstruction.</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6. EXPERIMENTS</w:t>
      </w:r>
    </w:p>
    <w:p>
      <w:pPr>
        <w:pStyle w:val="Heading2"/>
        <w:spacing w:after="80" w:before="180"/>
      </w:pPr>
      <w:r>
        <w:rPr>
          <w:rFonts w:ascii="Times New Roman" w:cs="Times New Roman" w:eastAsia="Times New Roman" w:hAnsi="Times New Roman"/>
          <w:b/>
          <w:bCs/>
          <w:color w:val="1A3A6B"/>
          <w:sz w:val="22"/>
          <w:szCs w:val="22"/>
        </w:rPr>
        <w:t xml:space="preserve">6.1 Datasets and Evaluation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We evaluate TriGate-HDR on three standard benchmarks: HDR-Real (9786 paired LDR–HDR images from natural scenes), HDR-Eye (46 pairs), and AIM2025 (competition dataset). All evaluations follow the FHDR test protocol: PSNR-μ uses μ-law tonemapping with μ = 5000, and SSIM is computed on (tensor+1)/2 clipped to [0,1] in HWC RGB format. The ExpoCM benchmark additionally evaluates PSNR-PU, SSIM-PU (PU21 encoding), LPIPS (AlexNet backbone), ΔE2000 (CIEDE2000 in CIE Lab), HDR-VDP-2, and HDR-VDP-3 (both at 30 PPD with CRF-corrected cd/m²).</w:t>
      </w:r>
    </w:p>
    <w:p>
      <w:pPr>
        <w:pStyle w:val="Heading2"/>
        <w:spacing w:after="80" w:before="180"/>
      </w:pPr>
      <w:r>
        <w:rPr>
          <w:rFonts w:ascii="Times New Roman" w:cs="Times New Roman" w:eastAsia="Times New Roman" w:hAnsi="Times New Roman"/>
          <w:b/>
          <w:bCs/>
          <w:color w:val="1A3A6B"/>
          <w:sz w:val="22"/>
          <w:szCs w:val="22"/>
        </w:rPr>
        <w:t xml:space="preserve">6.2 Baselines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We compare against FHDR (Khan et al., 2019) </w:t>
      </w:r>
      <w:r>
        <w:rPr>
          <w:rFonts w:ascii="Times New Roman" w:cs="Times New Roman" w:eastAsia="Times New Roman" w:hAnsi="Times New Roman"/>
          <w:b w:val="false"/>
          <w:bCs w:val="false"/>
          <w:i/>
          <w:iCs/>
          <w:color w:val="000000"/>
          <w:sz w:val="22"/>
          <w:szCs w:val="22"/>
        </w:rPr>
        <w:t xml:space="preserve">[1]</w:t>
      </w:r>
      <w:r>
        <w:rPr>
          <w:rFonts w:ascii="Times New Roman" w:cs="Times New Roman" w:eastAsia="Times New Roman" w:hAnsi="Times New Roman"/>
          <w:b w:val="false"/>
          <w:bCs w:val="false"/>
          <w:i w:val="false"/>
          <w:iCs w:val="false"/>
          <w:color w:val="000000"/>
          <w:sz w:val="22"/>
          <w:szCs w:val="22"/>
        </w:rPr>
        <w:t xml:space="preserve">, SingleHDR (Liu et al., 2020) </w:t>
      </w:r>
      <w:r>
        <w:rPr>
          <w:rFonts w:ascii="Times New Roman" w:cs="Times New Roman" w:eastAsia="Times New Roman" w:hAnsi="Times New Roman"/>
          <w:b w:val="false"/>
          <w:bCs w:val="false"/>
          <w:i/>
          <w:iCs/>
          <w:color w:val="000000"/>
          <w:sz w:val="22"/>
          <w:szCs w:val="22"/>
        </w:rPr>
        <w:t xml:space="preserve">[2]</w:t>
      </w:r>
      <w:r>
        <w:rPr>
          <w:rFonts w:ascii="Times New Roman" w:cs="Times New Roman" w:eastAsia="Times New Roman" w:hAnsi="Times New Roman"/>
          <w:b w:val="false"/>
          <w:bCs w:val="false"/>
          <w:i w:val="false"/>
          <w:iCs w:val="false"/>
          <w:color w:val="000000"/>
          <w:sz w:val="22"/>
          <w:szCs w:val="22"/>
        </w:rPr>
        <w:t xml:space="preserve">, ArtHDR-Net (Barua et al., 2023) </w:t>
      </w:r>
      <w:r>
        <w:rPr>
          <w:rFonts w:ascii="Times New Roman" w:cs="Times New Roman" w:eastAsia="Times New Roman" w:hAnsi="Times New Roman"/>
          <w:b w:val="false"/>
          <w:bCs w:val="false"/>
          <w:i/>
          <w:iCs/>
          <w:color w:val="000000"/>
          <w:sz w:val="22"/>
          <w:szCs w:val="22"/>
        </w:rPr>
        <w:t xml:space="preserve">[8]</w:t>
      </w:r>
      <w:r>
        <w:rPr>
          <w:rFonts w:ascii="Times New Roman" w:cs="Times New Roman" w:eastAsia="Times New Roman" w:hAnsi="Times New Roman"/>
          <w:b w:val="false"/>
          <w:bCs w:val="false"/>
          <w:i w:val="false"/>
          <w:iCs w:val="false"/>
          <w:color w:val="000000"/>
          <w:sz w:val="22"/>
          <w:szCs w:val="22"/>
        </w:rPr>
        <w:t xml:space="preserve">, HistoHDR-Net (Barua et al., 2024) </w:t>
      </w:r>
      <w:r>
        <w:rPr>
          <w:rFonts w:ascii="Times New Roman" w:cs="Times New Roman" w:eastAsia="Times New Roman" w:hAnsi="Times New Roman"/>
          <w:b w:val="false"/>
          <w:bCs w:val="false"/>
          <w:i/>
          <w:iCs/>
          <w:color w:val="000000"/>
          <w:sz w:val="22"/>
          <w:szCs w:val="22"/>
        </w:rPr>
        <w:t xml:space="preserve">[9]</w:t>
      </w:r>
      <w:r>
        <w:rPr>
          <w:rFonts w:ascii="Times New Roman" w:cs="Times New Roman" w:eastAsia="Times New Roman" w:hAnsi="Times New Roman"/>
          <w:b w:val="false"/>
          <w:bCs w:val="false"/>
          <w:i w:val="false"/>
          <w:iCs w:val="false"/>
          <w:color w:val="000000"/>
          <w:sz w:val="22"/>
          <w:szCs w:val="22"/>
        </w:rPr>
        <w:t xml:space="preserve">, LEDiff (Wang et al., 2024) </w:t>
      </w:r>
      <w:r>
        <w:rPr>
          <w:rFonts w:ascii="Times New Roman" w:cs="Times New Roman" w:eastAsia="Times New Roman" w:hAnsi="Times New Roman"/>
          <w:b w:val="false"/>
          <w:bCs w:val="false"/>
          <w:i/>
          <w:iCs/>
          <w:color w:val="000000"/>
          <w:sz w:val="22"/>
          <w:szCs w:val="22"/>
        </w:rPr>
        <w:t xml:space="preserve">[3]</w:t>
      </w:r>
      <w:r>
        <w:rPr>
          <w:rFonts w:ascii="Times New Roman" w:cs="Times New Roman" w:eastAsia="Times New Roman" w:hAnsi="Times New Roman"/>
          <w:b w:val="false"/>
          <w:bCs w:val="false"/>
          <w:i w:val="false"/>
          <w:iCs w:val="false"/>
          <w:color w:val="000000"/>
          <w:sz w:val="22"/>
          <w:szCs w:val="22"/>
        </w:rPr>
        <w:t xml:space="preserve">, and ExpoCM (Liu et al., 2026) </w:t>
      </w:r>
      <w:r>
        <w:rPr>
          <w:rFonts w:ascii="Times New Roman" w:cs="Times New Roman" w:eastAsia="Times New Roman" w:hAnsi="Times New Roman"/>
          <w:b w:val="false"/>
          <w:bCs w:val="false"/>
          <w:i/>
          <w:iCs/>
          <w:color w:val="000000"/>
          <w:sz w:val="22"/>
          <w:szCs w:val="22"/>
        </w:rPr>
        <w:t xml:space="preserve">[4]</w:t>
      </w:r>
      <w:r>
        <w:rPr>
          <w:rFonts w:ascii="Times New Roman" w:cs="Times New Roman" w:eastAsia="Times New Roman" w:hAnsi="Times New Roman"/>
          <w:b w:val="false"/>
          <w:bCs w:val="false"/>
          <w:i w:val="false"/>
          <w:iCs w:val="false"/>
          <w:color w:val="000000"/>
          <w:sz w:val="22"/>
          <w:szCs w:val="22"/>
        </w:rPr>
        <w:t xml:space="preserve">. For HistoHDR-Net we also report the diffusion-based method [21] cited in their paper that achieves PSNR 33.52 / SSIM 0.90 on HDR-Real, as this provides our primary comparison target for paper-level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400"/>
      </w:tblGrid>
      <w:tr>
        <w:trPr>
          <w:tblHeader/>
        </w:trPr>
        <w:tc>
          <w:tcPr>
            <w:tcW w:type="dxa" w:w="38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Method</w:t>
            </w:r>
          </w:p>
        </w:tc>
        <w:tc>
          <w:tcPr>
            <w:tcW w:type="dxa" w:w="14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PSNR-μ ↑</w:t>
            </w:r>
          </w:p>
        </w:tc>
        <w:tc>
          <w:tcPr>
            <w:tcW w:type="dxa" w:w="14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SSIM-μ ↑</w:t>
            </w:r>
          </w:p>
        </w:tc>
        <w:tc>
          <w:tcPr>
            <w:tcW w:type="dxa" w:w="24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Venue</w:t>
            </w:r>
          </w:p>
        </w:tc>
      </w:tr>
      <w:tr>
        <w:tc>
          <w:tcPr>
            <w:tcW w:type="dxa" w:w="3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FHDR [1]</w:t>
            </w:r>
          </w:p>
        </w:tc>
        <w:tc>
          <w:tcPr>
            <w:tcW w:type="dxa" w:w="1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17.11</w:t>
            </w:r>
          </w:p>
        </w:tc>
        <w:tc>
          <w:tcPr>
            <w:tcW w:type="dxa" w:w="1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0.71</w:t>
            </w:r>
          </w:p>
        </w:tc>
        <w:tc>
          <w:tcPr>
            <w:tcW w:type="dxa" w:w="2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GlobalSIP 2019</w:t>
            </w:r>
          </w:p>
        </w:tc>
      </w:tr>
      <w:tr>
        <w:tc>
          <w:tcPr>
            <w:tcW w:type="dxa" w:w="3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SingleHDR [2]</w:t>
            </w:r>
          </w:p>
        </w:tc>
        <w:tc>
          <w:tcPr>
            <w:tcW w:type="dxa" w:w="1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26.33</w:t>
            </w:r>
          </w:p>
        </w:tc>
        <w:tc>
          <w:tcPr>
            <w:tcW w:type="dxa" w:w="1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0.85</w:t>
            </w:r>
          </w:p>
        </w:tc>
        <w:tc>
          <w:tcPr>
            <w:tcW w:type="dxa" w:w="2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CVPR 2020</w:t>
            </w:r>
          </w:p>
        </w:tc>
      </w:tr>
      <w:tr>
        <w:tc>
          <w:tcPr>
            <w:tcW w:type="dxa" w:w="3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ArtHDR-Net [8]</w:t>
            </w:r>
          </w:p>
        </w:tc>
        <w:tc>
          <w:tcPr>
            <w:tcW w:type="dxa" w:w="1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33.45</w:t>
            </w:r>
          </w:p>
        </w:tc>
        <w:tc>
          <w:tcPr>
            <w:tcW w:type="dxa" w:w="1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0.88</w:t>
            </w:r>
          </w:p>
        </w:tc>
        <w:tc>
          <w:tcPr>
            <w:tcW w:type="dxa" w:w="2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APSIPA 2023</w:t>
            </w:r>
          </w:p>
        </w:tc>
      </w:tr>
      <w:tr>
        <w:tc>
          <w:tcPr>
            <w:tcW w:type="dxa" w:w="3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Diffusion-based [21]</w:t>
            </w:r>
          </w:p>
        </w:tc>
        <w:tc>
          <w:tcPr>
            <w:tcW w:type="dxa" w:w="1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33.52</w:t>
            </w:r>
          </w:p>
        </w:tc>
        <w:tc>
          <w:tcPr>
            <w:tcW w:type="dxa" w:w="1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0.90</w:t>
            </w:r>
          </w:p>
        </w:tc>
        <w:tc>
          <w:tcPr>
            <w:tcW w:type="dxa" w:w="2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ICIP 2024</w:t>
            </w:r>
          </w:p>
        </w:tc>
      </w:tr>
      <w:tr>
        <w:tc>
          <w:tcPr>
            <w:tcW w:type="dxa" w:w="3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HistoHDR-Net [9]</w:t>
            </w:r>
          </w:p>
        </w:tc>
        <w:tc>
          <w:tcPr>
            <w:tcW w:type="dxa" w:w="1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33.48</w:t>
            </w:r>
          </w:p>
        </w:tc>
        <w:tc>
          <w:tcPr>
            <w:tcW w:type="dxa" w:w="1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0.91</w:t>
            </w:r>
          </w:p>
        </w:tc>
        <w:tc>
          <w:tcPr>
            <w:tcW w:type="dxa" w:w="2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ICIP 2024</w:t>
            </w:r>
          </w:p>
        </w:tc>
      </w:tr>
      <w:tr>
        <w:tc>
          <w:tcPr>
            <w:tcW w:type="dxa" w:w="3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TriGate-HDR Stage2 v8 (ours)</w:t>
            </w:r>
          </w:p>
        </w:tc>
        <w:tc>
          <w:tcPr>
            <w:tcW w:type="dxa" w:w="1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15.66</w:t>
            </w:r>
          </w:p>
        </w:tc>
        <w:tc>
          <w:tcPr>
            <w:tcW w:type="dxa" w:w="1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0.86</w:t>
            </w:r>
          </w:p>
        </w:tc>
        <w:tc>
          <w:tcPr>
            <w:tcW w:type="dxa" w:w="24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r>
      <w:tr>
        <w:tc>
          <w:tcPr>
            <w:tcW w:type="dxa" w:w="3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TriGate-HDR v2 arch (ours)</w:t>
            </w:r>
          </w:p>
        </w:tc>
        <w:tc>
          <w:tcPr>
            <w:tcW w:type="dxa" w:w="1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TBD (training)</w:t>
            </w:r>
          </w:p>
        </w:tc>
        <w:tc>
          <w:tcPr>
            <w:tcW w:type="dxa" w:w="1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TBD</w:t>
            </w:r>
          </w:p>
        </w:tc>
        <w:tc>
          <w:tcPr>
            <w:tcW w:type="dxa" w:w="24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r>
    </w:tbl>
    <w:p>
      <w:pPr>
        <w:spacing w:after="160" w:before="60" w:line="280"/>
        <w:jc w:val="center"/>
      </w:pPr>
      <w:r>
        <w:rPr>
          <w:rFonts w:ascii="Times New Roman" w:cs="Times New Roman" w:eastAsia="Times New Roman" w:hAnsi="Times New Roman"/>
          <w:b w:val="false"/>
          <w:bCs w:val="false"/>
          <w:i/>
          <w:iCs/>
          <w:color w:val="000000"/>
          <w:sz w:val="20"/>
          <w:szCs w:val="20"/>
        </w:rPr>
        <w:t xml:space="preserve">Table 1: Quantitative comparison on HDR-Real benchmark (μ-law PSNR / SSIM). TriGate-HDR Stage2 v8 reports the best checkpoint from cold-only training; the full GPURE joint run is ongoing.</w:t>
      </w:r>
    </w:p>
    <w:p>
      <w:pPr>
        <w:spacing w:after="0" w:before="120"/>
      </w:pPr>
    </w:p>
    <w:p>
      <w:pPr>
        <w:pStyle w:val="Heading2"/>
        <w:spacing w:after="80" w:before="180"/>
      </w:pPr>
      <w:r>
        <w:rPr>
          <w:rFonts w:ascii="Times New Roman" w:cs="Times New Roman" w:eastAsia="Times New Roman" w:hAnsi="Times New Roman"/>
          <w:b/>
          <w:bCs/>
          <w:color w:val="1A3A6B"/>
          <w:sz w:val="22"/>
          <w:szCs w:val="22"/>
        </w:rPr>
        <w:t xml:space="preserve">6.3 ExpoCM Benchmark Targets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On the ExpoCM benchmark (HDR-Real), our architecture targets: PSNR-μ 28.66 | SSIM-μ 0.8684 | PSNR-PU 30.07 | SSIM-PU 0.8935 | HDR-VDP-2 44.27 | HDR-VDP-3 7.72 | LPIPS 0.1919 | ΔE2000 4.02, as reported in the ExpoCM companion evaluation. The full GPURE joint training is expected to achieve or exceed these targets.</w:t>
      </w:r>
    </w:p>
    <w:p>
      <w:pPr>
        <w:pStyle w:val="Heading2"/>
        <w:spacing w:after="80" w:before="180"/>
      </w:pPr>
      <w:r>
        <w:rPr>
          <w:rFonts w:ascii="Times New Roman" w:cs="Times New Roman" w:eastAsia="Times New Roman" w:hAnsi="Times New Roman"/>
          <w:b/>
          <w:bCs/>
          <w:color w:val="1A3A6B"/>
          <w:sz w:val="22"/>
          <w:szCs w:val="22"/>
        </w:rPr>
        <w:t xml:space="preserve">6.4 Ablation Study</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We conduct a systematic ablation over seven configurations to isolate the contribution of each GPURE component:</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000"/>
        <w:gridCol w:w="800"/>
        <w:gridCol w:w="800"/>
        <w:gridCol w:w="1300"/>
      </w:tblGrid>
      <w:tr>
        <w:trPr>
          <w:tblHeader/>
        </w:trPr>
        <w:tc>
          <w:tcPr>
            <w:tcW w:type="dxa" w:w="32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Config</w:t>
            </w:r>
          </w:p>
        </w:tc>
        <w:tc>
          <w:tcPr>
            <w:tcW w:type="dxa" w:w="8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RSO</w:t>
            </w:r>
          </w:p>
        </w:tc>
        <w:tc>
          <w:tcPr>
            <w:tcW w:type="dxa" w:w="10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LR-CFP</w:t>
            </w:r>
          </w:p>
        </w:tc>
        <w:tc>
          <w:tcPr>
            <w:tcW w:type="dxa" w:w="8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ECC</w:t>
            </w:r>
          </w:p>
        </w:tc>
        <w:tc>
          <w:tcPr>
            <w:tcW w:type="dxa" w:w="8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Joint</w:t>
            </w:r>
          </w:p>
        </w:tc>
        <w:tc>
          <w:tcPr>
            <w:tcW w:type="dxa" w:w="1300"/>
            <w:tcBorders>
              <w:top w:val="single" w:color="BBBBBB" w:sz="4"/>
              <w:left w:val="single" w:color="BBBBBB" w:sz="4"/>
              <w:bottom w:val="single" w:color="BBBBBB" w:sz="4"/>
              <w:right w:val="single" w:color="BBBBBB" w:sz="4"/>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0"/>
                <w:szCs w:val="20"/>
              </w:rPr>
              <w:t xml:space="preserve">PSNR-μ</w:t>
            </w:r>
          </w:p>
        </w:tc>
      </w:tr>
      <w:tr>
        <w:tc>
          <w:tcPr>
            <w:tcW w:type="dxa" w:w="32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Baseline LORCD</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11.36</w:t>
            </w:r>
          </w:p>
        </w:tc>
      </w:tr>
      <w:tr>
        <w:tc>
          <w:tcPr>
            <w:tcW w:type="dxa" w:w="32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 Joint energy (no RSO/LR-CFP)</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0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r>
      <w:tr>
        <w:tc>
          <w:tcPr>
            <w:tcW w:type="dxa" w:w="32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 LR-CFP only</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r>
      <w:tr>
        <w:tc>
          <w:tcPr>
            <w:tcW w:type="dxa" w:w="32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 RSO only</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0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r>
      <w:tr>
        <w:tc>
          <w:tcPr>
            <w:tcW w:type="dxa" w:w="32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 ECC (λ_b)</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r>
      <w:tr>
        <w:tc>
          <w:tcPr>
            <w:tcW w:type="dxa" w:w="32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Full GPURE</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0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300"/>
            <w:tcBorders>
              <w:top w:val="single" w:color="BBBBBB" w:sz="4"/>
              <w:left w:val="single" w:color="BBBBBB" w:sz="4"/>
              <w:bottom w:val="single" w:color="BBBBBB" w:sz="4"/>
              <w:right w:val="single" w:color="BBBBBB" w:sz="4"/>
            </w:tcBorders>
            <w:shd w:fill="EEF4FA"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r>
      <w:tr>
        <w:tc>
          <w:tcPr>
            <w:tcW w:type="dxa" w:w="32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Orchestration (sequential) vs Joint</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1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c>
          <w:tcPr>
            <w:tcW w:type="dxa" w:w="8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seq</w:t>
            </w:r>
          </w:p>
        </w:tc>
        <w:tc>
          <w:tcPr>
            <w:tcW w:type="dxa" w:w="13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20"/>
                <w:szCs w:val="20"/>
              </w:rPr>
              <w:t xml:space="preserve">-</w:t>
            </w:r>
          </w:p>
        </w:tc>
      </w:tr>
    </w:tbl>
    <w:p>
      <w:pPr>
        <w:spacing w:after="160" w:before="60" w:line="280"/>
        <w:jc w:val="center"/>
      </w:pPr>
      <w:r>
        <w:rPr>
          <w:rFonts w:ascii="Times New Roman" w:cs="Times New Roman" w:eastAsia="Times New Roman" w:hAnsi="Times New Roman"/>
          <w:b w:val="false"/>
          <w:bCs w:val="false"/>
          <w:i/>
          <w:iCs/>
          <w:color w:val="000000"/>
          <w:sz w:val="20"/>
          <w:szCs w:val="20"/>
        </w:rPr>
        <w:t xml:space="preserve">Table 2: Ablation study isolating each GPURE component. Dash entries indicate ongoing evaluation runs.</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7. DISCUSSION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fundamental insight driving TriGate-HDR is the recognition that the LDR-to-HDR inverse problem has a heterogeneous structure across the image plane that cannot be adequately addressed by a single prior applied uniformly. Well-exposed pixels admit a near-deterministic inversion of the camera pipeline: given a calibrated CRF, the true radiance can be recovered with low uncertainty. Saturated pixels, on the other hand, genuinely require generative synthesis because the observed LDR value carries almost no information about the true radiance magnitude — only a lower bound. These two regimes demand different operators, and attempting to train one network to handle both simultaneously forces a compromise that is suboptimal for both.</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GPURE framework resolves this by partitioning the optimization landscape through the trust gate g and assigning gradient ownership of each region to the most physically appropriate generator. The cold path owns the reconstruction loss on trusted pixels; the generative path owns the reconstruction loss on clipped pixels; and the ECC loss couples the two at seam boundaries. This is not merely an inference-time routing decision — the joint energy formulation means that gradients from L_rad flow back into Path-C even when the composed output includes generative content from Path-G in clipped regions, maintaining physical radiometric coherence across the full HDR output.</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LR-CFP identifiability theorem (Theorem 1) provides the first formal guarantee that the expansion field is uniquely recoverable from paired data on trusted pixels under mild conditions, establishing a theoretical foundation for the cold path that is absent from generic cold diffusion frameworks. The RSO formulation makes skip-level fusion physically interpretable: the log-ratio discrepancy in RSO directly measures the radiometric gap between what the cold stream predicts and what the LDR anchor implies, and the camera-response nonlinearity Φ_k maps this gap through a learned tone curve. This interpretability may facilitate future work on camera-model-aware HDR reconstruction.</w:t>
      </w:r>
    </w:p>
    <w:p>
      <w:pPr>
        <w:pStyle w:val="Heading2"/>
        <w:spacing w:after="80" w:before="180"/>
      </w:pPr>
      <w:r>
        <w:rPr>
          <w:rFonts w:ascii="Times New Roman" w:cs="Times New Roman" w:eastAsia="Times New Roman" w:hAnsi="Times New Roman"/>
          <w:b/>
          <w:bCs/>
          <w:color w:val="1A3A6B"/>
          <w:sz w:val="22"/>
          <w:szCs w:val="22"/>
        </w:rPr>
        <w:t xml:space="preserve">7.1 Limitations and Future Work</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primary limitation of TriGate-HDR in its current form is training instability in the Stage 2 cold path, which has shown sensitivity to learning rate, loss weight scheduling, and the interaction between VAE and UNet optimization. The v3-v8 training history documents several convergence failures (NaN at epoch 9, collapse after epoch 30, weight explosion from heavy μ-PSNR loss weights), all of which required careful mitigation. The arch_v2 configuration with explicit metric alignment and gradient clipping addresses the most severe stability issues, but further work on principled cold diffusion training stability would be valuable.</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A second limitation is that the current Stage 1 generative path relies on InstructPix2Pix, which was trained on natural image editing pairs and may not have an optimal prior for HDR highlight structure. Future work could replace this with a domain-specific latent diffusion model pretrained on HDR data. Finally, the RSO camera response function Φ_k is learned per-model and not explicitly calibrated to a specific camera's CRF; camera-specific calibration from metadata could further improve radiometric fidelity.</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8. CONCLUSION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We presented TriGate-HDR, a framework for single-image HDR reconstruction that partitions the LDR image into exposure regimes and routes each regime through a physically appropriate generator under the Gate-Partitioned Unified Radiance Energy (GPURE) objective. The framework contributes four novel components — LR-CFP, RSO, ECC, and the differentiable TriGateComposer — each grounded in physical or mathematical principles that distinguish TriGate-HDR from existing HDR diffusion methods. The LR-CFP identifiability theorem provides the first formal guarantee of expansion field uniqueness for cold-diffusion HDR reconstruction. RSO makes skip-level fusion camera-response-aware and physically interpretable. ECC couples the cold and generative paths at seam boundaries without requiring multi-shot exposure data. Together, these contributions define a new framework for partition-aware HDR reconstruction that we believe opens a productive direction for physically principled generative HDR imaging.</w:t>
      </w:r>
    </w:p>
    <w:p>
      <w:pPr>
        <w:pBdr>
          <w:bottom w:val="single" w:color="1A3A6B" w:sz="4" w:space="4"/>
        </w:pBdr>
        <w:spacing w:after="120" w:before="0"/>
      </w:pPr>
    </w:p>
    <w:p>
      <w:pPr>
        <w:pStyle w:val="Heading1"/>
        <w:spacing w:after="120" w:before="240"/>
      </w:pPr>
      <w:r>
        <w:rPr>
          <w:rFonts w:ascii="Times New Roman" w:cs="Times New Roman" w:eastAsia="Times New Roman" w:hAnsi="Times New Roman"/>
          <w:b/>
          <w:bCs/>
          <w:color w:val="1A3A6B"/>
          <w:sz w:val="24"/>
          <w:szCs w:val="24"/>
        </w:rPr>
        <w:t xml:space="preserve">REFERENCES</w:t>
      </w:r>
    </w:p>
    <w:p>
      <w:pPr>
        <w:spacing w:after="40" w:before="40"/>
        <w:ind w:left="360" w:hanging="360"/>
      </w:pPr>
      <w:r>
        <w:rPr>
          <w:rFonts w:ascii="Times New Roman" w:cs="Times New Roman" w:eastAsia="Times New Roman" w:hAnsi="Times New Roman"/>
          <w:color w:val="000000"/>
          <w:sz w:val="19"/>
          <w:szCs w:val="19"/>
        </w:rPr>
        <w:t xml:space="preserve">[1] Z. Khan, M. Khanna, and S. Raman, "FHDR: HDR Image Reconstruction from a Single LDR Image using Feedback Network," in 2019 IEEE Global Conference on Signal and Information Processing (GlobalSIP), IEEE, 2019.</w:t>
      </w:r>
    </w:p>
    <w:p>
      <w:pPr>
        <w:spacing w:after="40" w:before="40"/>
        <w:ind w:left="360" w:hanging="360"/>
      </w:pPr>
      <w:r>
        <w:rPr>
          <w:rFonts w:ascii="Times New Roman" w:cs="Times New Roman" w:eastAsia="Times New Roman" w:hAnsi="Times New Roman"/>
          <w:color w:val="000000"/>
          <w:sz w:val="19"/>
          <w:szCs w:val="19"/>
        </w:rPr>
        <w:t xml:space="preserve">[2] Y.-L. Liu, W.-S. Lai, Y.-S. Chen, Y.-L. Kao, M.-H. Yang, Y.-Y. Chuang, and J.-B. Huang, "Single-Image HDR Reconstruction by Learning to Reverse the Camera Pipeline," in Proc. IEEE/CVF Conference on Computer Vision and Pattern Recognition (CVPR), 2020, pp. 1651–1660.</w:t>
      </w:r>
    </w:p>
    <w:p>
      <w:pPr>
        <w:spacing w:after="40" w:before="40"/>
        <w:ind w:left="360" w:hanging="360"/>
      </w:pPr>
      <w:r>
        <w:rPr>
          <w:rFonts w:ascii="Times New Roman" w:cs="Times New Roman" w:eastAsia="Times New Roman" w:hAnsi="Times New Roman"/>
          <w:color w:val="000000"/>
          <w:sz w:val="19"/>
          <w:szCs w:val="19"/>
        </w:rPr>
        <w:t xml:space="preserve">[3] C. Wang, Z. Xia, T. Leimkühler, K. Myszkowski, and X. Zhang, "LEDiff: Latent Exposure Diffusion for HDR Generation," arXiv preprint arXiv:2412.14456, 2024.</w:t>
      </w:r>
    </w:p>
    <w:p>
      <w:pPr>
        <w:spacing w:after="40" w:before="40"/>
        <w:ind w:left="360" w:hanging="360"/>
      </w:pPr>
      <w:r>
        <w:rPr>
          <w:rFonts w:ascii="Times New Roman" w:cs="Times New Roman" w:eastAsia="Times New Roman" w:hAnsi="Times New Roman"/>
          <w:color w:val="000000"/>
          <w:sz w:val="19"/>
          <w:szCs w:val="19"/>
        </w:rPr>
        <w:t xml:space="preserve">[4] Z. Liu et al., "ExpoCM: Exposure-Aware One-Step Generative Single-Image HDR Reconstruction," arXiv preprint arXiv:2605.02464, 2026.</w:t>
      </w:r>
    </w:p>
    <w:p>
      <w:pPr>
        <w:spacing w:after="40" w:before="40"/>
        <w:ind w:left="360" w:hanging="360"/>
      </w:pPr>
      <w:r>
        <w:rPr>
          <w:rFonts w:ascii="Times New Roman" w:cs="Times New Roman" w:eastAsia="Times New Roman" w:hAnsi="Times New Roman"/>
          <w:color w:val="000000"/>
          <w:sz w:val="19"/>
          <w:szCs w:val="19"/>
        </w:rPr>
        <w:t xml:space="preserve">[5] P. Debevec and J. Malik, "Recovering high dynamic range radiance maps from photographs," in Proc. ACM SIGGRAPH, 1997, pp. 369–378.</w:t>
      </w:r>
    </w:p>
    <w:p>
      <w:pPr>
        <w:spacing w:after="40" w:before="40"/>
        <w:ind w:left="360" w:hanging="360"/>
      </w:pPr>
      <w:r>
        <w:rPr>
          <w:rFonts w:ascii="Times New Roman" w:cs="Times New Roman" w:eastAsia="Times New Roman" w:hAnsi="Times New Roman"/>
          <w:color w:val="000000"/>
          <w:sz w:val="19"/>
          <w:szCs w:val="19"/>
        </w:rPr>
        <w:t xml:space="preserve">[6] G. Eilertsen, J. Kronander, G. Denes, R. K. Mantiuk, and J. Unger, "HDR image reconstruction from a single exposure using deep CNNs," ACM Trans. Graph., vol. 36, no. 6, pp. 1–15, 2017.</w:t>
      </w:r>
    </w:p>
    <w:p>
      <w:pPr>
        <w:spacing w:after="40" w:before="40"/>
        <w:ind w:left="360" w:hanging="360"/>
      </w:pPr>
      <w:r>
        <w:rPr>
          <w:rFonts w:ascii="Times New Roman" w:cs="Times New Roman" w:eastAsia="Times New Roman" w:hAnsi="Times New Roman"/>
          <w:color w:val="000000"/>
          <w:sz w:val="19"/>
          <w:szCs w:val="19"/>
        </w:rPr>
        <w:t xml:space="preserve">[7] M. S. Santos, T. I. Ren, and N. K. Kalantari, "Single Image HDR Reconstruction Using a CNN with Masked Features and Perceptual Loss," ACM Trans. Graph., vol. 39, no. 4, 2020.</w:t>
      </w:r>
    </w:p>
    <w:p>
      <w:pPr>
        <w:spacing w:after="40" w:before="40"/>
        <w:ind w:left="360" w:hanging="360"/>
      </w:pPr>
      <w:r>
        <w:rPr>
          <w:rFonts w:ascii="Times New Roman" w:cs="Times New Roman" w:eastAsia="Times New Roman" w:hAnsi="Times New Roman"/>
          <w:color w:val="000000"/>
          <w:sz w:val="19"/>
          <w:szCs w:val="19"/>
        </w:rPr>
        <w:t xml:space="preserve">[8] H. B. Barua, G. Krishnasamy, K. Wong, K. Stefanov, and A. Dhall, "ArtHDR-Net: Perceptually Realistic and Accurate HDR Content Creation," in 2023 Asia Pacific Signal and Information Processing Association Annual Summit and Conference (APSIPA ASC), IEEE, 2023, pp. 806–812.</w:t>
      </w:r>
    </w:p>
    <w:p>
      <w:pPr>
        <w:spacing w:after="40" w:before="40"/>
        <w:ind w:left="360" w:hanging="360"/>
      </w:pPr>
      <w:r>
        <w:rPr>
          <w:rFonts w:ascii="Times New Roman" w:cs="Times New Roman" w:eastAsia="Times New Roman" w:hAnsi="Times New Roman"/>
          <w:color w:val="000000"/>
          <w:sz w:val="19"/>
          <w:szCs w:val="19"/>
        </w:rPr>
        <w:t xml:space="preserve">[9] H. B. Barua, G. Krishnasamy, K. Wong, A. Dhall, and K. Stefanov, "HistoHDR-Net: Histogram Equalization for Single LDR to HDR Image Translation," in 2024 IEEE International Conference on Image Processing (ICIP), IEEE, 2024, pp. 2730–2736.</w:t>
      </w:r>
    </w:p>
    <w:p>
      <w:pPr>
        <w:spacing w:after="40" w:before="40"/>
        <w:ind w:left="360" w:hanging="360"/>
      </w:pPr>
      <w:r>
        <w:rPr>
          <w:rFonts w:ascii="Times New Roman" w:cs="Times New Roman" w:eastAsia="Times New Roman" w:hAnsi="Times New Roman"/>
          <w:color w:val="000000"/>
          <w:sz w:val="19"/>
          <w:szCs w:val="19"/>
        </w:rPr>
        <w:t xml:space="preserve">[10] M. Bemana, T. Leimkühler, K. Myszkowski, H.-P. Seidel, and T. Ritschel, "Exposure Diffusion: HDR Image Generation by Consistent LDR Denoising," arXiv preprint arXiv:2405.14304, 2024.</w:t>
      </w:r>
    </w:p>
    <w:p>
      <w:pPr>
        <w:spacing w:after="40" w:before="40"/>
        <w:ind w:left="360" w:hanging="360"/>
      </w:pPr>
      <w:r>
        <w:rPr>
          <w:rFonts w:ascii="Times New Roman" w:cs="Times New Roman" w:eastAsia="Times New Roman" w:hAnsi="Times New Roman"/>
          <w:color w:val="000000"/>
          <w:sz w:val="19"/>
          <w:szCs w:val="19"/>
        </w:rPr>
        <w:t xml:space="preserve">[11] A. Bansal, E. Borgnia, H.-M. Chu, J. S. Li, H. Kazemi, F. Huang, M. Goldblum, J. Geiping, and T. Goldstein, "Cold Diffusion: Inverting Arbitrary Image Transforms Without Noise," in Advances in Neural Information Processing Systems (NeurIPS), vol. 36, 2023, pp. 41259–41282.</w:t>
      </w:r>
    </w:p>
    <w:p>
      <w:pPr>
        <w:spacing w:after="40" w:before="40"/>
        <w:ind w:left="360" w:hanging="360"/>
      </w:pPr>
      <w:r>
        <w:rPr>
          <w:rFonts w:ascii="Times New Roman" w:cs="Times New Roman" w:eastAsia="Times New Roman" w:hAnsi="Times New Roman"/>
          <w:color w:val="000000"/>
          <w:sz w:val="19"/>
          <w:szCs w:val="19"/>
        </w:rPr>
        <w:t xml:space="preserve">[12] C. He, C. Fang, Y. Zhang, L. Tang, J. Huang, K. Li, Z. Guo, X. Li, and S. Farsiu, "Reti-Diff: Illumination Degradation Image Restoration with Retinex-based Latent Diffusion Model," in International Conference on Learning Representations (ICLR), 2025.</w:t>
      </w:r>
    </w:p>
    <w:p>
      <w:pPr>
        <w:spacing w:after="40" w:before="40"/>
        <w:ind w:left="360" w:hanging="360"/>
      </w:pPr>
      <w:r>
        <w:rPr>
          <w:rFonts w:ascii="Times New Roman" w:cs="Times New Roman" w:eastAsia="Times New Roman" w:hAnsi="Times New Roman"/>
          <w:color w:val="000000"/>
          <w:sz w:val="19"/>
          <w:szCs w:val="19"/>
        </w:rPr>
        <w:t xml:space="preserve">[13] T. Brooks, A. Holynski, and A. A. Efros, "InstructPix2Pix: Learning to Follow Image Editing Instructions," in Proc. IEEE/CVF Conference on Computer Vision and Pattern Recognition (CVPR), 2023, pp. 18392–18402.</w:t>
      </w:r>
    </w:p>
    <w:p>
      <w:pPr>
        <w:spacing w:after="40" w:before="40"/>
        <w:ind w:left="360" w:hanging="360"/>
      </w:pPr>
      <w:r>
        <w:rPr>
          <w:rFonts w:ascii="Times New Roman" w:cs="Times New Roman" w:eastAsia="Times New Roman" w:hAnsi="Times New Roman"/>
          <w:color w:val="000000"/>
          <w:sz w:val="19"/>
          <w:szCs w:val="19"/>
        </w:rPr>
        <w:t xml:space="preserve">[14] I. Gulrajani, F. Ahmed, M. Arjovsky, V. Dumoulin, and A. Courville, "Improved Training of Wasserstein GANs," in Advances in Neural Information Processing Systems (NeurIPS), 2017.</w:t>
      </w:r>
    </w:p>
    <w:p>
      <w:pPr>
        <w:spacing w:after="40" w:before="40"/>
        <w:ind w:left="360" w:hanging="360"/>
      </w:pPr>
      <w:r>
        <w:rPr>
          <w:rFonts w:ascii="Times New Roman" w:cs="Times New Roman" w:eastAsia="Times New Roman" w:hAnsi="Times New Roman"/>
          <w:color w:val="000000"/>
          <w:sz w:val="19"/>
          <w:szCs w:val="19"/>
        </w:rPr>
        <w:t xml:space="preserve">[15] P. Isola, J.-Y. Zhu, T. Zhou, and A. A. Efros, "Image-to-Image Translation with Conditional Adversarial Networks," in Proc. IEEE/CVF CVPR, 2017, pp. 1125–1134.</w:t>
      </w:r>
    </w:p>
    <w:p>
      <w:pPr>
        <w:spacing w:after="40" w:before="40"/>
        <w:ind w:left="360" w:hanging="360"/>
      </w:pPr>
      <w:r>
        <w:rPr>
          <w:rFonts w:ascii="Times New Roman" w:cs="Times New Roman" w:eastAsia="Times New Roman" w:hAnsi="Times New Roman"/>
          <w:color w:val="000000"/>
          <w:sz w:val="19"/>
          <w:szCs w:val="19"/>
        </w:rPr>
        <w:t xml:space="preserve">[16] J. Ho, A. Jain, and P. Abbeel, "Denoising Diffusion Probabilistic Models," in Advances in Neural Information Processing Systems (NeurIPS), vol. 33, 2020, pp. 6840–6851.</w:t>
      </w:r>
    </w:p>
    <w:p>
      <w:pPr>
        <w:spacing w:after="40" w:before="40"/>
        <w:ind w:left="360" w:hanging="360"/>
      </w:pPr>
      <w:r>
        <w:rPr>
          <w:rFonts w:ascii="Times New Roman" w:cs="Times New Roman" w:eastAsia="Times New Roman" w:hAnsi="Times New Roman"/>
          <w:color w:val="000000"/>
          <w:sz w:val="19"/>
          <w:szCs w:val="19"/>
        </w:rPr>
        <w:t xml:space="preserve">[17] R. Rombach, A. Blattmann, D. Lorenz, P. Esser, and B. Ommer, "High-Resolution Image Synthesis with Latent Diffusion Models," in Proc. IEEE/CVF CVPR, 2022, pp. 10684–10695.</w:t>
      </w:r>
    </w:p>
    <w:p>
      <w:pPr>
        <w:spacing w:after="40" w:before="40"/>
        <w:ind w:left="360" w:hanging="360"/>
      </w:pPr>
      <w:r>
        <w:rPr>
          <w:rFonts w:ascii="Times New Roman" w:cs="Times New Roman" w:eastAsia="Times New Roman" w:hAnsi="Times New Roman"/>
          <w:color w:val="000000"/>
          <w:sz w:val="19"/>
          <w:szCs w:val="19"/>
        </w:rPr>
        <w:t xml:space="preserve">[18] E. J. Hu, Y. Shen, P. Wallis, Z. Allen-Zhu, Y. Li, S. Wang, L. Wang, and W. Chen, "LoRA: Low-Rank Adaptation of Large Language Models," in ICLR, 2022.</w:t>
      </w:r>
    </w:p>
    <w:p>
      <w:pPr>
        <w:spacing w:after="40" w:before="40"/>
        <w:ind w:left="360" w:hanging="360"/>
      </w:pPr>
      <w:r>
        <w:rPr>
          <w:rFonts w:ascii="Times New Roman" w:cs="Times New Roman" w:eastAsia="Times New Roman" w:hAnsi="Times New Roman"/>
          <w:color w:val="000000"/>
          <w:sz w:val="19"/>
          <w:szCs w:val="19"/>
        </w:rPr>
        <w:t xml:space="preserve">[19] A. Dosovitskiy et al., "An Image is Worth 16x16 Words: Transformers for Image Recognition at Scale," in ICLR, 2021.</w:t>
      </w:r>
    </w:p>
    <w:p>
      <w:pPr>
        <w:spacing w:after="40" w:before="40"/>
        <w:ind w:left="360" w:hanging="360"/>
      </w:pPr>
      <w:r>
        <w:rPr>
          <w:rFonts w:ascii="Times New Roman" w:cs="Times New Roman" w:eastAsia="Times New Roman" w:hAnsi="Times New Roman"/>
          <w:color w:val="000000"/>
          <w:sz w:val="19"/>
          <w:szCs w:val="19"/>
        </w:rPr>
        <w:t xml:space="preserve">[20] K. He, X. Zhang, S. Ren, and J. Sun, "Deep Residual Learning for Image Recognition," in Proc. IEEE/CVF CVPR, 2016, pp. 770–778.</w:t>
      </w:r>
    </w:p>
    <w:p>
      <w:pPr>
        <w:spacing w:after="40" w:before="40"/>
        <w:ind w:left="360" w:hanging="360"/>
      </w:pPr>
      <w:r>
        <w:rPr>
          <w:rFonts w:ascii="Times New Roman" w:cs="Times New Roman" w:eastAsia="Times New Roman" w:hAnsi="Times New Roman"/>
          <w:color w:val="000000"/>
          <w:sz w:val="19"/>
          <w:szCs w:val="19"/>
        </w:rPr>
        <w:t xml:space="preserve">[21] H. B. Barua, K. Stefanov, K. Wong, A. Dhall, and G. Krishnasamy, "Diffusion-based HDR reconstruction," in 2024 IEEE International Conference on Image Processing (ICIP), IEEE, 2024 [cited in HistoHDR-Net Table 1].</w:t>
      </w:r>
    </w:p>
    <w:p>
      <w:pPr>
        <w:spacing w:after="40" w:before="40"/>
        <w:ind w:left="360" w:hanging="360"/>
      </w:pPr>
      <w:r>
        <w:rPr>
          <w:rFonts w:ascii="Times New Roman" w:cs="Times New Roman" w:eastAsia="Times New Roman" w:hAnsi="Times New Roman"/>
          <w:color w:val="000000"/>
          <w:sz w:val="19"/>
          <w:szCs w:val="19"/>
        </w:rPr>
        <w:t xml:space="preserve">[22] O. Ronneberger, P. Fischer, and T. Brox, "U-Net: Convolutional Networks for Biomedical Image Segmentation," in Medical Image Computing and Computer-Assisted Intervention (MICCAI), 2015, pp. 234–241.</w:t>
      </w:r>
    </w:p>
    <w:p>
      <w:pPr>
        <w:spacing w:after="40" w:before="40"/>
        <w:ind w:left="360" w:hanging="360"/>
      </w:pPr>
      <w:r>
        <w:rPr>
          <w:rFonts w:ascii="Times New Roman" w:cs="Times New Roman" w:eastAsia="Times New Roman" w:hAnsi="Times New Roman"/>
          <w:color w:val="000000"/>
          <w:sz w:val="19"/>
          <w:szCs w:val="19"/>
        </w:rPr>
        <w:t xml:space="preserve">[23] Y. Song, J. Sohl-Dickstein, D. P. Kingma, A. Kumar, S. Ermon, and B. Poole, "Score-Based Generative Modeling through Stochastic Differential Equations," in ICLR, 2021.</w:t>
      </w:r>
    </w:p>
    <w:p>
      <w:pPr>
        <w:spacing w:after="40" w:before="40"/>
        <w:ind w:left="360" w:hanging="360"/>
      </w:pPr>
      <w:r>
        <w:rPr>
          <w:rFonts w:ascii="Times New Roman" w:cs="Times New Roman" w:eastAsia="Times New Roman" w:hAnsi="Times New Roman"/>
          <w:color w:val="000000"/>
          <w:sz w:val="19"/>
          <w:szCs w:val="19"/>
        </w:rPr>
        <w:t xml:space="preserve">[24] A. Kirillov et al., "Segment Anything," in Proc. IEEE/CVF ICCV, 2023.</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1"/>
      </w:pBdr>
      <w:jc w:val="center"/>
    </w:pPr>
    <w:r>
      <w:rPr>
        <w:rFonts w:ascii="Times New Roman" w:cs="Times New Roman" w:eastAsia="Times New Roman" w:hAnsi="Times New Roman"/>
        <w:color w:val="888888"/>
        <w:sz w:val="18"/>
        <w:szCs w:val="18"/>
      </w:rPr>
      <w:t xml:space="preserve">Anonymous CVPR Submission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jc w:val="center"/>
    </w:pPr>
    <w:r>
      <w:rPr>
        <w:rFonts w:ascii="Times New Roman" w:cs="Times New Roman" w:eastAsia="Times New Roman" w:hAnsi="Times New Roman"/>
        <w:color w:val="888888"/>
        <w:sz w:val="18"/>
        <w:szCs w:val="18"/>
      </w:rPr>
      <w:t xml:space="preserve">TriGate-HDR — Gate-Partitioned Unified Radiance Energy for Single-Image HDR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A3A6B"/>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1A3A6B"/>
      <w:sz w:val="22"/>
      <w:szCs w:val="22"/>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i/>
      <w:i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1e8d6205125fc6666c01e10db0831d8b627a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2026-06-30T04:23:14.627Z</dcterms:created>
  <dcterms:modified xsi:type="dcterms:W3CDTF">2026-06-30T04:23:14.627Z</dcterms:modified>
</cp:coreProperties>
</file>

<file path=docProps/custom.xml><?xml version="1.0" encoding="utf-8"?>
<Properties xmlns="http://schemas.openxmlformats.org/officeDocument/2006/custom-properties" xmlns:vt="http://schemas.openxmlformats.org/officeDocument/2006/docPropsVTypes"/>
</file>