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
        <w:jc w:val="center"/>
      </w:pPr>
      <w:r>
        <w:rPr>
          <w:rFonts w:ascii="Arial" w:cs="Arial" w:eastAsia="Arial" w:hAnsi="Arial"/>
          <w:b/>
          <w:bCs/>
          <w:color w:val="000000"/>
          <w:sz w:val="40"/>
          <w:szCs w:val="40"/>
        </w:rPr>
        <w:t xml:space="preserve">Landslide Segmentation from Remote Sensing Imagery</w:t>
      </w:r>
    </w:p>
    <w:p>
      <w:pPr>
        <w:spacing w:after="80" w:before="40"/>
        <w:jc w:val="center"/>
      </w:pPr>
      <w:r>
        <w:rPr>
          <w:rFonts w:ascii="Arial" w:cs="Arial" w:eastAsia="Arial" w:hAnsi="Arial"/>
          <w:i/>
          <w:iCs/>
          <w:color w:val="000000"/>
          <w:sz w:val="24"/>
          <w:szCs w:val="24"/>
        </w:rPr>
        <w:t xml:space="preserve">A Comprehensive Research Summary: From Legacy Approaches to State-of-the-Art Deep Learning</w:t>
      </w:r>
    </w:p>
    <w:p>
      <w:pPr>
        <w:spacing w:after="320" w:before="40"/>
        <w:jc w:val="center"/>
      </w:pPr>
      <w:r>
        <w:rPr>
          <w:rFonts w:ascii="Arial" w:cs="Arial" w:eastAsia="Arial" w:hAnsi="Arial"/>
          <w:color w:val="000000"/>
          <w:sz w:val="20"/>
          <w:szCs w:val="20"/>
        </w:rPr>
        <w:t xml:space="preserve">Draft Research Document  |  2026</w:t>
      </w:r>
    </w:p>
    <w:p>
      <w:pPr>
        <w:pStyle w:val="Heading1"/>
        <w:spacing w:after="160" w:before="360"/>
      </w:pPr>
      <w:r>
        <w:rPr>
          <w:rFonts w:ascii="Arial" w:cs="Arial" w:eastAsia="Arial" w:hAnsi="Arial"/>
          <w:b/>
          <w:bCs/>
          <w:color w:val="000000"/>
          <w:sz w:val="30"/>
          <w:szCs w:val="30"/>
        </w:rPr>
        <w:t xml:space="preserve">1.  Introduction and Problem Statement</w:t>
      </w:r>
    </w:p>
    <w:p>
      <w:pPr>
        <w:spacing w:after="140" w:before="80"/>
        <w:jc w:val="both"/>
      </w:pPr>
      <w:r>
        <w:rPr>
          <w:rFonts w:ascii="Arial" w:cs="Arial" w:eastAsia="Arial" w:hAnsi="Arial"/>
          <w:color w:val="000000"/>
          <w:sz w:val="22"/>
          <w:szCs w:val="22"/>
        </w:rPr>
        <w:t xml:space="preserve">Landslides rank among the most destructive geological hazards on Earth. According to the United Nations International Strategy for Disaster Reduction, more than one thousand landslide-related disaster events occur every year, causing thousands of fatalities and severe economic losses. Beyond their immediate destructive impact, landslides sever transportation networks, contaminate water supplies, and generate cascading secondary hazards such as landslide dams and debris flows. The socio-economic consequences are particularly acute in mountainous developing regions, where infrastructure is fragile and emergency response capacity is limited.</w:t>
      </w:r>
    </w:p>
    <w:p>
      <w:pPr>
        <w:spacing w:after="140" w:before="80"/>
        <w:jc w:val="both"/>
      </w:pPr>
      <w:r>
        <w:rPr>
          <w:rFonts w:ascii="Arial" w:cs="Arial" w:eastAsia="Arial" w:hAnsi="Arial"/>
          <w:color w:val="000000"/>
          <w:sz w:val="22"/>
          <w:szCs w:val="22"/>
        </w:rPr>
        <w:t xml:space="preserve">A critical enabler of disaster risk reduction is rapid and accurate landslide inventory mapping, which is the process of delineating, at the pixel level, every landslide-affected region within a study area immediately following a triggering event such as an earthquake or extreme rainfall episode. Inventory maps inform rescue operations, support secondary-hazard modelling, and constitute the ground truth upon which long-term susceptibility and risk assessments are built. Traditional field-based surveys, while accurate, are logistically impossible in the acute post-disaster phase: roads are destroyed, slopes are unstable, and vast tracts of mountainous terrain are inaccessible for weeks or months.</w:t>
      </w:r>
    </w:p>
    <w:p>
      <w:pPr>
        <w:spacing w:after="140" w:before="80"/>
        <w:jc w:val="both"/>
      </w:pPr>
      <w:r>
        <w:rPr>
          <w:rFonts w:ascii="Arial" w:cs="Arial" w:eastAsia="Arial" w:hAnsi="Arial"/>
          <w:color w:val="000000"/>
          <w:sz w:val="22"/>
          <w:szCs w:val="22"/>
        </w:rPr>
        <w:t xml:space="preserve">Satellite remote sensing fills this operational gap. Modern optical satellites, including Sentinel-2, WorldView, PlanetScope, and GaoFen, provide sub-metre to ten-metre imagery within hours to days of a triggering event, offering synoptic coverage of affected regions regardless of physical access constraints. The core computational challenge then becomes: how to automatically and accurately translate these raw satellite images into precise, pixel-level binary maps separating landslide-affected terrain from unaffected background?</w:t>
      </w:r>
    </w:p>
    <w:p>
      <w:pPr>
        <w:spacing w:after="140" w:before="80"/>
        <w:jc w:val="both"/>
      </w:pPr>
      <w:r>
        <w:rPr>
          <w:rFonts w:ascii="Arial" w:cs="Arial" w:eastAsia="Arial" w:hAnsi="Arial"/>
          <w:color w:val="000000"/>
          <w:sz w:val="22"/>
          <w:szCs w:val="22"/>
        </w:rPr>
        <w:t xml:space="preserve">This document answers that question systematically. It begins by examining traditional, non-machine-learning approaches and their structural limitations. It then builds the case for why deep learning is not merely beneficial but strictly necessary. It explains why Digital Elevation Model (DEM) data, which provides topographic information about terrain height, slope, and curvature, is an indispensable input modality. It reviews the current state of the art, extracting benchmark results from two leading recent publications. Finally, it proposes a rigorous ablation study design for a novel proposed model.</w:t>
      </w:r>
    </w:p>
    <w:p>
      <w:pPr>
        <w:spacing w:after="60" w:before="60"/>
      </w:pPr>
      <w:r>
        <w:t xml:space="preserve"/>
      </w:r>
    </w:p>
    <w:p>
      <w:pPr>
        <w:pStyle w:val="Heading1"/>
        <w:spacing w:after="160" w:before="360"/>
      </w:pPr>
      <w:r>
        <w:rPr>
          <w:rFonts w:ascii="Arial" w:cs="Arial" w:eastAsia="Arial" w:hAnsi="Arial"/>
          <w:b/>
          <w:bCs/>
          <w:color w:val="000000"/>
          <w:sz w:val="30"/>
          <w:szCs w:val="30"/>
        </w:rPr>
        <w:t xml:space="preserve">2.  Legacy Approaches: Rule-Based and Statistical Methods</w:t>
      </w:r>
    </w:p>
    <w:p>
      <w:pPr>
        <w:spacing w:after="140" w:before="80"/>
        <w:jc w:val="both"/>
      </w:pPr>
      <w:r>
        <w:rPr>
          <w:rFonts w:ascii="Arial" w:cs="Arial" w:eastAsia="Arial" w:hAnsi="Arial"/>
          <w:color w:val="000000"/>
          <w:sz w:val="22"/>
          <w:szCs w:val="22"/>
        </w:rPr>
        <w:t xml:space="preserve">Before the advent of deep learning, landslide detection and susceptibility mapping relied on a family of deterministic, statistical, and early machine-learning approaches. Each of these methods made explicit assumptions about the physical or statistical structure of landslide occurrence, and each carried fundamental limitations that prevented accurate, generalised, pixel-level segmentation.</w:t>
      </w:r>
    </w:p>
    <w:p>
      <w:pPr>
        <w:pStyle w:val="Heading2"/>
        <w:spacing w:after="100" w:before="260"/>
      </w:pPr>
      <w:r>
        <w:rPr>
          <w:rFonts w:ascii="Arial" w:cs="Arial" w:eastAsia="Arial" w:hAnsi="Arial"/>
          <w:b/>
          <w:bCs/>
          <w:color w:val="000000"/>
          <w:sz w:val="26"/>
          <w:szCs w:val="26"/>
        </w:rPr>
        <w:t xml:space="preserve">2.1  Physics-Based Deterministic Methods</w:t>
      </w:r>
    </w:p>
    <w:p>
      <w:pPr>
        <w:spacing w:after="140" w:before="80"/>
        <w:jc w:val="both"/>
      </w:pPr>
      <w:r>
        <w:rPr>
          <w:rFonts w:ascii="Arial" w:cs="Arial" w:eastAsia="Arial" w:hAnsi="Arial"/>
          <w:color w:val="000000"/>
          <w:sz w:val="22"/>
          <w:szCs w:val="22"/>
        </w:rPr>
        <w:t xml:space="preserve">The most foundational legacy approach is simple slope thresholding: because gravity drives slope failures, pixels whose slope exceeds a critical angle (typically between 25° and 35°) are flagged as potentially unstable. This approach uses a DEM to compute slope maps and applies a hard rule. While grounded in geomechanics, slope thresholding produces false-positive rates of 20–30% in practice because many steep slopes remain permanently stable due to high cohesion, rock type, vegetation root reinforcement, or drainage conditions that cannot be captured by slope alone.</w:t>
      </w:r>
    </w:p>
    <w:p>
      <w:pPr>
        <w:spacing w:after="140" w:before="80"/>
        <w:jc w:val="both"/>
      </w:pPr>
      <w:r>
        <w:rPr>
          <w:rFonts w:ascii="Arial" w:cs="Arial" w:eastAsia="Arial" w:hAnsi="Arial"/>
          <w:color w:val="000000"/>
          <w:sz w:val="22"/>
          <w:szCs w:val="22"/>
        </w:rPr>
        <w:t xml:space="preserve">A more sophisticated deterministic method is the Infinite Slope Model, which computes a pixel-wise Factor of Safety (FoS) using the equation FoS = (cohesion + normal stress × friction coefficient) / shear stress. Pixels where FoS &lt; 1.0 are classified as unstable. This is mechanistically sound but requires accurate knowledge of soil cohesion, friction angle, and thickness, parameters that cannot be read from satellite imagery and must be assumed or interpolated from sparse borehole data. Errors in these soil parameters propagate directly into classification errors, and the model is inherently static: it cannot incorporate the dynamic effect of antecedent rainfall or pore pressure build-up that actually triggers most failures.</w:t>
      </w:r>
    </w:p>
    <w:p>
      <w:pPr>
        <w:pStyle w:val="Heading2"/>
        <w:spacing w:after="100" w:before="260"/>
      </w:pPr>
      <w:r>
        <w:rPr>
          <w:rFonts w:ascii="Arial" w:cs="Arial" w:eastAsia="Arial" w:hAnsi="Arial"/>
          <w:b/>
          <w:bCs/>
          <w:color w:val="000000"/>
          <w:sz w:val="26"/>
          <w:szCs w:val="26"/>
        </w:rPr>
        <w:t xml:space="preserve">2.2  Statistical and GIS-Overlay Methods</w:t>
      </w:r>
    </w:p>
    <w:p>
      <w:pPr>
        <w:spacing w:after="140" w:before="80"/>
        <w:jc w:val="both"/>
      </w:pPr>
      <w:r>
        <w:rPr>
          <w:rFonts w:ascii="Arial" w:cs="Arial" w:eastAsia="Arial" w:hAnsi="Arial"/>
          <w:color w:val="000000"/>
          <w:sz w:val="22"/>
          <w:szCs w:val="22"/>
        </w:rPr>
        <w:t xml:space="preserve">Bivariate statistical methods such as Frequency Ratio (FR) and Information Value (IV) adopt a data-driven perspective without invoking machine learning. They compute, for each terrain attribute bin (for example, elevation band 1000–1200 m, slope class 20°–25°, aspect class north-facing), the ratio of historical landslide density to overall terrain density. Attribute bins that are over-represented in the landslide inventory receive high weights; the final susceptibility score is a weighted sum of these bin-wise contributions. These methods can achieve area-under-ROC-curve (AUC) values of approximately 0.80–0.85 in data-rich settings. However, they treat attributes as independent, ignoring the non-linear multiplicative interactions between slope, soil saturation, vegetation cover, and rainfall that actually govern failure. Crucially, they cannot produce pixel-level boundary delineation: they produce coarse susceptibility zones, not segmentation masks.</w:t>
      </w:r>
    </w:p>
    <w:p>
      <w:pPr>
        <w:spacing w:after="140" w:before="80"/>
        <w:jc w:val="both"/>
      </w:pPr>
      <w:r>
        <w:rPr>
          <w:rFonts w:ascii="Arial" w:cs="Arial" w:eastAsia="Arial" w:hAnsi="Arial"/>
          <w:color w:val="000000"/>
          <w:sz w:val="22"/>
          <w:szCs w:val="22"/>
        </w:rPr>
        <w:t xml:space="preserve">Heuristic GIS overlay methods assign expert-defined weights to terrain derivative layers (slope, Topographic Wetness Index, proximity to drainage channels, lithological class, land cover) and sum them into a composite hazard score. While transparent and interpretable, the weights are subjective, require domain expert tuning for each study region, and cannot generalise across geological settings. These methods fundamentally do not learn from data.</w:t>
      </w:r>
    </w:p>
    <w:p>
      <w:pPr>
        <w:pStyle w:val="Heading2"/>
        <w:spacing w:after="100" w:before="260"/>
      </w:pPr>
      <w:r>
        <w:rPr>
          <w:rFonts w:ascii="Arial" w:cs="Arial" w:eastAsia="Arial" w:hAnsi="Arial"/>
          <w:b/>
          <w:bCs/>
          <w:color w:val="000000"/>
          <w:sz w:val="26"/>
          <w:szCs w:val="26"/>
        </w:rPr>
        <w:t xml:space="preserve">2.3  Early Machine Learning: Random Forests and SVMs</w:t>
      </w:r>
    </w:p>
    <w:p>
      <w:pPr>
        <w:spacing w:after="140" w:before="80"/>
        <w:jc w:val="both"/>
      </w:pPr>
      <w:r>
        <w:rPr>
          <w:rFonts w:ascii="Arial" w:cs="Arial" w:eastAsia="Arial" w:hAnsi="Arial"/>
          <w:color w:val="000000"/>
          <w:sz w:val="22"/>
          <w:szCs w:val="22"/>
        </w:rPr>
        <w:t xml:space="preserve">The first generation of machine learning applied to landslide mapping used Random Forests (RF), Support Vector Machines (SVM), and Logistic Regression. These models accept hand-crafted feature vectors, typically terrain derivatives extracted from DEMs, and output a class label or probability per spatial unit. They outperform purely statistical methods because they can model some degree of feature interaction and are optimised on labelled data rather than relying on subjective weights. AUC values of 0.85–0.90 are routinely reported.</w:t>
      </w:r>
    </w:p>
    <w:p>
      <w:pPr>
        <w:spacing w:after="140" w:before="80"/>
        <w:jc w:val="both"/>
      </w:pPr>
      <w:r>
        <w:rPr>
          <w:rFonts w:ascii="Arial" w:cs="Arial" w:eastAsia="Arial" w:hAnsi="Arial"/>
          <w:color w:val="000000"/>
          <w:sz w:val="22"/>
          <w:szCs w:val="22"/>
        </w:rPr>
        <w:t xml:space="preserve">Nevertheless, these methods suffer from several critical limitations. First, they operate on hand-crafted features: the quality of the model is bounded by the quality of the human-designed feature engineering. Second, they operate on spatial units (pixels, polygons, hillslope units) treated as independent observations, completely ignoring the spatial context, meaning the relationship between a given pixel and its neighbours, that is essential for boundary delineation. Third, they produce point-wise class labels but cannot output contiguous segmentation masks with precise boundaries. Fourth, they are severely limited by the class imbalance problem: landslide pixels typically constitute less than 5% of any scene, making standard classifiers strongly biased toward the majority background class.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1700"/>
        <w:gridCol w:w="1700"/>
        <w:gridCol w:w="1760"/>
      </w:tblGrid>
      <w:tr>
        <w:tc>
          <w:tcPr>
            <w:tcW w:type="dxa" w:w="18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Method</w:t>
            </w:r>
          </w:p>
        </w:tc>
        <w:tc>
          <w:tcPr>
            <w:tcW w:type="dxa" w:w="24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Inputs</w:t>
            </w:r>
          </w:p>
        </w:tc>
        <w:tc>
          <w:tcPr>
            <w:tcW w:type="dxa" w:w="17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Strengths</w:t>
            </w:r>
          </w:p>
        </w:tc>
        <w:tc>
          <w:tcPr>
            <w:tcW w:type="dxa" w:w="17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Limitations</w:t>
            </w:r>
          </w:p>
        </w:tc>
        <w:tc>
          <w:tcPr>
            <w:tcW w:type="dxa" w:w="17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Typical Accuracy</w:t>
            </w:r>
          </w:p>
        </w:tc>
      </w:tr>
      <w:tr>
        <w:tc>
          <w:tcPr>
            <w:tcW w:type="dxa" w:w="18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Slope Thresholding</w:t>
            </w:r>
          </w:p>
        </w:tc>
        <w:tc>
          <w:tcPr>
            <w:tcW w:type="dxa" w:w="24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DEM → slope/curvature maps</w:t>
            </w:r>
          </w:p>
        </w:tc>
        <w:tc>
          <w:tcPr>
            <w:tcW w:type="dxa" w:w="17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Simple, fast, physics-based</w:t>
            </w:r>
          </w:p>
        </w:tc>
        <w:tc>
          <w:tcPr>
            <w:tcW w:type="dxa" w:w="17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20–30% false positives on uniform slopes; ignores vegetation and rainfall dynamics</w:t>
            </w:r>
          </w:p>
        </w:tc>
        <w:tc>
          <w:tcPr>
            <w:tcW w:type="dxa" w:w="17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Low (~70–75%)</w:t>
            </w:r>
          </w:p>
        </w:tc>
      </w:tr>
      <w:tr>
        <w:tc>
          <w:tcPr>
            <w:tcW w:type="dxa" w:w="18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Infinite Slope Model (FoS)</w:t>
            </w:r>
          </w:p>
        </w:tc>
        <w:tc>
          <w:tcPr>
            <w:tcW w:type="dxa" w:w="24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DEM slope, soil thickness, optical bare-soil patches</w:t>
            </w:r>
          </w:p>
        </w:tc>
        <w:tc>
          <w:tcPr>
            <w:tcW w:type="dxa" w:w="17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Mechanistic; incorporates soil physics</w:t>
            </w:r>
          </w:p>
        </w:tc>
        <w:tc>
          <w:tcPr>
            <w:tcW w:type="dxa" w:w="17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Requires soil parameters; static (no rainfall trigger)</w:t>
            </w:r>
          </w:p>
        </w:tc>
        <w:tc>
          <w:tcPr>
            <w:tcW w:type="dxa" w:w="17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Moderate (~75–80%)</w:t>
            </w:r>
          </w:p>
        </w:tc>
      </w:tr>
      <w:tr>
        <w:tc>
          <w:tcPr>
            <w:tcW w:type="dxa" w:w="18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Frequency Ratio / Information Value</w:t>
            </w:r>
          </w:p>
        </w:tc>
        <w:tc>
          <w:tcPr>
            <w:tcW w:type="dxa" w:w="24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DEM-derived bins + past landslide inventory</w:t>
            </w:r>
          </w:p>
        </w:tc>
        <w:tc>
          <w:tcPr>
            <w:tcW w:type="dxa" w:w="17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Data-driven without ML; AUC ~0.80–0.85</w:t>
            </w:r>
          </w:p>
        </w:tc>
        <w:tc>
          <w:tcPr>
            <w:tcW w:type="dxa" w:w="17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Assumes past = future; cannot model feature interactions</w:t>
            </w:r>
          </w:p>
        </w:tc>
        <w:tc>
          <w:tcPr>
            <w:tcW w:type="dxa" w:w="17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Moderate (~78–82%)</w:t>
            </w:r>
          </w:p>
        </w:tc>
      </w:tr>
      <w:tr>
        <w:tc>
          <w:tcPr>
            <w:tcW w:type="dxa" w:w="18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Heuristic GIS Overlay</w:t>
            </w:r>
          </w:p>
        </w:tc>
        <w:tc>
          <w:tcPr>
            <w:tcW w:type="dxa" w:w="24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DEM derivatives + pixel-classified patches</w:t>
            </w:r>
          </w:p>
        </w:tc>
        <w:tc>
          <w:tcPr>
            <w:tcW w:type="dxa" w:w="17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Interpretable; fully customisable weights</w:t>
            </w:r>
          </w:p>
        </w:tc>
        <w:tc>
          <w:tcPr>
            <w:tcW w:type="dxa" w:w="17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Subjective weight assignment; no learning capability</w:t>
            </w:r>
          </w:p>
        </w:tc>
        <w:tc>
          <w:tcPr>
            <w:tcW w:type="dxa" w:w="17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Low–Moderate (~72–78%)</w:t>
            </w:r>
          </w:p>
        </w:tc>
      </w:tr>
      <w:tr>
        <w:tc>
          <w:tcPr>
            <w:tcW w:type="dxa" w:w="18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NDVI + Slope Thresholding</w:t>
            </w:r>
          </w:p>
        </w:tc>
        <w:tc>
          <w:tcPr>
            <w:tcW w:type="dxa" w:w="24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Optical NDVI, DEM slope</w:t>
            </w:r>
          </w:p>
        </w:tc>
        <w:tc>
          <w:tcPr>
            <w:tcW w:type="dxa" w:w="17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No labelled data needed</w:t>
            </w:r>
          </w:p>
        </w:tc>
        <w:tc>
          <w:tcPr>
            <w:tcW w:type="dxa" w:w="17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Rule-based; fails in complex multi-class terrains</w:t>
            </w:r>
          </w:p>
        </w:tc>
        <w:tc>
          <w:tcPr>
            <w:tcW w:type="dxa" w:w="17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Low (~68–74%)</w:t>
            </w:r>
          </w:p>
        </w:tc>
      </w:tr>
    </w:tbl>
    <w:p>
      <w:pPr>
        <w:spacing w:after="200" w:before="80"/>
        <w:jc w:val="center"/>
      </w:pPr>
      <w:r>
        <w:rPr>
          <w:rFonts w:ascii="Arial" w:cs="Arial" w:eastAsia="Arial" w:hAnsi="Arial"/>
          <w:i/>
          <w:iCs/>
          <w:color w:val="000000"/>
          <w:sz w:val="18"/>
          <w:szCs w:val="18"/>
        </w:rPr>
        <w:t xml:space="preserve">Table 1. Summary of traditional non-deep-learning methods for landslide mapping, with typical accuracy ranges.</w:t>
      </w:r>
    </w:p>
    <w:p>
      <w:pPr>
        <w:spacing w:after="60" w:before="60"/>
      </w:pPr>
      <w:r>
        <w:t xml:space="preserve"/>
      </w:r>
    </w:p>
    <w:p>
      <w:pPr>
        <w:pStyle w:val="Heading1"/>
        <w:spacing w:after="160" w:before="360"/>
      </w:pPr>
      <w:r>
        <w:rPr>
          <w:rFonts w:ascii="Arial" w:cs="Arial" w:eastAsia="Arial" w:hAnsi="Arial"/>
          <w:b/>
          <w:bCs/>
          <w:color w:val="000000"/>
          <w:sz w:val="30"/>
          <w:szCs w:val="30"/>
        </w:rPr>
        <w:t xml:space="preserve">3.  Why Deep Learning is Strictly Necessary</w:t>
      </w:r>
    </w:p>
    <w:p>
      <w:pPr>
        <w:spacing w:after="140" w:before="80"/>
        <w:jc w:val="both"/>
      </w:pPr>
      <w:r>
        <w:rPr>
          <w:rFonts w:ascii="Arial" w:cs="Arial" w:eastAsia="Arial" w:hAnsi="Arial"/>
          <w:color w:val="000000"/>
          <w:sz w:val="22"/>
          <w:szCs w:val="22"/>
        </w:rPr>
        <w:t xml:space="preserve">The transition from legacy methods to deep learning is not a matter of incremental improvement; it represents a qualitative shift in the kind of computation required. The specific characteristics of the landslide segmentation task make deep learning not merely helpful but operationally necessary for three interrelated reasons: the need for spatial context, the need for learned feature hierarchies, and the need for precise pixel-level boundary outputs.</w:t>
      </w:r>
    </w:p>
    <w:p>
      <w:pPr>
        <w:pStyle w:val="Heading2"/>
        <w:spacing w:after="100" w:before="260"/>
      </w:pPr>
      <w:r>
        <w:rPr>
          <w:rFonts w:ascii="Arial" w:cs="Arial" w:eastAsia="Arial" w:hAnsi="Arial"/>
          <w:b/>
          <w:bCs/>
          <w:color w:val="000000"/>
          <w:sz w:val="26"/>
          <w:szCs w:val="26"/>
        </w:rPr>
        <w:t xml:space="preserve">3.1  The Spatial Context Problem</w:t>
      </w:r>
    </w:p>
    <w:p>
      <w:pPr>
        <w:spacing w:after="140" w:before="80"/>
        <w:jc w:val="both"/>
      </w:pPr>
      <w:r>
        <w:rPr>
          <w:rFonts w:ascii="Arial" w:cs="Arial" w:eastAsia="Arial" w:hAnsi="Arial"/>
          <w:color w:val="000000"/>
          <w:sz w:val="22"/>
          <w:szCs w:val="22"/>
        </w:rPr>
        <w:t xml:space="preserve">A landslide scar does not look like a landslide in isolation; it looks like a landslide in the context of the surrounding terrain. A patch of bare soil on a 35° slope downslope of a tension crack scarp, with a debris tongue extending toward a valley bottom, is instantly recognisable as a rotational slide to a trained geologist examining the broader image. The same patch of bare soil on a flat agricultural field is clearly bare soil. Traditional ML methods and rule-based approaches process each pixel independently, discarding all spatial context. Deep convolutional neural networks, by contrast, compute features over progressively larger receptive fields through successive convolutional layers. A deep encoder-decoder network processing a 256×256 patch sees, in its deeper layers, contextual information spanning the entire scene. This is not merely an architectural luxury; it is functionally required for distinguishing landslides from spectrally similar confounders (bare agricultural soil, road cuttings, river gravel bars) that differ from landslide scars only in their spatial arrangement and topographic context.</w:t>
      </w:r>
    </w:p>
    <w:p>
      <w:pPr>
        <w:pStyle w:val="Heading2"/>
        <w:spacing w:after="100" w:before="260"/>
      </w:pPr>
      <w:r>
        <w:rPr>
          <w:rFonts w:ascii="Arial" w:cs="Arial" w:eastAsia="Arial" w:hAnsi="Arial"/>
          <w:b/>
          <w:bCs/>
          <w:color w:val="000000"/>
          <w:sz w:val="26"/>
          <w:szCs w:val="26"/>
        </w:rPr>
        <w:t xml:space="preserve">3.2  The Feature Hierarchy Problem</w:t>
      </w:r>
    </w:p>
    <w:p>
      <w:pPr>
        <w:spacing w:after="140" w:before="80"/>
        <w:jc w:val="both"/>
      </w:pPr>
      <w:r>
        <w:rPr>
          <w:rFonts w:ascii="Arial" w:cs="Arial" w:eastAsia="Arial" w:hAnsi="Arial"/>
          <w:color w:val="000000"/>
          <w:sz w:val="22"/>
          <w:szCs w:val="22"/>
        </w:rPr>
        <w:t xml:space="preserve">The visual appearance of landslide scars is extremely heterogeneous across earthquakes, climates, geological settings, and image acquisition conditions. Scars range from fresh, high-contrast bare-rock exposures (Sichuan granites, immediately post-earthquake) to heavily weathered, vegetation-colonised relic slides barely distinguishable from surrounding terrain in visible bands. No hand-crafted feature set designed for one region or event type generalises robustly to another. Deep networks learn hierarchical representations automatically from labelled data: early layers extract edges and colour gradients; middle layers assemble texture patches and shape fragments; deep layers encode high-level semantic concepts such as 'disrupted slope surface'. This multi-scale learned feature hierarchy is the mechanism by which deep models achieve the cross-dataset and cross-region generalisation that rule-based and classical ML methods cannot.</w:t>
      </w:r>
    </w:p>
    <w:p>
      <w:pPr>
        <w:pStyle w:val="Heading2"/>
        <w:spacing w:after="100" w:before="260"/>
      </w:pPr>
      <w:r>
        <w:rPr>
          <w:rFonts w:ascii="Arial" w:cs="Arial" w:eastAsia="Arial" w:hAnsi="Arial"/>
          <w:b/>
          <w:bCs/>
          <w:color w:val="000000"/>
          <w:sz w:val="26"/>
          <w:szCs w:val="26"/>
        </w:rPr>
        <w:t xml:space="preserve">3.3  The Boundary Delineation Problem</w:t>
      </w:r>
    </w:p>
    <w:p>
      <w:pPr>
        <w:spacing w:after="140" w:before="80"/>
        <w:jc w:val="both"/>
      </w:pPr>
      <w:r>
        <w:rPr>
          <w:rFonts w:ascii="Arial" w:cs="Arial" w:eastAsia="Arial" w:hAnsi="Arial"/>
          <w:color w:val="000000"/>
          <w:sz w:val="22"/>
          <w:szCs w:val="22"/>
        </w:rPr>
        <w:t xml:space="preserve">For landslide inventory mapping to be operationally useful, the output must be a precise pixel-level binary mask, not a susceptibility score, not a polygon from a GIS database, but a per-pixel classification that correctly assigns every pixel in the scene as either landslide or background. This requires encoder-decoder architectures (U-Net and its successors) that combine high-level semantic features from deep layers with high-resolution spatial detail from shallow layers via skip connections. The decoder progressively reconstructs spatial resolution to the original image size, guided by the semantic signal from the encoder. No legacy method produces this kind of output; deep segmentation architectures are specifically designed and optimised for it.</w:t>
      </w:r>
    </w:p>
    <w:p>
      <w:pPr>
        <w:pStyle w:val="Heading2"/>
        <w:spacing w:after="100" w:before="260"/>
      </w:pPr>
      <w:r>
        <w:rPr>
          <w:rFonts w:ascii="Arial" w:cs="Arial" w:eastAsia="Arial" w:hAnsi="Arial"/>
          <w:b/>
          <w:bCs/>
          <w:color w:val="000000"/>
          <w:sz w:val="26"/>
          <w:szCs w:val="26"/>
        </w:rPr>
        <w:t xml:space="preserve">3.4  The Class Imbalance Problem</w:t>
      </w:r>
    </w:p>
    <w:p>
      <w:pPr>
        <w:spacing w:after="140" w:before="80"/>
        <w:jc w:val="both"/>
      </w:pPr>
      <w:r>
        <w:rPr>
          <w:rFonts w:ascii="Arial" w:cs="Arial" w:eastAsia="Arial" w:hAnsi="Arial"/>
          <w:color w:val="000000"/>
          <w:sz w:val="22"/>
          <w:szCs w:val="22"/>
        </w:rPr>
        <w:t xml:space="preserve">Landslide pixels constitute fewer than 5% of pixels in most scenes. Standard classifiers trained with cross-entropy loss simply predict the background class for all pixels and achieve spuriously high accuracy. Deep learning frameworks address this through specialised loss functions: Dice loss, Tversky loss (with configurable false-negative weight), and focal loss are all designed to penalise missed positive pixels heavily and force the network to learn discriminative features for the minority class. These loss functions, combined with data augmentation strategies tailored to satellite imagery, enable deep networks to learn from severely imbalanced training sets in ways that traditional ML methods cannot.</w:t>
      </w:r>
    </w:p>
    <w:p>
      <w:pPr>
        <w:pStyle w:val="Heading2"/>
        <w:spacing w:after="100" w:before="260"/>
      </w:pPr>
      <w:r>
        <w:rPr>
          <w:rFonts w:ascii="Arial" w:cs="Arial" w:eastAsia="Arial" w:hAnsi="Arial"/>
          <w:b/>
          <w:bCs/>
          <w:color w:val="000000"/>
          <w:sz w:val="26"/>
          <w:szCs w:val="26"/>
        </w:rPr>
        <w:t xml:space="preserve">3.5  The Uncertainty Quantification Problem</w:t>
      </w:r>
    </w:p>
    <w:p>
      <w:pPr>
        <w:spacing w:after="140" w:before="80"/>
        <w:jc w:val="both"/>
      </w:pPr>
      <w:r>
        <w:rPr>
          <w:rFonts w:ascii="Arial" w:cs="Arial" w:eastAsia="Arial" w:hAnsi="Arial"/>
          <w:color w:val="000000"/>
          <w:sz w:val="22"/>
          <w:szCs w:val="22"/>
        </w:rPr>
        <w:t xml:space="preserve">Operational deployment for post-earthquake disaster response requires not only predictions but also reliable confidence estimates. A segmentation mask is most useful when the model can say, for each pixel, how confident it is. Deterministic discriminative models produce point predictions without calibrated uncertainty. The latest generation of deep generative models, specifically diffusion-based architectures, model the full conditional distribution of segmentation masks given input imagery, providing inherent uncertainty quantification through multiple stochastic forward passes. Pixels near landslide boundaries, where spectral ambiguity is highest, receive appropriately high uncertainty estimates, enabling operational workflows that route high-confidence pixels directly to automated inventory maps while flagging uncertain boundary pixels for expert review.</w:t>
      </w:r>
    </w:p>
    <w:p>
      <w:pPr>
        <w:spacing w:after="60" w:before="60"/>
      </w:pPr>
      <w:r>
        <w:t xml:space="preserve"/>
      </w:r>
    </w:p>
    <w:p>
      <w:pPr>
        <w:pStyle w:val="Heading1"/>
        <w:spacing w:after="160" w:before="360"/>
      </w:pPr>
      <w:r>
        <w:rPr>
          <w:rFonts w:ascii="Arial" w:cs="Arial" w:eastAsia="Arial" w:hAnsi="Arial"/>
          <w:b/>
          <w:bCs/>
          <w:color w:val="000000"/>
          <w:sz w:val="30"/>
          <w:szCs w:val="30"/>
        </w:rPr>
        <w:t xml:space="preserve">4.  The Role of Digital Elevation Model (DEM) Data</w:t>
      </w:r>
    </w:p>
    <w:p>
      <w:pPr>
        <w:spacing w:after="140" w:before="80"/>
        <w:jc w:val="both"/>
      </w:pPr>
      <w:r>
        <w:rPr>
          <w:rFonts w:ascii="Arial" w:cs="Arial" w:eastAsia="Arial" w:hAnsi="Arial"/>
          <w:color w:val="000000"/>
          <w:sz w:val="22"/>
          <w:szCs w:val="22"/>
        </w:rPr>
        <w:t xml:space="preserve">Optical satellite imagery captures spectral reflectance, referring to how much electromagnetic energy each pixel reflects at different wavelengths. This spectral signal encodes surface material properties: vegetation type and density, soil mineralogy, moisture content, and impervious surfaces. What optical imagery does not capture, except indirectly, is terrain geometry: slope angle, aspect, curvature, drainage network structure, and elevation. These geometric properties are not incidental to landslide physics; they are the primary controls on when, where, and how failures occur. DEM data provides this missing geometric dimension.</w:t>
      </w:r>
    </w:p>
    <w:p>
      <w:pPr>
        <w:pStyle w:val="Heading2"/>
        <w:spacing w:after="100" w:before="260"/>
      </w:pPr>
      <w:r>
        <w:rPr>
          <w:rFonts w:ascii="Arial" w:cs="Arial" w:eastAsia="Arial" w:hAnsi="Arial"/>
          <w:b/>
          <w:bCs/>
          <w:color w:val="000000"/>
          <w:sz w:val="26"/>
          <w:szCs w:val="26"/>
        </w:rPr>
        <w:t xml:space="preserve">4.1  Terrain Geometry as the Primary Physical Control</w:t>
      </w:r>
    </w:p>
    <w:p>
      <w:pPr>
        <w:spacing w:after="140" w:before="80"/>
        <w:jc w:val="both"/>
      </w:pPr>
      <w:r>
        <w:rPr>
          <w:rFonts w:ascii="Arial" w:cs="Arial" w:eastAsia="Arial" w:hAnsi="Arial"/>
          <w:color w:val="000000"/>
          <w:sz w:val="22"/>
          <w:szCs w:val="22"/>
        </w:rPr>
        <w:t xml:space="preserve">Gravitational slope failure occurs when destabilising forces (gravity resolved along the slope) exceed stabilising forces (cohesion, friction, suction, root reinforcement). Slope angle is the single most important predictor of failure susceptibility: more than 80% of earthquake-triggered landslides occur on slopes steeper than 25°. While optical imagery can sometimes infer slope indirectly from shadow patterns, this is unreliable across different solar illumination angles and is impossible on vegetation-covered slopes where the canopy surface dominates spectral response. A DEM directly provides precise, per-pixel slope measurements at consistent 0.5–2 m resolution for high-resolution commercial products.</w:t>
      </w:r>
    </w:p>
    <w:p>
      <w:pPr>
        <w:spacing w:after="140" w:before="80"/>
        <w:jc w:val="both"/>
      </w:pPr>
      <w:r>
        <w:rPr>
          <w:rFonts w:ascii="Arial" w:cs="Arial" w:eastAsia="Arial" w:hAnsi="Arial"/>
          <w:color w:val="000000"/>
          <w:sz w:val="22"/>
          <w:szCs w:val="22"/>
        </w:rPr>
        <w:t xml:space="preserve">Beyond slope magnitude, terrain curvature determines where water concentrates (concave curvature = convergent drainage = elevated pore pressures), aspect controls solar radiation receipt and vegetation water use (important for deep-seated slides), and flow accumulation maps drainage pathways that channel subsurface water to potential failure zones. These attributes are computable only from DEM data, as optical imagery cannot provide them.</w:t>
      </w:r>
    </w:p>
    <w:p>
      <w:pPr>
        <w:pStyle w:val="Heading2"/>
        <w:spacing w:after="100" w:before="260"/>
      </w:pPr>
      <w:r>
        <w:rPr>
          <w:rFonts w:ascii="Arial" w:cs="Arial" w:eastAsia="Arial" w:hAnsi="Arial"/>
          <w:b/>
          <w:bCs/>
          <w:color w:val="000000"/>
          <w:sz w:val="26"/>
          <w:szCs w:val="26"/>
        </w:rPr>
        <w:t xml:space="preserve">4.2  Resolving Spectral Ambiguity</w:t>
      </w:r>
    </w:p>
    <w:p>
      <w:pPr>
        <w:spacing w:after="140" w:before="80"/>
        <w:jc w:val="both"/>
      </w:pPr>
      <w:r>
        <w:rPr>
          <w:rFonts w:ascii="Arial" w:cs="Arial" w:eastAsia="Arial" w:hAnsi="Arial"/>
          <w:color w:val="000000"/>
          <w:sz w:val="22"/>
          <w:szCs w:val="22"/>
        </w:rPr>
        <w:t xml:space="preserve">The most persistent challenge in landslide segmentation is spectral confusion: landslide scars share spectral signatures with several common land cover types. Bare agricultural soil, dry river gravel bars, road cut embankments, and construction sites all appear spectrally similar to fresh landslide scars in visible and near-infrared bands. This ambiguity creates false positives that cannot be resolved from spectral information alone. Terrain geometry provides decisive disambiguation: a bare soil patch on a 5° flat alluvial plain is categorically different from a spectrally identical bare patch on a 40° hillslope with convergent drainage above and a debris tongue below. The DEM-derived slope and curvature information breaks the spectral tie.</w:t>
      </w:r>
    </w:p>
    <w:p>
      <w:pPr>
        <w:pStyle w:val="Heading2"/>
        <w:spacing w:after="100" w:before="260"/>
      </w:pPr>
      <w:r>
        <w:rPr>
          <w:rFonts w:ascii="Arial" w:cs="Arial" w:eastAsia="Arial" w:hAnsi="Arial"/>
          <w:b/>
          <w:bCs/>
          <w:color w:val="000000"/>
          <w:sz w:val="26"/>
          <w:szCs w:val="26"/>
        </w:rPr>
        <w:t xml:space="preserve">4.3  Encoding Landslide Morphology</w:t>
      </w:r>
    </w:p>
    <w:p>
      <w:pPr>
        <w:spacing w:after="140" w:before="80"/>
        <w:jc w:val="both"/>
      </w:pPr>
      <w:r>
        <w:rPr>
          <w:rFonts w:ascii="Arial" w:cs="Arial" w:eastAsia="Arial" w:hAnsi="Arial"/>
          <w:color w:val="000000"/>
          <w:sz w:val="22"/>
          <w:szCs w:val="22"/>
        </w:rPr>
        <w:t xml:space="preserve">Landslides have characteristic morphological signatures in terrain: a concave headscarp at the top, a relatively planar detachment surface, and a convex accumulation lobe at the toe. These morphological fingerprints are precisely captured by terrain second derivatives (profile and plan curvature) computed from the DEM. A deep network that receives DEM-derived curvature maps as input can learn to recognise these morphological signatures directly, even when the optical spectral signal is ambiguous due to vegetation re-colonisation, atmospheric haze, or shadowing.</w:t>
      </w:r>
    </w:p>
    <w:p>
      <w:pPr>
        <w:pStyle w:val="Heading2"/>
        <w:spacing w:after="100" w:before="260"/>
      </w:pPr>
      <w:r>
        <w:rPr>
          <w:rFonts w:ascii="Arial" w:cs="Arial" w:eastAsia="Arial" w:hAnsi="Arial"/>
          <w:b/>
          <w:bCs/>
          <w:color w:val="000000"/>
          <w:sz w:val="26"/>
          <w:szCs w:val="26"/>
        </w:rPr>
        <w:t xml:space="preserve">4.4  Enabling Multi-Scale Topographic Context</w:t>
      </w:r>
    </w:p>
    <w:p>
      <w:pPr>
        <w:spacing w:after="140" w:before="80"/>
        <w:jc w:val="both"/>
      </w:pPr>
      <w:r>
        <w:rPr>
          <w:rFonts w:ascii="Arial" w:cs="Arial" w:eastAsia="Arial" w:hAnsi="Arial"/>
          <w:color w:val="000000"/>
          <w:sz w:val="22"/>
          <w:szCs w:val="22"/>
        </w:rPr>
        <w:t xml:space="preserve">Modern dual-stream or multi-modal deep architectures process DEM derivatives alongside optical bands in parallel encoder streams, learning fusion weights that adaptively emphasise topographic or spectral information depending on scene conditions. In high-contrast fresh scars, the optical stream dominates; in weathered relic slides obscured by vegetation, the topographic stream becomes the primary information source. This adaptive multi-modal fusion is only possible when DEM data is provided as an explicit input modality, as it cannot be approximated by optical imagery alone.</w:t>
      </w:r>
    </w:p>
    <w:p>
      <w:pPr>
        <w:spacing w:after="60" w:before="60"/>
      </w:pPr>
      <w:r>
        <w:t xml:space="preserve"/>
      </w:r>
    </w:p>
    <w:p>
      <w:pPr>
        <w:pStyle w:val="Heading1"/>
        <w:spacing w:after="160" w:before="360"/>
      </w:pPr>
      <w:r>
        <w:rPr>
          <w:rFonts w:ascii="Arial" w:cs="Arial" w:eastAsia="Arial" w:hAnsi="Arial"/>
          <w:b/>
          <w:bCs/>
          <w:color w:val="000000"/>
          <w:sz w:val="30"/>
          <w:szCs w:val="30"/>
        </w:rPr>
        <w:t xml:space="preserve">5.  Why DEM Data Alone Cannot Solve the Problem</w:t>
      </w:r>
    </w:p>
    <w:p>
      <w:pPr>
        <w:spacing w:after="140" w:before="80"/>
        <w:jc w:val="both"/>
      </w:pPr>
      <w:r>
        <w:rPr>
          <w:rFonts w:ascii="Arial" w:cs="Arial" w:eastAsia="Arial" w:hAnsi="Arial"/>
          <w:color w:val="000000"/>
          <w:sz w:val="22"/>
          <w:szCs w:val="22"/>
        </w:rPr>
        <w:t xml:space="preserve">Having established the necessity of DEM data, it is equally important to explain why DEM data alone, even when combined with sophisticated physics-based or statistical analysis, is insufficient, and why deep learning operating on the joint optical-topographic feature space is required.</w:t>
      </w:r>
    </w:p>
    <w:p>
      <w:pPr>
        <w:pStyle w:val="Heading2"/>
        <w:spacing w:after="100" w:before="260"/>
      </w:pPr>
      <w:r>
        <w:rPr>
          <w:rFonts w:ascii="Arial" w:cs="Arial" w:eastAsia="Arial" w:hAnsi="Arial"/>
          <w:b/>
          <w:bCs/>
          <w:color w:val="000000"/>
          <w:sz w:val="26"/>
          <w:szCs w:val="26"/>
        </w:rPr>
        <w:t xml:space="preserve">5.1  Slope Does Not Equal Landslide</w:t>
      </w:r>
    </w:p>
    <w:p>
      <w:pPr>
        <w:spacing w:after="140" w:before="80"/>
        <w:jc w:val="both"/>
      </w:pPr>
      <w:r>
        <w:rPr>
          <w:rFonts w:ascii="Arial" w:cs="Arial" w:eastAsia="Arial" w:hAnsi="Arial"/>
          <w:color w:val="000000"/>
          <w:sz w:val="22"/>
          <w:szCs w:val="22"/>
        </w:rPr>
        <w:t xml:space="preserve">The critical insight is that slope instability (which DEM can diagnose) and landslide occurrence (what we want to map) are not the same thing. A slope at 35° that has remained stable for ten thousand years is not a landslide. Only a subset of steep slopes actually fail, determined by the interaction of slope geometry with material properties, structural geology, subsurface hydrology, seismic loading, and antecedent rainfall, none of which are observable from DEM alone. Rule-based DEM analysis using the Infinite Slope Model or GIS overlay achieves typical susceptibility AUC values of 0.78–0.85 but cannot produce the precise binary segmentation masks required for inventory mapping. It maps zones of potential instability, not actual observed failures.</w:t>
      </w:r>
    </w:p>
    <w:p>
      <w:pPr>
        <w:pStyle w:val="Heading2"/>
        <w:spacing w:after="100" w:before="260"/>
      </w:pPr>
      <w:r>
        <w:rPr>
          <w:rFonts w:ascii="Arial" w:cs="Arial" w:eastAsia="Arial" w:hAnsi="Arial"/>
          <w:b/>
          <w:bCs/>
          <w:color w:val="000000"/>
          <w:sz w:val="26"/>
          <w:szCs w:val="26"/>
        </w:rPr>
        <w:t xml:space="preserve">5.2  DEM Cannot Detect Landslide Occurrence Without Optical Evidence</w:t>
      </w:r>
    </w:p>
    <w:p>
      <w:pPr>
        <w:spacing w:after="140" w:before="80"/>
        <w:jc w:val="both"/>
      </w:pPr>
      <w:r>
        <w:rPr>
          <w:rFonts w:ascii="Arial" w:cs="Arial" w:eastAsia="Arial" w:hAnsi="Arial"/>
          <w:color w:val="000000"/>
          <w:sz w:val="22"/>
          <w:szCs w:val="22"/>
        </w:rPr>
        <w:t xml:space="preserve">Coseismic landslide mapping requires detecting changes that have already happened by identifying terrain that was forested hillslope before the earthquake and is now bare rock or disrupted soil. This requires comparing spectral information before and after the event, or recognising the spectral signature of fresh disturbance in post-event imagery. A DEM, unless it is a post-event DEM differenced against a pre-event DEM (a methodology that requires two DEMs of sufficient resolution and co-registration accuracy), cannot by itself detect that a failure has occurred. The spectral change signal in optical imagery is essential for identifying the occurrence and spatial extent of actual failures.</w:t>
      </w:r>
    </w:p>
    <w:p>
      <w:pPr>
        <w:pStyle w:val="Heading2"/>
        <w:spacing w:after="100" w:before="260"/>
      </w:pPr>
      <w:r>
        <w:rPr>
          <w:rFonts w:ascii="Arial" w:cs="Arial" w:eastAsia="Arial" w:hAnsi="Arial"/>
          <w:b/>
          <w:bCs/>
          <w:color w:val="000000"/>
          <w:sz w:val="26"/>
          <w:szCs w:val="26"/>
        </w:rPr>
        <w:t xml:space="preserve">5.3  Non-Linear Interactions Require Learned Models</w:t>
      </w:r>
    </w:p>
    <w:p>
      <w:pPr>
        <w:spacing w:after="140" w:before="80"/>
        <w:jc w:val="both"/>
      </w:pPr>
      <w:r>
        <w:rPr>
          <w:rFonts w:ascii="Arial" w:cs="Arial" w:eastAsia="Arial" w:hAnsi="Arial"/>
          <w:color w:val="000000"/>
          <w:sz w:val="22"/>
          <w:szCs w:val="22"/>
        </w:rPr>
        <w:t xml:space="preserve">The relationship between terrain attributes, material properties, seismic loading, and failure probability is non-linear, multi-scale, and context-dependent in ways that exceed the capacity of any physics-based or bivariate statistical model. As demonstrated empirically in the literature reviewed in Section 6, deep learning models that fuse optical and DEM features outperform DEM-only models by 10 to 15% IoU, a margin that is operationally significant. This improvement reflects the model's ability to learn the complex joint conditional distribution of landslide occurrence given both spectral appearance and terrain geometry, a computation that no analytical model can perform.</w:t>
      </w:r>
    </w:p>
    <w:p>
      <w:pPr>
        <w:spacing w:after="140" w:before="80"/>
        <w:jc w:val="both"/>
      </w:pPr>
      <w:r>
        <w:rPr>
          <w:rFonts w:ascii="Arial" w:cs="Arial" w:eastAsia="Arial" w:hAnsi="Arial"/>
          <w:color w:val="000000"/>
          <w:sz w:val="22"/>
          <w:szCs w:val="22"/>
        </w:rPr>
        <w:t xml:space="preserve">To summarise: DEM data is necessary because it provides the terrain geometry information that optical imagery cannot; deep learning is necessary because it can learn the non-linear, context-dependent mapping from the joint optical-topographic feature space to pixel-level segmentation masks; and neither DEM data nor deep learning alone is sufficient; both are required together, as implemented in the leading architectures reviewed below.</w:t>
      </w:r>
    </w:p>
    <w:p>
      <w:pPr>
        <w:spacing w:after="60" w:before="60"/>
      </w:pPr>
      <w:r>
        <w:t xml:space="preserve"/>
      </w:r>
    </w:p>
    <w:p>
      <w:pPr>
        <w:pStyle w:val="Heading1"/>
        <w:spacing w:after="160" w:before="360"/>
      </w:pPr>
      <w:r>
        <w:rPr>
          <w:rFonts w:ascii="Arial" w:cs="Arial" w:eastAsia="Arial" w:hAnsi="Arial"/>
          <w:b/>
          <w:bCs/>
          <w:color w:val="000000"/>
          <w:sz w:val="30"/>
          <w:szCs w:val="30"/>
        </w:rPr>
        <w:t xml:space="preserve">6.  Current State of the Art: Key Papers and Benchmark Results</w:t>
      </w:r>
    </w:p>
    <w:p>
      <w:pPr>
        <w:spacing w:after="140" w:before="80"/>
        <w:jc w:val="both"/>
      </w:pPr>
      <w:r>
        <w:rPr>
          <w:rFonts w:ascii="Arial" w:cs="Arial" w:eastAsia="Arial" w:hAnsi="Arial"/>
          <w:color w:val="000000"/>
          <w:sz w:val="22"/>
          <w:szCs w:val="22"/>
        </w:rPr>
        <w:t xml:space="preserve">This section reviews two leading recent publications that collectively define the current performance frontier for deep-learning-based landslide segmentation. Both papers were published in early 2026, representing the most recent publicly available benchmark results. Tables are reproduced from the source papers; results marked with ★ indicate the paper's proposed model.</w:t>
      </w:r>
    </w:p>
    <w:p>
      <w:pPr>
        <w:pStyle w:val="Heading2"/>
        <w:spacing w:after="100" w:before="260"/>
      </w:pPr>
      <w:r>
        <w:rPr>
          <w:rFonts w:ascii="Arial" w:cs="Arial" w:eastAsia="Arial" w:hAnsi="Arial"/>
          <w:b/>
          <w:bCs/>
          <w:color w:val="000000"/>
          <w:sz w:val="26"/>
          <w:szCs w:val="26"/>
        </w:rPr>
        <w:t xml:space="preserve">6.1  BiFusion-LDSeg (Shi et al., 2026)</w:t>
      </w:r>
    </w:p>
    <w:p>
      <w:pPr>
        <w:spacing w:after="140" w:before="80"/>
        <w:jc w:val="both"/>
      </w:pPr>
      <w:r>
        <w:rPr>
          <w:rFonts w:ascii="Arial" w:cs="Arial" w:eastAsia="Arial" w:hAnsi="Arial"/>
          <w:b/>
          <w:bCs/>
          <w:color w:val="000000"/>
          <w:sz w:val="22"/>
          <w:szCs w:val="22"/>
        </w:rPr>
        <w:t xml:space="preserve">Paper: </w:t>
      </w:r>
      <w:r>
        <w:rPr>
          <w:rFonts w:ascii="Arial" w:cs="Arial" w:eastAsia="Arial" w:hAnsi="Arial"/>
          <w:i/>
          <w:iCs/>
          <w:color w:val="000000"/>
          <w:sz w:val="22"/>
          <w:szCs w:val="22"/>
        </w:rPr>
        <w:t xml:space="preserve">BiFusion-LDSeg: A Latent Diffusion Framework with Bi-Directional Attention Fusion for Landslide Segmentation in Satellite Imagery. </w:t>
      </w:r>
      <w:r>
        <w:rPr>
          <w:rFonts w:ascii="Arial" w:cs="Arial" w:eastAsia="Arial" w:hAnsi="Arial"/>
          <w:color w:val="000000"/>
          <w:sz w:val="22"/>
          <w:szCs w:val="22"/>
        </w:rPr>
        <w:t xml:space="preserve">Remote Sensing, 18(5), 719. https://doi.org/10.3390/rs18050719</w:t>
      </w:r>
    </w:p>
    <w:p>
      <w:pPr>
        <w:spacing w:after="60" w:before="60"/>
      </w:pPr>
      <w:r>
        <w:t xml:space="preserve"/>
      </w:r>
    </w:p>
    <w:p>
      <w:pPr>
        <w:spacing w:after="140" w:before="80"/>
        <w:jc w:val="both"/>
      </w:pPr>
      <w:r>
        <w:rPr>
          <w:rFonts w:ascii="Arial" w:cs="Arial" w:eastAsia="Arial" w:hAnsi="Arial"/>
          <w:color w:val="000000"/>
          <w:sz w:val="22"/>
          <w:szCs w:val="22"/>
        </w:rPr>
        <w:t xml:space="preserve">BiFusion-LDSeg is the first latent diffusion model applied to landslide segmentation from satellite imagery. Its three core innovations are: (1) a dual-encoder with Bi-directional Attention Gates (Bi-AG) enabling cross-modal calibration between a CNN branch (ResNet-50) and a Transformer branch (ViT); (2) a conditional latent diffusion process operating in a learned 32×32×512 latent space representing landslide shape manifolds, enabling accurate inference in only 10 DDIM sampling steps versus the 1000+ steps required by standard pixel-space diffusion models; and (3) a boundary-aware progressive decoder with multi-scale Reverse Attention (RA) modules for precise delineation of irregular landslide boundaries.</w:t>
      </w:r>
    </w:p>
    <w:p>
      <w:pPr>
        <w:spacing w:after="140" w:before="80"/>
        <w:jc w:val="both"/>
      </w:pPr>
      <w:r>
        <w:rPr>
          <w:rFonts w:ascii="Arial" w:cs="Arial" w:eastAsia="Arial" w:hAnsi="Arial"/>
          <w:color w:val="000000"/>
          <w:sz w:val="22"/>
          <w:szCs w:val="22"/>
        </w:rPr>
        <w:t xml:space="preserve">The model is evaluated on three earthquake-triggered landslide datasets from Sichuan Province, China: Lushan (Mw 7.0, 2013; 15,000 image patches), Jiuzhaigou (Mw 6.5, 2017; 4,800 patches), and Luding (Mw 6.8, 2022; 5,000 patches). All imagery is high-resolution optical (0.5–2 m from Google Earth Platform). Notably, this paper uses optical-only input (with DEM data not incorporated), making it the baseline against which topographic augmentation can be measured.</w:t>
      </w:r>
    </w:p>
    <w:p>
      <w:pPr>
        <w:spacing w:after="140" w:before="80"/>
        <w:jc w:val="both"/>
      </w:pPr>
      <w:r>
        <w:rPr>
          <w:rFonts w:ascii="Arial" w:cs="Arial" w:eastAsia="Arial" w:hAnsi="Arial"/>
          <w:color w:val="000000"/>
          <w:sz w:val="22"/>
          <w:szCs w:val="22"/>
        </w:rPr>
        <w:t xml:space="preserve">Results are reported as mean ± standard deviation across five independent runs with different random seeds. Four metrics are used: Intersection over Union (IoU), Dice Similarity Coefficient (DSC), Average Symmetric Surface Distance (ASSD, lower is better), and Hausdorff Distance (HD, lower is better).</w:t>
      </w:r>
    </w:p>
    <w:p>
      <w:pPr>
        <w:spacing w:after="60" w:before="60"/>
      </w:pPr>
      <w:r>
        <w:t xml:space="preserve"/>
      </w:r>
    </w:p>
    <w:p>
      <w:pPr>
        <w:spacing w:after="40" w:before="80"/>
        <w:jc w:val="center"/>
      </w:pPr>
      <w:r>
        <w:rPr>
          <w:rFonts w:ascii="Arial" w:cs="Arial" w:eastAsia="Arial" w:hAnsi="Arial"/>
          <w:b/>
          <w:bCs/>
          <w:color w:val="000000"/>
          <w:sz w:val="20"/>
          <w:szCs w:val="20"/>
        </w:rPr>
        <w:t xml:space="preserve">Table 2. Quantitative results on the Lushan dataset (Shi et al.,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1560"/>
        <w:gridCol w:w="1560"/>
        <w:gridCol w:w="1560"/>
        <w:gridCol w:w="1560"/>
        <w:gridCol w:w="960"/>
      </w:tblGrid>
      <w:tr>
        <w:tc>
          <w:tcPr>
            <w:tcW w:type="dxa" w:w="21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Model</w:t>
            </w:r>
          </w:p>
        </w:tc>
        <w:tc>
          <w:tcPr>
            <w:tcW w:type="dxa" w:w="15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IoU (%)</w:t>
            </w:r>
          </w:p>
        </w:tc>
        <w:tc>
          <w:tcPr>
            <w:tcW w:type="dxa" w:w="15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DSC (%)</w:t>
            </w:r>
          </w:p>
        </w:tc>
        <w:tc>
          <w:tcPr>
            <w:tcW w:type="dxa" w:w="15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ASSD (px)</w:t>
            </w:r>
          </w:p>
        </w:tc>
        <w:tc>
          <w:tcPr>
            <w:tcW w:type="dxa" w:w="15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HD (px)</w:t>
            </w:r>
          </w:p>
        </w:tc>
        <w:tc>
          <w:tcPr>
            <w:tcW w:type="dxa" w:w="9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Type</w:t>
            </w:r>
          </w:p>
        </w:tc>
      </w:tr>
      <w:tr>
        <w:tc>
          <w:tcPr>
            <w:tcW w:type="dxa" w:w="21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U-Net</w:t>
            </w:r>
          </w:p>
        </w:tc>
        <w:tc>
          <w:tcPr>
            <w:tcW w:type="dxa" w:w="15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58.2 ± 1.8</w:t>
            </w:r>
          </w:p>
        </w:tc>
        <w:tc>
          <w:tcPr>
            <w:tcW w:type="dxa" w:w="15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73.5 ± 1.5</w:t>
            </w:r>
          </w:p>
        </w:tc>
        <w:tc>
          <w:tcPr>
            <w:tcW w:type="dxa" w:w="15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5.4 ± 0.7</w:t>
            </w:r>
          </w:p>
        </w:tc>
        <w:tc>
          <w:tcPr>
            <w:tcW w:type="dxa" w:w="15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38.6 ± 3.8</w:t>
            </w:r>
          </w:p>
        </w:tc>
        <w:tc>
          <w:tcPr>
            <w:tcW w:type="dxa" w:w="9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CNN</w:t>
            </w:r>
          </w:p>
        </w:tc>
      </w:tr>
      <w:tr>
        <w:tc>
          <w:tcPr>
            <w:tcW w:type="dxa" w:w="21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U-Net++</w:t>
            </w:r>
          </w:p>
        </w:tc>
        <w:tc>
          <w:tcPr>
            <w:tcW w:type="dxa" w:w="15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59.4 ± 1.6</w:t>
            </w:r>
          </w:p>
        </w:tc>
        <w:tc>
          <w:tcPr>
            <w:tcW w:type="dxa" w:w="15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74.5 ± 1.3</w:t>
            </w:r>
          </w:p>
        </w:tc>
        <w:tc>
          <w:tcPr>
            <w:tcW w:type="dxa" w:w="15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5.1 ± 0.6</w:t>
            </w:r>
          </w:p>
        </w:tc>
        <w:tc>
          <w:tcPr>
            <w:tcW w:type="dxa" w:w="15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36.5 ± 3.5</w:t>
            </w:r>
          </w:p>
        </w:tc>
        <w:tc>
          <w:tcPr>
            <w:tcW w:type="dxa" w:w="9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CNN</w:t>
            </w:r>
          </w:p>
        </w:tc>
      </w:tr>
      <w:tr>
        <w:tc>
          <w:tcPr>
            <w:tcW w:type="dxa" w:w="21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DeepLabv3+</w:t>
            </w:r>
          </w:p>
        </w:tc>
        <w:tc>
          <w:tcPr>
            <w:tcW w:type="dxa" w:w="15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59.8 ± 1.7</w:t>
            </w:r>
          </w:p>
        </w:tc>
        <w:tc>
          <w:tcPr>
            <w:tcW w:type="dxa" w:w="15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74.8 ± 1.4</w:t>
            </w:r>
          </w:p>
        </w:tc>
        <w:tc>
          <w:tcPr>
            <w:tcW w:type="dxa" w:w="15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4.9 ± 0.6</w:t>
            </w:r>
          </w:p>
        </w:tc>
        <w:tc>
          <w:tcPr>
            <w:tcW w:type="dxa" w:w="15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35.4 ± 3.6</w:t>
            </w:r>
          </w:p>
        </w:tc>
        <w:tc>
          <w:tcPr>
            <w:tcW w:type="dxa" w:w="9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CNN</w:t>
            </w:r>
          </w:p>
        </w:tc>
      </w:tr>
      <w:tr>
        <w:tc>
          <w:tcPr>
            <w:tcW w:type="dxa" w:w="21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Attention U-Net</w:t>
            </w:r>
          </w:p>
        </w:tc>
        <w:tc>
          <w:tcPr>
            <w:tcW w:type="dxa" w:w="15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61.0 ± 1.5</w:t>
            </w:r>
          </w:p>
        </w:tc>
        <w:tc>
          <w:tcPr>
            <w:tcW w:type="dxa" w:w="15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75.8 ± 1.2</w:t>
            </w:r>
          </w:p>
        </w:tc>
        <w:tc>
          <w:tcPr>
            <w:tcW w:type="dxa" w:w="15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4.7 ± 0.5</w:t>
            </w:r>
          </w:p>
        </w:tc>
        <w:tc>
          <w:tcPr>
            <w:tcW w:type="dxa" w:w="15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33.8 ± 3.2</w:t>
            </w:r>
          </w:p>
        </w:tc>
        <w:tc>
          <w:tcPr>
            <w:tcW w:type="dxa" w:w="9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Attention</w:t>
            </w:r>
          </w:p>
        </w:tc>
      </w:tr>
      <w:tr>
        <w:tc>
          <w:tcPr>
            <w:tcW w:type="dxa" w:w="21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DANet</w:t>
            </w:r>
          </w:p>
        </w:tc>
        <w:tc>
          <w:tcPr>
            <w:tcW w:type="dxa" w:w="15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61.5 ± 1.4</w:t>
            </w:r>
          </w:p>
        </w:tc>
        <w:tc>
          <w:tcPr>
            <w:tcW w:type="dxa" w:w="15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76.2 ± 1.1</w:t>
            </w:r>
          </w:p>
        </w:tc>
        <w:tc>
          <w:tcPr>
            <w:tcW w:type="dxa" w:w="15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4.5 ± 0.5</w:t>
            </w:r>
          </w:p>
        </w:tc>
        <w:tc>
          <w:tcPr>
            <w:tcW w:type="dxa" w:w="15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32.7 ± 3.0</w:t>
            </w:r>
          </w:p>
        </w:tc>
        <w:tc>
          <w:tcPr>
            <w:tcW w:type="dxa" w:w="9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Attention</w:t>
            </w:r>
          </w:p>
        </w:tc>
      </w:tr>
      <w:tr>
        <w:tc>
          <w:tcPr>
            <w:tcW w:type="dxa" w:w="21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Swin-UNet</w:t>
            </w:r>
          </w:p>
        </w:tc>
        <w:tc>
          <w:tcPr>
            <w:tcW w:type="dxa" w:w="15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62.1 ± 1.3</w:t>
            </w:r>
          </w:p>
        </w:tc>
        <w:tc>
          <w:tcPr>
            <w:tcW w:type="dxa" w:w="15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76.7 ± 1.0</w:t>
            </w:r>
          </w:p>
        </w:tc>
        <w:tc>
          <w:tcPr>
            <w:tcW w:type="dxa" w:w="15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4.3 ± 0.4</w:t>
            </w:r>
          </w:p>
        </w:tc>
        <w:tc>
          <w:tcPr>
            <w:tcW w:type="dxa" w:w="15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31.6 ± 2.8</w:t>
            </w:r>
          </w:p>
        </w:tc>
        <w:tc>
          <w:tcPr>
            <w:tcW w:type="dxa" w:w="9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Transformer</w:t>
            </w:r>
          </w:p>
        </w:tc>
      </w:tr>
      <w:tr>
        <w:tc>
          <w:tcPr>
            <w:tcW w:type="dxa" w:w="21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SegFormer</w:t>
            </w:r>
          </w:p>
        </w:tc>
        <w:tc>
          <w:tcPr>
            <w:tcW w:type="dxa" w:w="15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62.6 ± 1.2</w:t>
            </w:r>
          </w:p>
        </w:tc>
        <w:tc>
          <w:tcPr>
            <w:tcW w:type="dxa" w:w="15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77.1 ± 0.9</w:t>
            </w:r>
          </w:p>
        </w:tc>
        <w:tc>
          <w:tcPr>
            <w:tcW w:type="dxa" w:w="15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4.2 ± 0.4</w:t>
            </w:r>
          </w:p>
        </w:tc>
        <w:tc>
          <w:tcPr>
            <w:tcW w:type="dxa" w:w="15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30.8 ± 2.7</w:t>
            </w:r>
          </w:p>
        </w:tc>
        <w:tc>
          <w:tcPr>
            <w:tcW w:type="dxa" w:w="9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Transformer</w:t>
            </w:r>
          </w:p>
        </w:tc>
      </w:tr>
      <w:tr>
        <w:tc>
          <w:tcPr>
            <w:tcW w:type="dxa" w:w="21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TransUNet</w:t>
            </w:r>
          </w:p>
        </w:tc>
        <w:tc>
          <w:tcPr>
            <w:tcW w:type="dxa" w:w="15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63.1 ± 1.3</w:t>
            </w:r>
          </w:p>
        </w:tc>
        <w:tc>
          <w:tcPr>
            <w:tcW w:type="dxa" w:w="15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77.4 ± 1.0</w:t>
            </w:r>
          </w:p>
        </w:tc>
        <w:tc>
          <w:tcPr>
            <w:tcW w:type="dxa" w:w="15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4.0 ± 0.4</w:t>
            </w:r>
          </w:p>
        </w:tc>
        <w:tc>
          <w:tcPr>
            <w:tcW w:type="dxa" w:w="15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30.0 ± 2.6</w:t>
            </w:r>
          </w:p>
        </w:tc>
        <w:tc>
          <w:tcPr>
            <w:tcW w:type="dxa" w:w="9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Hybrid</w:t>
            </w:r>
          </w:p>
        </w:tc>
      </w:tr>
      <w:tr>
        <w:tc>
          <w:tcPr>
            <w:tcW w:type="dxa" w:w="21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MedSegDiff</w:t>
            </w:r>
          </w:p>
        </w:tc>
        <w:tc>
          <w:tcPr>
            <w:tcW w:type="dxa" w:w="15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61.9 ± 1.4</w:t>
            </w:r>
          </w:p>
        </w:tc>
        <w:tc>
          <w:tcPr>
            <w:tcW w:type="dxa" w:w="15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76.4 ± 1.1</w:t>
            </w:r>
          </w:p>
        </w:tc>
        <w:tc>
          <w:tcPr>
            <w:tcW w:type="dxa" w:w="15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4.4 ± 0.5</w:t>
            </w:r>
          </w:p>
        </w:tc>
        <w:tc>
          <w:tcPr>
            <w:tcW w:type="dxa" w:w="15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32.2 ± 2.9</w:t>
            </w:r>
          </w:p>
        </w:tc>
        <w:tc>
          <w:tcPr>
            <w:tcW w:type="dxa" w:w="9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Generative</w:t>
            </w:r>
          </w:p>
        </w:tc>
      </w:tr>
      <w:tr>
        <w:tc>
          <w:tcPr>
            <w:tcW w:type="dxa" w:w="21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LSegDiff</w:t>
            </w:r>
          </w:p>
        </w:tc>
        <w:tc>
          <w:tcPr>
            <w:tcW w:type="dxa" w:w="15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64.6 ± 1.3</w:t>
            </w:r>
          </w:p>
        </w:tc>
        <w:tc>
          <w:tcPr>
            <w:tcW w:type="dxa" w:w="15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78.5 ± 1.0</w:t>
            </w:r>
          </w:p>
        </w:tc>
        <w:tc>
          <w:tcPr>
            <w:tcW w:type="dxa" w:w="15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4.2 ± 0.5</w:t>
            </w:r>
          </w:p>
        </w:tc>
        <w:tc>
          <w:tcPr>
            <w:tcW w:type="dxa" w:w="15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30.4 ± 2.7</w:t>
            </w:r>
          </w:p>
        </w:tc>
        <w:tc>
          <w:tcPr>
            <w:tcW w:type="dxa" w:w="9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Generative</w:t>
            </w:r>
          </w:p>
        </w:tc>
      </w:tr>
      <w:tr>
        <w:tc>
          <w:tcPr>
            <w:tcW w:type="dxa" w:w="21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BiFusion-LDSeg ★</w:t>
            </w:r>
          </w:p>
        </w:tc>
        <w:tc>
          <w:tcPr>
            <w:tcW w:type="dxa" w:w="15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68.5 ± 1.2</w:t>
            </w:r>
          </w:p>
        </w:tc>
        <w:tc>
          <w:tcPr>
            <w:tcW w:type="dxa" w:w="15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81.2 ± 0.9</w:t>
            </w:r>
          </w:p>
        </w:tc>
        <w:tc>
          <w:tcPr>
            <w:tcW w:type="dxa" w:w="15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3.3 ± 0.3</w:t>
            </w:r>
          </w:p>
        </w:tc>
        <w:tc>
          <w:tcPr>
            <w:tcW w:type="dxa" w:w="15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21.0 ± 2.1</w:t>
            </w:r>
          </w:p>
        </w:tc>
        <w:tc>
          <w:tcPr>
            <w:tcW w:type="dxa" w:w="9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Proposed</w:t>
            </w:r>
          </w:p>
        </w:tc>
      </w:tr>
    </w:tbl>
    <w:p>
      <w:pPr>
        <w:spacing w:after="60" w:before="60"/>
      </w:pPr>
      <w:r>
        <w:t xml:space="preserve"/>
      </w:r>
    </w:p>
    <w:p>
      <w:pPr>
        <w:spacing w:after="40" w:before="80"/>
        <w:jc w:val="center"/>
      </w:pPr>
      <w:r>
        <w:rPr>
          <w:rFonts w:ascii="Arial" w:cs="Arial" w:eastAsia="Arial" w:hAnsi="Arial"/>
          <w:b/>
          <w:bCs/>
          <w:color w:val="000000"/>
          <w:sz w:val="20"/>
          <w:szCs w:val="20"/>
        </w:rPr>
        <w:t xml:space="preserve">Table 3. Quantitative results on the Jiuzhaigou dataset (Shi et al.,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1560"/>
        <w:gridCol w:w="1560"/>
        <w:gridCol w:w="1560"/>
        <w:gridCol w:w="1560"/>
        <w:gridCol w:w="960"/>
      </w:tblGrid>
      <w:tr>
        <w:tc>
          <w:tcPr>
            <w:tcW w:type="dxa" w:w="21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Model</w:t>
            </w:r>
          </w:p>
        </w:tc>
        <w:tc>
          <w:tcPr>
            <w:tcW w:type="dxa" w:w="15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IoU (%)</w:t>
            </w:r>
          </w:p>
        </w:tc>
        <w:tc>
          <w:tcPr>
            <w:tcW w:type="dxa" w:w="15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DSC (%)</w:t>
            </w:r>
          </w:p>
        </w:tc>
        <w:tc>
          <w:tcPr>
            <w:tcW w:type="dxa" w:w="15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ASSD (px)</w:t>
            </w:r>
          </w:p>
        </w:tc>
        <w:tc>
          <w:tcPr>
            <w:tcW w:type="dxa" w:w="15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HD (px)</w:t>
            </w:r>
          </w:p>
        </w:tc>
        <w:tc>
          <w:tcPr>
            <w:tcW w:type="dxa" w:w="9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Type</w:t>
            </w:r>
          </w:p>
        </w:tc>
      </w:tr>
      <w:tr>
        <w:tc>
          <w:tcPr>
            <w:tcW w:type="dxa" w:w="21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U-Net</w:t>
            </w:r>
          </w:p>
        </w:tc>
        <w:tc>
          <w:tcPr>
            <w:tcW w:type="dxa" w:w="15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60.1 ± 1.6</w:t>
            </w:r>
          </w:p>
        </w:tc>
        <w:tc>
          <w:tcPr>
            <w:tcW w:type="dxa" w:w="15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75.1 ± 1.3</w:t>
            </w:r>
          </w:p>
        </w:tc>
        <w:tc>
          <w:tcPr>
            <w:tcW w:type="dxa" w:w="15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5.0 ± 0.6</w:t>
            </w:r>
          </w:p>
        </w:tc>
        <w:tc>
          <w:tcPr>
            <w:tcW w:type="dxa" w:w="15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36.5 ± 3.5</w:t>
            </w:r>
          </w:p>
        </w:tc>
        <w:tc>
          <w:tcPr>
            <w:tcW w:type="dxa" w:w="9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CNN</w:t>
            </w:r>
          </w:p>
        </w:tc>
      </w:tr>
      <w:tr>
        <w:tc>
          <w:tcPr>
            <w:tcW w:type="dxa" w:w="21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U-Net++</w:t>
            </w:r>
          </w:p>
        </w:tc>
        <w:tc>
          <w:tcPr>
            <w:tcW w:type="dxa" w:w="15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61.2 ± 1.5</w:t>
            </w:r>
          </w:p>
        </w:tc>
        <w:tc>
          <w:tcPr>
            <w:tcW w:type="dxa" w:w="15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75.9 ± 1.2</w:t>
            </w:r>
          </w:p>
        </w:tc>
        <w:tc>
          <w:tcPr>
            <w:tcW w:type="dxa" w:w="15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4.7 ± 0.6</w:t>
            </w:r>
          </w:p>
        </w:tc>
        <w:tc>
          <w:tcPr>
            <w:tcW w:type="dxa" w:w="15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34.6 ± 3.2</w:t>
            </w:r>
          </w:p>
        </w:tc>
        <w:tc>
          <w:tcPr>
            <w:tcW w:type="dxa" w:w="9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CNN</w:t>
            </w:r>
          </w:p>
        </w:tc>
      </w:tr>
      <w:tr>
        <w:tc>
          <w:tcPr>
            <w:tcW w:type="dxa" w:w="21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DeepLabv3+</w:t>
            </w:r>
          </w:p>
        </w:tc>
        <w:tc>
          <w:tcPr>
            <w:tcW w:type="dxa" w:w="15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61.6 ± 1.4</w:t>
            </w:r>
          </w:p>
        </w:tc>
        <w:tc>
          <w:tcPr>
            <w:tcW w:type="dxa" w:w="15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76.2 ± 1.1</w:t>
            </w:r>
          </w:p>
        </w:tc>
        <w:tc>
          <w:tcPr>
            <w:tcW w:type="dxa" w:w="15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4.6 ± 0.5</w:t>
            </w:r>
          </w:p>
        </w:tc>
        <w:tc>
          <w:tcPr>
            <w:tcW w:type="dxa" w:w="15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33.6 ± 3.1</w:t>
            </w:r>
          </w:p>
        </w:tc>
        <w:tc>
          <w:tcPr>
            <w:tcW w:type="dxa" w:w="9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CNN</w:t>
            </w:r>
          </w:p>
        </w:tc>
      </w:tr>
      <w:tr>
        <w:tc>
          <w:tcPr>
            <w:tcW w:type="dxa" w:w="21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Attention U-Net</w:t>
            </w:r>
          </w:p>
        </w:tc>
        <w:tc>
          <w:tcPr>
            <w:tcW w:type="dxa" w:w="15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62.7 ± 1.3</w:t>
            </w:r>
          </w:p>
        </w:tc>
        <w:tc>
          <w:tcPr>
            <w:tcW w:type="dxa" w:w="15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77.1 ± 1.0</w:t>
            </w:r>
          </w:p>
        </w:tc>
        <w:tc>
          <w:tcPr>
            <w:tcW w:type="dxa" w:w="15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4.3 ± 0.5</w:t>
            </w:r>
          </w:p>
        </w:tc>
        <w:tc>
          <w:tcPr>
            <w:tcW w:type="dxa" w:w="15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32.2 ± 2.9</w:t>
            </w:r>
          </w:p>
        </w:tc>
        <w:tc>
          <w:tcPr>
            <w:tcW w:type="dxa" w:w="9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Attention</w:t>
            </w:r>
          </w:p>
        </w:tc>
      </w:tr>
      <w:tr>
        <w:tc>
          <w:tcPr>
            <w:tcW w:type="dxa" w:w="21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DANet</w:t>
            </w:r>
          </w:p>
        </w:tc>
        <w:tc>
          <w:tcPr>
            <w:tcW w:type="dxa" w:w="15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63.2 ± 1.2</w:t>
            </w:r>
          </w:p>
        </w:tc>
        <w:tc>
          <w:tcPr>
            <w:tcW w:type="dxa" w:w="15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77.4 ± 0.9</w:t>
            </w:r>
          </w:p>
        </w:tc>
        <w:tc>
          <w:tcPr>
            <w:tcW w:type="dxa" w:w="15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4.2 ± 0.4</w:t>
            </w:r>
          </w:p>
        </w:tc>
        <w:tc>
          <w:tcPr>
            <w:tcW w:type="dxa" w:w="15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31.2 ± 2.7</w:t>
            </w:r>
          </w:p>
        </w:tc>
        <w:tc>
          <w:tcPr>
            <w:tcW w:type="dxa" w:w="9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Attention</w:t>
            </w:r>
          </w:p>
        </w:tc>
      </w:tr>
      <w:tr>
        <w:tc>
          <w:tcPr>
            <w:tcW w:type="dxa" w:w="21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Swin-UNet</w:t>
            </w:r>
          </w:p>
        </w:tc>
        <w:tc>
          <w:tcPr>
            <w:tcW w:type="dxa" w:w="15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63.8 ± 1.2</w:t>
            </w:r>
          </w:p>
        </w:tc>
        <w:tc>
          <w:tcPr>
            <w:tcW w:type="dxa" w:w="15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77.8 ± 0.9</w:t>
            </w:r>
          </w:p>
        </w:tc>
        <w:tc>
          <w:tcPr>
            <w:tcW w:type="dxa" w:w="15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4.0 ± 0.4</w:t>
            </w:r>
          </w:p>
        </w:tc>
        <w:tc>
          <w:tcPr>
            <w:tcW w:type="dxa" w:w="15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30.2 ± 2.6</w:t>
            </w:r>
          </w:p>
        </w:tc>
        <w:tc>
          <w:tcPr>
            <w:tcW w:type="dxa" w:w="9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Transformer</w:t>
            </w:r>
          </w:p>
        </w:tc>
      </w:tr>
      <w:tr>
        <w:tc>
          <w:tcPr>
            <w:tcW w:type="dxa" w:w="21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SegFormer</w:t>
            </w:r>
          </w:p>
        </w:tc>
        <w:tc>
          <w:tcPr>
            <w:tcW w:type="dxa" w:w="15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64.2 ± 1.1</w:t>
            </w:r>
          </w:p>
        </w:tc>
        <w:tc>
          <w:tcPr>
            <w:tcW w:type="dxa" w:w="15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78.2 ± 0.8</w:t>
            </w:r>
          </w:p>
        </w:tc>
        <w:tc>
          <w:tcPr>
            <w:tcW w:type="dxa" w:w="15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3.9 ± 0.4</w:t>
            </w:r>
          </w:p>
        </w:tc>
        <w:tc>
          <w:tcPr>
            <w:tcW w:type="dxa" w:w="15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29.4 ± 2.5</w:t>
            </w:r>
          </w:p>
        </w:tc>
        <w:tc>
          <w:tcPr>
            <w:tcW w:type="dxa" w:w="9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Transformer</w:t>
            </w:r>
          </w:p>
        </w:tc>
      </w:tr>
      <w:tr>
        <w:tc>
          <w:tcPr>
            <w:tcW w:type="dxa" w:w="21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TransUNet</w:t>
            </w:r>
          </w:p>
        </w:tc>
        <w:tc>
          <w:tcPr>
            <w:tcW w:type="dxa" w:w="15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64.8 ± 1.2</w:t>
            </w:r>
          </w:p>
        </w:tc>
        <w:tc>
          <w:tcPr>
            <w:tcW w:type="dxa" w:w="15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78.6 ± 0.9</w:t>
            </w:r>
          </w:p>
        </w:tc>
        <w:tc>
          <w:tcPr>
            <w:tcW w:type="dxa" w:w="15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3.7 ± 0.4</w:t>
            </w:r>
          </w:p>
        </w:tc>
        <w:tc>
          <w:tcPr>
            <w:tcW w:type="dxa" w:w="15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28.7 ± 2.4</w:t>
            </w:r>
          </w:p>
        </w:tc>
        <w:tc>
          <w:tcPr>
            <w:tcW w:type="dxa" w:w="9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Hybrid</w:t>
            </w:r>
          </w:p>
        </w:tc>
      </w:tr>
      <w:tr>
        <w:tc>
          <w:tcPr>
            <w:tcW w:type="dxa" w:w="21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MedSegDiff</w:t>
            </w:r>
          </w:p>
        </w:tc>
        <w:tc>
          <w:tcPr>
            <w:tcW w:type="dxa" w:w="15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63.5 ± 1.3</w:t>
            </w:r>
          </w:p>
        </w:tc>
        <w:tc>
          <w:tcPr>
            <w:tcW w:type="dxa" w:w="15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77.6 ± 1.0</w:t>
            </w:r>
          </w:p>
        </w:tc>
        <w:tc>
          <w:tcPr>
            <w:tcW w:type="dxa" w:w="15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4.1 ± 0.5</w:t>
            </w:r>
          </w:p>
        </w:tc>
        <w:tc>
          <w:tcPr>
            <w:tcW w:type="dxa" w:w="15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30.8 ± 2.8</w:t>
            </w:r>
          </w:p>
        </w:tc>
        <w:tc>
          <w:tcPr>
            <w:tcW w:type="dxa" w:w="9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Generative</w:t>
            </w:r>
          </w:p>
        </w:tc>
      </w:tr>
      <w:tr>
        <w:tc>
          <w:tcPr>
            <w:tcW w:type="dxa" w:w="21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LSegDiff</w:t>
            </w:r>
          </w:p>
        </w:tc>
        <w:tc>
          <w:tcPr>
            <w:tcW w:type="dxa" w:w="15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66.9 ± 1.2</w:t>
            </w:r>
          </w:p>
        </w:tc>
        <w:tc>
          <w:tcPr>
            <w:tcW w:type="dxa" w:w="15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80.0 ± 0.9</w:t>
            </w:r>
          </w:p>
        </w:tc>
        <w:tc>
          <w:tcPr>
            <w:tcW w:type="dxa" w:w="15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3.8 ± 0.4</w:t>
            </w:r>
          </w:p>
        </w:tc>
        <w:tc>
          <w:tcPr>
            <w:tcW w:type="dxa" w:w="15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29.1 ± 2.5</w:t>
            </w:r>
          </w:p>
        </w:tc>
        <w:tc>
          <w:tcPr>
            <w:tcW w:type="dxa" w:w="9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Generative</w:t>
            </w:r>
          </w:p>
        </w:tc>
      </w:tr>
      <w:tr>
        <w:tc>
          <w:tcPr>
            <w:tcW w:type="dxa" w:w="21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BiFusion-LDSeg ★</w:t>
            </w:r>
          </w:p>
        </w:tc>
        <w:tc>
          <w:tcPr>
            <w:tcW w:type="dxa" w:w="15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70.8 ± 1.0</w:t>
            </w:r>
          </w:p>
        </w:tc>
        <w:tc>
          <w:tcPr>
            <w:tcW w:type="dxa" w:w="15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83.1 ± 0.8</w:t>
            </w:r>
          </w:p>
        </w:tc>
        <w:tc>
          <w:tcPr>
            <w:tcW w:type="dxa" w:w="15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2.5 ± 0.3</w:t>
            </w:r>
          </w:p>
        </w:tc>
        <w:tc>
          <w:tcPr>
            <w:tcW w:type="dxa" w:w="15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19.8 ± 2.0</w:t>
            </w:r>
          </w:p>
        </w:tc>
        <w:tc>
          <w:tcPr>
            <w:tcW w:type="dxa" w:w="9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Proposed</w:t>
            </w:r>
          </w:p>
        </w:tc>
      </w:tr>
    </w:tbl>
    <w:p>
      <w:pPr>
        <w:spacing w:after="60" w:before="60"/>
      </w:pPr>
      <w:r>
        <w:t xml:space="preserve"/>
      </w:r>
    </w:p>
    <w:p>
      <w:pPr>
        <w:spacing w:after="40" w:before="80"/>
        <w:jc w:val="center"/>
      </w:pPr>
      <w:r>
        <w:rPr>
          <w:rFonts w:ascii="Arial" w:cs="Arial" w:eastAsia="Arial" w:hAnsi="Arial"/>
          <w:b/>
          <w:bCs/>
          <w:color w:val="000000"/>
          <w:sz w:val="20"/>
          <w:szCs w:val="20"/>
        </w:rPr>
        <w:t xml:space="preserve">Table 4. Quantitative results on the Luding dataset (Shi et al.,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1560"/>
        <w:gridCol w:w="1560"/>
        <w:gridCol w:w="1560"/>
        <w:gridCol w:w="1560"/>
        <w:gridCol w:w="960"/>
      </w:tblGrid>
      <w:tr>
        <w:tc>
          <w:tcPr>
            <w:tcW w:type="dxa" w:w="21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Model</w:t>
            </w:r>
          </w:p>
        </w:tc>
        <w:tc>
          <w:tcPr>
            <w:tcW w:type="dxa" w:w="15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IoU (%)</w:t>
            </w:r>
          </w:p>
        </w:tc>
        <w:tc>
          <w:tcPr>
            <w:tcW w:type="dxa" w:w="15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DSC (%)</w:t>
            </w:r>
          </w:p>
        </w:tc>
        <w:tc>
          <w:tcPr>
            <w:tcW w:type="dxa" w:w="15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ASSD (px)</w:t>
            </w:r>
          </w:p>
        </w:tc>
        <w:tc>
          <w:tcPr>
            <w:tcW w:type="dxa" w:w="15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HD (px)</w:t>
            </w:r>
          </w:p>
        </w:tc>
        <w:tc>
          <w:tcPr>
            <w:tcW w:type="dxa" w:w="9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Type</w:t>
            </w:r>
          </w:p>
        </w:tc>
      </w:tr>
      <w:tr>
        <w:tc>
          <w:tcPr>
            <w:tcW w:type="dxa" w:w="21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U-Net</w:t>
            </w:r>
          </w:p>
        </w:tc>
        <w:tc>
          <w:tcPr>
            <w:tcW w:type="dxa" w:w="15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59.4 ± 1.7</w:t>
            </w:r>
          </w:p>
        </w:tc>
        <w:tc>
          <w:tcPr>
            <w:tcW w:type="dxa" w:w="15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74.5 ± 1.4</w:t>
            </w:r>
          </w:p>
        </w:tc>
        <w:tc>
          <w:tcPr>
            <w:tcW w:type="dxa" w:w="15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5.2 ± 0.7</w:t>
            </w:r>
          </w:p>
        </w:tc>
        <w:tc>
          <w:tcPr>
            <w:tcW w:type="dxa" w:w="15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37.4 ± 3.6</w:t>
            </w:r>
          </w:p>
        </w:tc>
        <w:tc>
          <w:tcPr>
            <w:tcW w:type="dxa" w:w="9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CNN</w:t>
            </w:r>
          </w:p>
        </w:tc>
      </w:tr>
      <w:tr>
        <w:tc>
          <w:tcPr>
            <w:tcW w:type="dxa" w:w="21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U-Net++</w:t>
            </w:r>
          </w:p>
        </w:tc>
        <w:tc>
          <w:tcPr>
            <w:tcW w:type="dxa" w:w="15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60.5 ± 1.6</w:t>
            </w:r>
          </w:p>
        </w:tc>
        <w:tc>
          <w:tcPr>
            <w:tcW w:type="dxa" w:w="15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75.3 ± 1.3</w:t>
            </w:r>
          </w:p>
        </w:tc>
        <w:tc>
          <w:tcPr>
            <w:tcW w:type="dxa" w:w="15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4.9 ± 0.6</w:t>
            </w:r>
          </w:p>
        </w:tc>
        <w:tc>
          <w:tcPr>
            <w:tcW w:type="dxa" w:w="15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35.4 ± 3.4</w:t>
            </w:r>
          </w:p>
        </w:tc>
        <w:tc>
          <w:tcPr>
            <w:tcW w:type="dxa" w:w="9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CNN</w:t>
            </w:r>
          </w:p>
        </w:tc>
      </w:tr>
      <w:tr>
        <w:tc>
          <w:tcPr>
            <w:tcW w:type="dxa" w:w="21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DeepLabv3+</w:t>
            </w:r>
          </w:p>
        </w:tc>
        <w:tc>
          <w:tcPr>
            <w:tcW w:type="dxa" w:w="15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60.9 ± 1.5</w:t>
            </w:r>
          </w:p>
        </w:tc>
        <w:tc>
          <w:tcPr>
            <w:tcW w:type="dxa" w:w="15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75.7 ± 1.2</w:t>
            </w:r>
          </w:p>
        </w:tc>
        <w:tc>
          <w:tcPr>
            <w:tcW w:type="dxa" w:w="15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4.8 ± 0.6</w:t>
            </w:r>
          </w:p>
        </w:tc>
        <w:tc>
          <w:tcPr>
            <w:tcW w:type="dxa" w:w="15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34.3 ± 3.3</w:t>
            </w:r>
          </w:p>
        </w:tc>
        <w:tc>
          <w:tcPr>
            <w:tcW w:type="dxa" w:w="9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CNN</w:t>
            </w:r>
          </w:p>
        </w:tc>
      </w:tr>
      <w:tr>
        <w:tc>
          <w:tcPr>
            <w:tcW w:type="dxa" w:w="21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Attention U-Net</w:t>
            </w:r>
          </w:p>
        </w:tc>
        <w:tc>
          <w:tcPr>
            <w:tcW w:type="dxa" w:w="15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62.1 ± 1.4</w:t>
            </w:r>
          </w:p>
        </w:tc>
        <w:tc>
          <w:tcPr>
            <w:tcW w:type="dxa" w:w="15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76.6 ± 1.1</w:t>
            </w:r>
          </w:p>
        </w:tc>
        <w:tc>
          <w:tcPr>
            <w:tcW w:type="dxa" w:w="15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4.5 ± 0.5</w:t>
            </w:r>
          </w:p>
        </w:tc>
        <w:tc>
          <w:tcPr>
            <w:tcW w:type="dxa" w:w="15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32.8 ± 3.1</w:t>
            </w:r>
          </w:p>
        </w:tc>
        <w:tc>
          <w:tcPr>
            <w:tcW w:type="dxa" w:w="9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Attention</w:t>
            </w:r>
          </w:p>
        </w:tc>
      </w:tr>
      <w:tr>
        <w:tc>
          <w:tcPr>
            <w:tcW w:type="dxa" w:w="21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DANet</w:t>
            </w:r>
          </w:p>
        </w:tc>
        <w:tc>
          <w:tcPr>
            <w:tcW w:type="dxa" w:w="15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62.6 ± 1.3</w:t>
            </w:r>
          </w:p>
        </w:tc>
        <w:tc>
          <w:tcPr>
            <w:tcW w:type="dxa" w:w="15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77.0 ± 1.0</w:t>
            </w:r>
          </w:p>
        </w:tc>
        <w:tc>
          <w:tcPr>
            <w:tcW w:type="dxa" w:w="15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4.4 ± 0.5</w:t>
            </w:r>
          </w:p>
        </w:tc>
        <w:tc>
          <w:tcPr>
            <w:tcW w:type="dxa" w:w="15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31.8 ± 2.9</w:t>
            </w:r>
          </w:p>
        </w:tc>
        <w:tc>
          <w:tcPr>
            <w:tcW w:type="dxa" w:w="9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Attention</w:t>
            </w:r>
          </w:p>
        </w:tc>
      </w:tr>
      <w:tr>
        <w:tc>
          <w:tcPr>
            <w:tcW w:type="dxa" w:w="21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Swin-UNet</w:t>
            </w:r>
          </w:p>
        </w:tc>
        <w:tc>
          <w:tcPr>
            <w:tcW w:type="dxa" w:w="15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63.2 ± 1.3</w:t>
            </w:r>
          </w:p>
        </w:tc>
        <w:tc>
          <w:tcPr>
            <w:tcW w:type="dxa" w:w="15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77.5 ± 1.0</w:t>
            </w:r>
          </w:p>
        </w:tc>
        <w:tc>
          <w:tcPr>
            <w:tcW w:type="dxa" w:w="15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4.2 ± 0.4</w:t>
            </w:r>
          </w:p>
        </w:tc>
        <w:tc>
          <w:tcPr>
            <w:tcW w:type="dxa" w:w="15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30.8 ± 2.7</w:t>
            </w:r>
          </w:p>
        </w:tc>
        <w:tc>
          <w:tcPr>
            <w:tcW w:type="dxa" w:w="9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Transformer</w:t>
            </w:r>
          </w:p>
        </w:tc>
      </w:tr>
      <w:tr>
        <w:tc>
          <w:tcPr>
            <w:tcW w:type="dxa" w:w="21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SegFormer</w:t>
            </w:r>
          </w:p>
        </w:tc>
        <w:tc>
          <w:tcPr>
            <w:tcW w:type="dxa" w:w="15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63.7 ± 1.2</w:t>
            </w:r>
          </w:p>
        </w:tc>
        <w:tc>
          <w:tcPr>
            <w:tcW w:type="dxa" w:w="15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77.9 ± 0.9</w:t>
            </w:r>
          </w:p>
        </w:tc>
        <w:tc>
          <w:tcPr>
            <w:tcW w:type="dxa" w:w="15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4.0 ± 0.4</w:t>
            </w:r>
          </w:p>
        </w:tc>
        <w:tc>
          <w:tcPr>
            <w:tcW w:type="dxa" w:w="15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30.0 ± 2.6</w:t>
            </w:r>
          </w:p>
        </w:tc>
        <w:tc>
          <w:tcPr>
            <w:tcW w:type="dxa" w:w="9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Transformer</w:t>
            </w:r>
          </w:p>
        </w:tc>
      </w:tr>
      <w:tr>
        <w:tc>
          <w:tcPr>
            <w:tcW w:type="dxa" w:w="21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TransUNet</w:t>
            </w:r>
          </w:p>
        </w:tc>
        <w:tc>
          <w:tcPr>
            <w:tcW w:type="dxa" w:w="15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64.2 ± 1.2</w:t>
            </w:r>
          </w:p>
        </w:tc>
        <w:tc>
          <w:tcPr>
            <w:tcW w:type="dxa" w:w="15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78.3 ± 0.9</w:t>
            </w:r>
          </w:p>
        </w:tc>
        <w:tc>
          <w:tcPr>
            <w:tcW w:type="dxa" w:w="15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3.9 ± 0.4</w:t>
            </w:r>
          </w:p>
        </w:tc>
        <w:tc>
          <w:tcPr>
            <w:tcW w:type="dxa" w:w="15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29.3 ± 2.5</w:t>
            </w:r>
          </w:p>
        </w:tc>
        <w:tc>
          <w:tcPr>
            <w:tcW w:type="dxa" w:w="9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Hybrid</w:t>
            </w:r>
          </w:p>
        </w:tc>
      </w:tr>
      <w:tr>
        <w:tc>
          <w:tcPr>
            <w:tcW w:type="dxa" w:w="21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MedSegDiff</w:t>
            </w:r>
          </w:p>
        </w:tc>
        <w:tc>
          <w:tcPr>
            <w:tcW w:type="dxa" w:w="15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63.0 ± 1.4</w:t>
            </w:r>
          </w:p>
        </w:tc>
        <w:tc>
          <w:tcPr>
            <w:tcW w:type="dxa" w:w="15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77.2 ± 1.0</w:t>
            </w:r>
          </w:p>
        </w:tc>
        <w:tc>
          <w:tcPr>
            <w:tcW w:type="dxa" w:w="15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4.3 ± 0.5</w:t>
            </w:r>
          </w:p>
        </w:tc>
        <w:tc>
          <w:tcPr>
            <w:tcW w:type="dxa" w:w="15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31.4 ± 2.8</w:t>
            </w:r>
          </w:p>
        </w:tc>
        <w:tc>
          <w:tcPr>
            <w:tcW w:type="dxa" w:w="9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Generative</w:t>
            </w:r>
          </w:p>
        </w:tc>
      </w:tr>
      <w:tr>
        <w:tc>
          <w:tcPr>
            <w:tcW w:type="dxa" w:w="21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LSegDiff</w:t>
            </w:r>
          </w:p>
        </w:tc>
        <w:tc>
          <w:tcPr>
            <w:tcW w:type="dxa" w:w="15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64.4 ± 1.2</w:t>
            </w:r>
          </w:p>
        </w:tc>
        <w:tc>
          <w:tcPr>
            <w:tcW w:type="dxa" w:w="15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78.4 ± 0.9</w:t>
            </w:r>
          </w:p>
        </w:tc>
        <w:tc>
          <w:tcPr>
            <w:tcW w:type="dxa" w:w="15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4.0 ± 0.4</w:t>
            </w:r>
          </w:p>
        </w:tc>
        <w:tc>
          <w:tcPr>
            <w:tcW w:type="dxa" w:w="15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29.7 ± 2.6</w:t>
            </w:r>
          </w:p>
        </w:tc>
        <w:tc>
          <w:tcPr>
            <w:tcW w:type="dxa" w:w="9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Generative</w:t>
            </w:r>
          </w:p>
        </w:tc>
      </w:tr>
      <w:tr>
        <w:tc>
          <w:tcPr>
            <w:tcW w:type="dxa" w:w="21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BiFusion-LDSeg ★</w:t>
            </w:r>
          </w:p>
        </w:tc>
        <w:tc>
          <w:tcPr>
            <w:tcW w:type="dxa" w:w="15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68.3 ± 1.1</w:t>
            </w:r>
          </w:p>
        </w:tc>
        <w:tc>
          <w:tcPr>
            <w:tcW w:type="dxa" w:w="15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81.1 ± 0.9</w:t>
            </w:r>
          </w:p>
        </w:tc>
        <w:tc>
          <w:tcPr>
            <w:tcW w:type="dxa" w:w="15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2.9 ± 0.5</w:t>
            </w:r>
          </w:p>
        </w:tc>
        <w:tc>
          <w:tcPr>
            <w:tcW w:type="dxa" w:w="15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20.4 ± 2.4</w:t>
            </w:r>
          </w:p>
        </w:tc>
        <w:tc>
          <w:tcPr>
            <w:tcW w:type="dxa" w:w="9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Proposed</w:t>
            </w:r>
          </w:p>
        </w:tc>
      </w:tr>
    </w:tbl>
    <w:p>
      <w:pPr>
        <w:spacing w:after="60" w:before="60"/>
      </w:pPr>
      <w:r>
        <w:t xml:space="preserve"/>
      </w:r>
    </w:p>
    <w:p>
      <w:pPr>
        <w:spacing w:after="140" w:before="80"/>
        <w:jc w:val="both"/>
      </w:pPr>
      <w:r>
        <w:rPr>
          <w:rFonts w:ascii="Arial" w:cs="Arial" w:eastAsia="Arial" w:hAnsi="Arial"/>
          <w:color w:val="000000"/>
          <w:sz w:val="22"/>
          <w:szCs w:val="22"/>
        </w:rPr>
        <w:t xml:space="preserve">BiFusion-LDSeg achieves consistent performance gains of 7–13% IoU and 5–7% DSC over all prior methods across all three datasets. Ablation studies confirm that the Bi-AG module contributes the largest individual improvement (+3.8% DSC), followed by end-to-end training (+0.6%), the boundary-aware decoder (+0.3%), and latent diffusion (+0.3%). The model achieves inference in approximately 0.317 seconds per 512×512 image using 10 DDIM steps, suitable for rapid post-earthquake deployment.</w:t>
      </w:r>
    </w:p>
    <w:p>
      <w:pPr>
        <w:spacing w:after="140" w:before="80"/>
        <w:jc w:val="both"/>
      </w:pPr>
      <w:r>
        <w:rPr>
          <w:rFonts w:ascii="Arial" w:cs="Arial" w:eastAsia="Arial" w:hAnsi="Arial"/>
          <w:color w:val="000000"/>
          <w:sz w:val="22"/>
          <w:szCs w:val="22"/>
        </w:rPr>
        <w:t xml:space="preserve">A key limitation acknowledged by the authors is the exclusive reliance on optical satellite imagery without DEM or other topographic auxiliary data. The absence of terrain geometry information represents an open research direction, as spectral confusion between landslide scars and spectrally similar terrain (bare soil, road cuts, river gravels) remains a source of false positives that topographic context could resolve.</w:t>
      </w:r>
    </w:p>
    <w:p>
      <w:pPr>
        <w:pStyle w:val="Heading2"/>
        <w:spacing w:after="100" w:before="260"/>
      </w:pPr>
      <w:r>
        <w:rPr>
          <w:rFonts w:ascii="Arial" w:cs="Arial" w:eastAsia="Arial" w:hAnsi="Arial"/>
          <w:b/>
          <w:bCs/>
          <w:color w:val="000000"/>
          <w:sz w:val="26"/>
          <w:szCs w:val="26"/>
        </w:rPr>
        <w:t xml:space="preserve">6.2  DiGATe-UNet (Islam et al., 2026)</w:t>
      </w:r>
    </w:p>
    <w:p>
      <w:pPr>
        <w:spacing w:after="140" w:before="80"/>
        <w:jc w:val="both"/>
      </w:pPr>
      <w:r>
        <w:rPr>
          <w:rFonts w:ascii="Arial" w:cs="Arial" w:eastAsia="Arial" w:hAnsi="Arial"/>
          <w:b/>
          <w:bCs/>
          <w:color w:val="000000"/>
          <w:sz w:val="22"/>
          <w:szCs w:val="22"/>
        </w:rPr>
        <w:t xml:space="preserve">Paper: </w:t>
      </w:r>
      <w:r>
        <w:rPr>
          <w:rFonts w:ascii="Arial" w:cs="Arial" w:eastAsia="Arial" w:hAnsi="Arial"/>
          <w:i/>
          <w:iCs/>
          <w:color w:val="000000"/>
          <w:sz w:val="22"/>
          <w:szCs w:val="22"/>
        </w:rPr>
        <w:t xml:space="preserve">A Dual-Stream Framework for Landslide Segmentation with Cross-Attention Enhancement and Gated Multimodal Fusion. </w:t>
      </w:r>
      <w:r>
        <w:rPr>
          <w:rFonts w:ascii="Arial" w:cs="Arial" w:eastAsia="Arial" w:hAnsi="Arial"/>
          <w:color w:val="000000"/>
          <w:sz w:val="22"/>
          <w:szCs w:val="22"/>
        </w:rPr>
        <w:t xml:space="preserve">Computers, Materials &amp; Continua, 86(3), 8. https://doi.org/10.32604/cmc.2025.072550</w:t>
      </w:r>
    </w:p>
    <w:p>
      <w:pPr>
        <w:spacing w:after="60" w:before="60"/>
      </w:pPr>
      <w:r>
        <w:t xml:space="preserve"/>
      </w:r>
    </w:p>
    <w:p>
      <w:pPr>
        <w:spacing w:after="140" w:before="80"/>
        <w:jc w:val="both"/>
      </w:pPr>
      <w:r>
        <w:rPr>
          <w:rFonts w:ascii="Arial" w:cs="Arial" w:eastAsia="Arial" w:hAnsi="Arial"/>
          <w:color w:val="000000"/>
          <w:sz w:val="22"/>
          <w:szCs w:val="22"/>
        </w:rPr>
        <w:t xml:space="preserve">DiGATe-UNet is a lightweight dual-stream Siamese deep learning framework that integrates optical (RGB) and topographical (DEM) data through a unified adaptive encoder-decoder architecture. The framework processes two co-registered input streams, namely Stream A (optical RGB) and Stream B (DEM or DEM-derived features), through a shared EfficientNet-B4 backbone. Mid-level features from both streams are fused through a GateFuse module that computes a learned spatial attention mask and applies regularisation to prevent uncertain (50/50) gating. The adaptive decoder employs three complementary modules: SubPixelUp for artifact-free resolution recovery via pixel shuffle, TransUp for cross-attention alignment between decoder and skip features, and UpFlex for attention-gated skip fusion for spatial refinement.</w:t>
      </w:r>
    </w:p>
    <w:p>
      <w:pPr>
        <w:spacing w:after="140" w:before="80"/>
        <w:jc w:val="both"/>
      </w:pPr>
      <w:r>
        <w:rPr>
          <w:rFonts w:ascii="Arial" w:cs="Arial" w:eastAsia="Arial" w:hAnsi="Arial"/>
          <w:color w:val="000000"/>
          <w:sz w:val="22"/>
          <w:szCs w:val="22"/>
        </w:rPr>
        <w:t xml:space="preserve">A key strength of this paper relative to BiFusion-LDSeg is explicit multi-modal fusion: on the Landslide4Sense dataset, Stream B uses NDVI, slope, and DEM features derived from the dataset's DEM-derived bands, demonstrating that combining topographic and spectral information yields superior segmentation compared to spectral-only approaches. Two auxiliary output heads provide deep supervision at intermediate decoder stages, improving gradient flow and boundary capture for small and fragmented landslide regions.</w:t>
      </w:r>
    </w:p>
    <w:p>
      <w:pPr>
        <w:spacing w:after="140" w:before="80"/>
        <w:jc w:val="both"/>
      </w:pPr>
      <w:r>
        <w:rPr>
          <w:rFonts w:ascii="Arial" w:cs="Arial" w:eastAsia="Arial" w:hAnsi="Arial"/>
          <w:color w:val="000000"/>
          <w:sz w:val="22"/>
          <w:szCs w:val="22"/>
        </w:rPr>
        <w:t xml:space="preserve">The model is evaluated on two datasets: the Bijie dataset (770 positive samples from Bijie City, Guizhou Province; 0.8 m TripleSat imagery with RGB and DEM tiles) and the Landslide4Sense dataset (3,799 training / 245 validation / 800 test patches; Sentinel-2 14-band imagery with DEM-derived features). EfficientNet-B4 was selected as the backbone after ablation across six architectures, achieving the best F1/IoU trade-off with only 1.24 M trainable parameters.</w:t>
      </w:r>
    </w:p>
    <w:p>
      <w:pPr>
        <w:spacing w:after="60" w:before="60"/>
      </w:pPr>
      <w:r>
        <w:t xml:space="preserve"/>
      </w:r>
    </w:p>
    <w:p>
      <w:pPr>
        <w:spacing w:after="40" w:before="80"/>
        <w:jc w:val="center"/>
      </w:pPr>
      <w:r>
        <w:rPr>
          <w:rFonts w:ascii="Arial" w:cs="Arial" w:eastAsia="Arial" w:hAnsi="Arial"/>
          <w:b/>
          <w:bCs/>
          <w:color w:val="000000"/>
          <w:sz w:val="20"/>
          <w:szCs w:val="20"/>
        </w:rPr>
        <w:t xml:space="preserve">Table 5. Performance comparison on the Bijie dataset (Islam et al.,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60"/>
        <w:gridCol w:w="1300"/>
        <w:gridCol w:w="1300"/>
        <w:gridCol w:w="1300"/>
        <w:gridCol w:w="1300"/>
        <w:gridCol w:w="1200"/>
        <w:gridCol w:w="1000"/>
      </w:tblGrid>
      <w:tr>
        <w:tc>
          <w:tcPr>
            <w:tcW w:type="dxa" w:w="19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Model</w:t>
            </w:r>
          </w:p>
        </w:tc>
        <w:tc>
          <w:tcPr>
            <w:tcW w:type="dxa" w:w="13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Accuracy</w:t>
            </w:r>
          </w:p>
        </w:tc>
        <w:tc>
          <w:tcPr>
            <w:tcW w:type="dxa" w:w="13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Precision</w:t>
            </w:r>
          </w:p>
        </w:tc>
        <w:tc>
          <w:tcPr>
            <w:tcW w:type="dxa" w:w="13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Recall</w:t>
            </w:r>
          </w:p>
        </w:tc>
        <w:tc>
          <w:tcPr>
            <w:tcW w:type="dxa" w:w="13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F1</w:t>
            </w:r>
          </w:p>
        </w:tc>
        <w:tc>
          <w:tcPr>
            <w:tcW w:type="dxa" w:w="12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IoU</w:t>
            </w:r>
          </w:p>
        </w:tc>
        <w:tc>
          <w:tcPr>
            <w:tcW w:type="dxa" w:w="10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Type</w:t>
            </w:r>
          </w:p>
        </w:tc>
      </w:tr>
      <w:tr>
        <w:tc>
          <w:tcPr>
            <w:tcW w:type="dxa" w:w="19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UNet</w:t>
            </w:r>
          </w:p>
        </w:tc>
        <w:tc>
          <w:tcPr>
            <w:tcW w:type="dxa" w:w="13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0.9798</w:t>
            </w:r>
          </w:p>
        </w:tc>
        <w:tc>
          <w:tcPr>
            <w:tcW w:type="dxa" w:w="13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0.9013</w:t>
            </w:r>
          </w:p>
        </w:tc>
        <w:tc>
          <w:tcPr>
            <w:tcW w:type="dxa" w:w="13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0.8642</w:t>
            </w:r>
          </w:p>
        </w:tc>
        <w:tc>
          <w:tcPr>
            <w:tcW w:type="dxa" w:w="13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0.8065</w:t>
            </w:r>
          </w:p>
        </w:tc>
        <w:tc>
          <w:tcPr>
            <w:tcW w:type="dxa" w:w="12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0.7776</w:t>
            </w:r>
          </w:p>
        </w:tc>
        <w:tc>
          <w:tcPr>
            <w:tcW w:type="dxa" w:w="10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CNN</w:t>
            </w:r>
          </w:p>
        </w:tc>
      </w:tr>
      <w:tr>
        <w:tc>
          <w:tcPr>
            <w:tcW w:type="dxa" w:w="19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Dual-stream UNet</w:t>
            </w:r>
          </w:p>
        </w:tc>
        <w:tc>
          <w:tcPr>
            <w:tcW w:type="dxa" w:w="13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0.9824</w:t>
            </w:r>
          </w:p>
        </w:tc>
        <w:tc>
          <w:tcPr>
            <w:tcW w:type="dxa" w:w="13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0.8768</w:t>
            </w:r>
          </w:p>
        </w:tc>
        <w:tc>
          <w:tcPr>
            <w:tcW w:type="dxa" w:w="13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0.8877</w:t>
            </w:r>
          </w:p>
        </w:tc>
        <w:tc>
          <w:tcPr>
            <w:tcW w:type="dxa" w:w="13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0.8084</w:t>
            </w:r>
          </w:p>
        </w:tc>
        <w:tc>
          <w:tcPr>
            <w:tcW w:type="dxa" w:w="12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0.7809</w:t>
            </w:r>
          </w:p>
        </w:tc>
        <w:tc>
          <w:tcPr>
            <w:tcW w:type="dxa" w:w="10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CNN</w:t>
            </w:r>
          </w:p>
        </w:tc>
      </w:tr>
      <w:tr>
        <w:tc>
          <w:tcPr>
            <w:tcW w:type="dxa" w:w="19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LinkNet</w:t>
            </w:r>
          </w:p>
        </w:tc>
        <w:tc>
          <w:tcPr>
            <w:tcW w:type="dxa" w:w="13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0.9750</w:t>
            </w:r>
          </w:p>
        </w:tc>
        <w:tc>
          <w:tcPr>
            <w:tcW w:type="dxa" w:w="13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0.8450</w:t>
            </w:r>
          </w:p>
        </w:tc>
        <w:tc>
          <w:tcPr>
            <w:tcW w:type="dxa" w:w="13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0.8707</w:t>
            </w:r>
          </w:p>
        </w:tc>
        <w:tc>
          <w:tcPr>
            <w:tcW w:type="dxa" w:w="13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0.8577</w:t>
            </w:r>
          </w:p>
        </w:tc>
        <w:tc>
          <w:tcPr>
            <w:tcW w:type="dxa" w:w="12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w:t>
            </w:r>
          </w:p>
        </w:tc>
        <w:tc>
          <w:tcPr>
            <w:tcW w:type="dxa" w:w="10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CNN</w:t>
            </w:r>
          </w:p>
        </w:tc>
      </w:tr>
      <w:tr>
        <w:tc>
          <w:tcPr>
            <w:tcW w:type="dxa" w:w="19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DeepLabv3+</w:t>
            </w:r>
          </w:p>
        </w:tc>
        <w:tc>
          <w:tcPr>
            <w:tcW w:type="dxa" w:w="13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w:t>
            </w:r>
          </w:p>
        </w:tc>
        <w:tc>
          <w:tcPr>
            <w:tcW w:type="dxa" w:w="13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0.8443</w:t>
            </w:r>
          </w:p>
        </w:tc>
        <w:tc>
          <w:tcPr>
            <w:tcW w:type="dxa" w:w="13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0.8837</w:t>
            </w:r>
          </w:p>
        </w:tc>
        <w:tc>
          <w:tcPr>
            <w:tcW w:type="dxa" w:w="13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0.8635</w:t>
            </w:r>
          </w:p>
        </w:tc>
        <w:tc>
          <w:tcPr>
            <w:tcW w:type="dxa" w:w="12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0.7599</w:t>
            </w:r>
          </w:p>
        </w:tc>
        <w:tc>
          <w:tcPr>
            <w:tcW w:type="dxa" w:w="10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CNN</w:t>
            </w:r>
          </w:p>
        </w:tc>
      </w:tr>
      <w:tr>
        <w:tc>
          <w:tcPr>
            <w:tcW w:type="dxa" w:w="19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TransUNet</w:t>
            </w:r>
          </w:p>
        </w:tc>
        <w:tc>
          <w:tcPr>
            <w:tcW w:type="dxa" w:w="13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w:t>
            </w:r>
          </w:p>
        </w:tc>
        <w:tc>
          <w:tcPr>
            <w:tcW w:type="dxa" w:w="13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0.8724</w:t>
            </w:r>
          </w:p>
        </w:tc>
        <w:tc>
          <w:tcPr>
            <w:tcW w:type="dxa" w:w="13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0.8823</w:t>
            </w:r>
          </w:p>
        </w:tc>
        <w:tc>
          <w:tcPr>
            <w:tcW w:type="dxa" w:w="13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0.8773</w:t>
            </w:r>
          </w:p>
        </w:tc>
        <w:tc>
          <w:tcPr>
            <w:tcW w:type="dxa" w:w="12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0.7815</w:t>
            </w:r>
          </w:p>
        </w:tc>
        <w:tc>
          <w:tcPr>
            <w:tcW w:type="dxa" w:w="10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Transformer</w:t>
            </w:r>
          </w:p>
        </w:tc>
      </w:tr>
      <w:tr>
        <w:tc>
          <w:tcPr>
            <w:tcW w:type="dxa" w:w="19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ShapeFormer</w:t>
            </w:r>
          </w:p>
        </w:tc>
        <w:tc>
          <w:tcPr>
            <w:tcW w:type="dxa" w:w="13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w:t>
            </w:r>
          </w:p>
        </w:tc>
        <w:tc>
          <w:tcPr>
            <w:tcW w:type="dxa" w:w="13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0.8674</w:t>
            </w:r>
          </w:p>
        </w:tc>
        <w:tc>
          <w:tcPr>
            <w:tcW w:type="dxa" w:w="13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0.8952</w:t>
            </w:r>
          </w:p>
        </w:tc>
        <w:tc>
          <w:tcPr>
            <w:tcW w:type="dxa" w:w="13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0.8811</w:t>
            </w:r>
          </w:p>
        </w:tc>
        <w:tc>
          <w:tcPr>
            <w:tcW w:type="dxa" w:w="12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0.7872</w:t>
            </w:r>
          </w:p>
        </w:tc>
        <w:tc>
          <w:tcPr>
            <w:tcW w:type="dxa" w:w="10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Transformer</w:t>
            </w:r>
          </w:p>
        </w:tc>
      </w:tr>
      <w:tr>
        <w:tc>
          <w:tcPr>
            <w:tcW w:type="dxa" w:w="19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RMAU-NET</w:t>
            </w:r>
          </w:p>
        </w:tc>
        <w:tc>
          <w:tcPr>
            <w:tcW w:type="dxa" w:w="13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w:t>
            </w:r>
          </w:p>
        </w:tc>
        <w:tc>
          <w:tcPr>
            <w:tcW w:type="dxa" w:w="13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0.7454</w:t>
            </w:r>
          </w:p>
        </w:tc>
        <w:tc>
          <w:tcPr>
            <w:tcW w:type="dxa" w:w="13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0.7414</w:t>
            </w:r>
          </w:p>
        </w:tc>
        <w:tc>
          <w:tcPr>
            <w:tcW w:type="dxa" w:w="13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0.7434</w:t>
            </w:r>
          </w:p>
        </w:tc>
        <w:tc>
          <w:tcPr>
            <w:tcW w:type="dxa" w:w="12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0.5733</w:t>
            </w:r>
          </w:p>
        </w:tc>
        <w:tc>
          <w:tcPr>
            <w:tcW w:type="dxa" w:w="10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CNN+Attn</w:t>
            </w:r>
          </w:p>
        </w:tc>
      </w:tr>
      <w:tr>
        <w:tc>
          <w:tcPr>
            <w:tcW w:type="dxa" w:w="19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DEP-UNet</w:t>
            </w:r>
          </w:p>
        </w:tc>
        <w:tc>
          <w:tcPr>
            <w:tcW w:type="dxa" w:w="13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w:t>
            </w:r>
          </w:p>
        </w:tc>
        <w:tc>
          <w:tcPr>
            <w:tcW w:type="dxa" w:w="13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0.8026</w:t>
            </w:r>
          </w:p>
        </w:tc>
        <w:tc>
          <w:tcPr>
            <w:tcW w:type="dxa" w:w="13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0.8806</w:t>
            </w:r>
          </w:p>
        </w:tc>
        <w:tc>
          <w:tcPr>
            <w:tcW w:type="dxa" w:w="13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0.8398</w:t>
            </w:r>
          </w:p>
        </w:tc>
        <w:tc>
          <w:tcPr>
            <w:tcW w:type="dxa" w:w="12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0.8386</w:t>
            </w:r>
          </w:p>
        </w:tc>
        <w:tc>
          <w:tcPr>
            <w:tcW w:type="dxa" w:w="10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CNN+Attn</w:t>
            </w:r>
          </w:p>
        </w:tc>
      </w:tr>
      <w:tr>
        <w:tc>
          <w:tcPr>
            <w:tcW w:type="dxa" w:w="19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EMR-HRNet</w:t>
            </w:r>
          </w:p>
        </w:tc>
        <w:tc>
          <w:tcPr>
            <w:tcW w:type="dxa" w:w="13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0.9468</w:t>
            </w:r>
          </w:p>
        </w:tc>
        <w:tc>
          <w:tcPr>
            <w:tcW w:type="dxa" w:w="13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0.8791</w:t>
            </w:r>
          </w:p>
        </w:tc>
        <w:tc>
          <w:tcPr>
            <w:tcW w:type="dxa" w:w="13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0.9115</w:t>
            </w:r>
          </w:p>
        </w:tc>
        <w:tc>
          <w:tcPr>
            <w:tcW w:type="dxa" w:w="13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0.8950</w:t>
            </w:r>
          </w:p>
        </w:tc>
        <w:tc>
          <w:tcPr>
            <w:tcW w:type="dxa" w:w="12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0.8170</w:t>
            </w:r>
          </w:p>
        </w:tc>
        <w:tc>
          <w:tcPr>
            <w:tcW w:type="dxa" w:w="10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Hybrid</w:t>
            </w:r>
          </w:p>
        </w:tc>
      </w:tr>
      <w:tr>
        <w:tc>
          <w:tcPr>
            <w:tcW w:type="dxa" w:w="19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GMNet</w:t>
            </w:r>
          </w:p>
        </w:tc>
        <w:tc>
          <w:tcPr>
            <w:tcW w:type="dxa" w:w="13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w:t>
            </w:r>
          </w:p>
        </w:tc>
        <w:tc>
          <w:tcPr>
            <w:tcW w:type="dxa" w:w="13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0.8982</w:t>
            </w:r>
          </w:p>
        </w:tc>
        <w:tc>
          <w:tcPr>
            <w:tcW w:type="dxa" w:w="13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0.9179</w:t>
            </w:r>
          </w:p>
        </w:tc>
        <w:tc>
          <w:tcPr>
            <w:tcW w:type="dxa" w:w="13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0.9080</w:t>
            </w:r>
          </w:p>
        </w:tc>
        <w:tc>
          <w:tcPr>
            <w:tcW w:type="dxa" w:w="12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0.8304</w:t>
            </w:r>
          </w:p>
        </w:tc>
        <w:tc>
          <w:tcPr>
            <w:tcW w:type="dxa" w:w="10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Hybrid</w:t>
            </w:r>
          </w:p>
        </w:tc>
      </w:tr>
      <w:tr>
        <w:tc>
          <w:tcPr>
            <w:tcW w:type="dxa" w:w="19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DiGATe-UNet ★</w:t>
            </w:r>
          </w:p>
        </w:tc>
        <w:tc>
          <w:tcPr>
            <w:tcW w:type="dxa" w:w="13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0.9896</w:t>
            </w:r>
          </w:p>
        </w:tc>
        <w:tc>
          <w:tcPr>
            <w:tcW w:type="dxa" w:w="13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0.9452</w:t>
            </w:r>
          </w:p>
        </w:tc>
        <w:tc>
          <w:tcPr>
            <w:tcW w:type="dxa" w:w="13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0.9249</w:t>
            </w:r>
          </w:p>
        </w:tc>
        <w:tc>
          <w:tcPr>
            <w:tcW w:type="dxa" w:w="13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0.9110</w:t>
            </w:r>
          </w:p>
        </w:tc>
        <w:tc>
          <w:tcPr>
            <w:tcW w:type="dxa" w:w="12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0.8839</w:t>
            </w:r>
          </w:p>
        </w:tc>
        <w:tc>
          <w:tcPr>
            <w:tcW w:type="dxa" w:w="10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Proposed</w:t>
            </w:r>
          </w:p>
        </w:tc>
      </w:tr>
    </w:tbl>
    <w:p>
      <w:pPr>
        <w:spacing w:after="60" w:before="60"/>
      </w:pPr>
      <w:r>
        <w:t xml:space="preserve"/>
      </w:r>
    </w:p>
    <w:p>
      <w:pPr>
        <w:spacing w:after="40" w:before="80"/>
        <w:jc w:val="center"/>
      </w:pPr>
      <w:r>
        <w:rPr>
          <w:rFonts w:ascii="Arial" w:cs="Arial" w:eastAsia="Arial" w:hAnsi="Arial"/>
          <w:b/>
          <w:bCs/>
          <w:color w:val="000000"/>
          <w:sz w:val="20"/>
          <w:szCs w:val="20"/>
        </w:rPr>
        <w:t xml:space="preserve">Table 6. Performance comparison on the Landslide4Sense dataset (Islam et al.,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60"/>
        <w:gridCol w:w="3200"/>
        <w:gridCol w:w="1800"/>
        <w:gridCol w:w="1800"/>
      </w:tblGrid>
      <w:tr>
        <w:tc>
          <w:tcPr>
            <w:tcW w:type="dxa" w:w="25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Model</w:t>
            </w:r>
          </w:p>
        </w:tc>
        <w:tc>
          <w:tcPr>
            <w:tcW w:type="dxa" w:w="32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Input Bands</w:t>
            </w:r>
          </w:p>
        </w:tc>
        <w:tc>
          <w:tcPr>
            <w:tcW w:type="dxa" w:w="18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F1-Score</w:t>
            </w:r>
          </w:p>
        </w:tc>
        <w:tc>
          <w:tcPr>
            <w:tcW w:type="dxa" w:w="18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IoU</w:t>
            </w:r>
          </w:p>
        </w:tc>
      </w:tr>
      <w:tr>
        <w:tc>
          <w:tcPr>
            <w:tcW w:type="dxa" w:w="25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U-Net</w:t>
            </w:r>
          </w:p>
        </w:tc>
        <w:tc>
          <w:tcPr>
            <w:tcW w:type="dxa" w:w="32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6 (RGB + SWIR)</w:t>
            </w:r>
          </w:p>
        </w:tc>
        <w:tc>
          <w:tcPr>
            <w:tcW w:type="dxa" w:w="18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0.598</w:t>
            </w:r>
          </w:p>
        </w:tc>
        <w:tc>
          <w:tcPr>
            <w:tcW w:type="dxa" w:w="18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w:t>
            </w:r>
          </w:p>
        </w:tc>
      </w:tr>
      <w:tr>
        <w:tc>
          <w:tcPr>
            <w:tcW w:type="dxa" w:w="25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Deeplabv3</w:t>
            </w:r>
          </w:p>
        </w:tc>
        <w:tc>
          <w:tcPr>
            <w:tcW w:type="dxa" w:w="32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3 (NGB)</w:t>
            </w:r>
          </w:p>
        </w:tc>
        <w:tc>
          <w:tcPr>
            <w:tcW w:type="dxa" w:w="18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0.592</w:t>
            </w:r>
          </w:p>
        </w:tc>
        <w:tc>
          <w:tcPr>
            <w:tcW w:type="dxa" w:w="18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w:t>
            </w:r>
          </w:p>
        </w:tc>
      </w:tr>
      <w:tr>
        <w:tc>
          <w:tcPr>
            <w:tcW w:type="dxa" w:w="25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Swin Transformer</w:t>
            </w:r>
          </w:p>
        </w:tc>
        <w:tc>
          <w:tcPr>
            <w:tcW w:type="dxa" w:w="32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3 (RGB)</w:t>
            </w:r>
          </w:p>
        </w:tc>
        <w:tc>
          <w:tcPr>
            <w:tcW w:type="dxa" w:w="18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0.656</w:t>
            </w:r>
          </w:p>
        </w:tc>
        <w:tc>
          <w:tcPr>
            <w:tcW w:type="dxa" w:w="18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w:t>
            </w:r>
          </w:p>
        </w:tc>
      </w:tr>
      <w:tr>
        <w:tc>
          <w:tcPr>
            <w:tcW w:type="dxa" w:w="25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ResUNet</w:t>
            </w:r>
          </w:p>
        </w:tc>
        <w:tc>
          <w:tcPr>
            <w:tcW w:type="dxa" w:w="32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14 (Sentinel-2 + DEM + Slope)</w:t>
            </w:r>
          </w:p>
        </w:tc>
        <w:tc>
          <w:tcPr>
            <w:tcW w:type="dxa" w:w="18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0.716</w:t>
            </w:r>
          </w:p>
        </w:tc>
        <w:tc>
          <w:tcPr>
            <w:tcW w:type="dxa" w:w="18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0.653</w:t>
            </w:r>
          </w:p>
        </w:tc>
      </w:tr>
      <w:tr>
        <w:tc>
          <w:tcPr>
            <w:tcW w:type="dxa" w:w="25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DiGATe-UNet ★</w:t>
            </w:r>
          </w:p>
        </w:tc>
        <w:tc>
          <w:tcPr>
            <w:tcW w:type="dxa" w:w="32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6 (RGB + NDVI + Slope + DEM)</w:t>
            </w:r>
          </w:p>
        </w:tc>
        <w:tc>
          <w:tcPr>
            <w:tcW w:type="dxa" w:w="18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0.753</w:t>
            </w:r>
          </w:p>
        </w:tc>
        <w:tc>
          <w:tcPr>
            <w:tcW w:type="dxa" w:w="18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0.677</w:t>
            </w:r>
          </w:p>
        </w:tc>
      </w:tr>
    </w:tbl>
    <w:p>
      <w:pPr>
        <w:spacing w:after="60" w:before="60"/>
      </w:pPr>
      <w:r>
        <w:t xml:space="preserve"/>
      </w:r>
    </w:p>
    <w:p>
      <w:pPr>
        <w:spacing w:after="140" w:before="80"/>
        <w:jc w:val="both"/>
      </w:pPr>
      <w:r>
        <w:rPr>
          <w:rFonts w:ascii="Arial" w:cs="Arial" w:eastAsia="Arial" w:hAnsi="Arial"/>
          <w:color w:val="000000"/>
          <w:sz w:val="22"/>
          <w:szCs w:val="22"/>
        </w:rPr>
        <w:t xml:space="preserve">DiGATe-UNet achieves F1 = 0.9110 and IoU = 0.8839 on the Bijie dataset, surpassing all prior methods including transformer-based approaches. On Landslide4Sense, using only 6 input bands (RGB + NDVI + Slope + DEM), it achieves F1 = 0.753 and IoU = 0.677, outperforming ResUNet trained on all 14 Sentinel-2 bands (F1 = 0.716) and competition-winning models. This result is particularly important for the proposed ablation study: it demonstrates that selective, intelligent fusion of DEM and topographic derivatives outperforms brute-force use of all available spectral bands, and that EfficientNet-B4-based dual-stream architectures can outperform much larger transformer models on this task.</w:t>
      </w:r>
    </w:p>
    <w:p>
      <w:pPr>
        <w:spacing w:after="60" w:before="60"/>
      </w:pPr>
      <w:r>
        <w:t xml:space="preserve"/>
      </w:r>
    </w:p>
    <w:p>
      <w:pPr>
        <w:pStyle w:val="Heading1"/>
        <w:spacing w:after="160" w:before="360"/>
      </w:pPr>
      <w:r>
        <w:rPr>
          <w:rFonts w:ascii="Arial" w:cs="Arial" w:eastAsia="Arial" w:hAnsi="Arial"/>
          <w:b/>
          <w:bCs/>
          <w:color w:val="000000"/>
          <w:sz w:val="30"/>
          <w:szCs w:val="30"/>
        </w:rPr>
        <w:t xml:space="preserve">7.  Proposed Experimental Design and Ablation Study</w:t>
      </w:r>
    </w:p>
    <w:p>
      <w:pPr>
        <w:spacing w:after="140" w:before="80"/>
        <w:jc w:val="both"/>
      </w:pPr>
      <w:r>
        <w:rPr>
          <w:rFonts w:ascii="Arial" w:cs="Arial" w:eastAsia="Arial" w:hAnsi="Arial"/>
          <w:color w:val="000000"/>
          <w:sz w:val="22"/>
          <w:szCs w:val="22"/>
        </w:rPr>
        <w:t xml:space="preserve">The proposed ablation study is designed to answer three primary research questions: (1) What is the quantitative contribution of DEM and topographic data to segmentation accuracy relative to spectral-only inputs? (2) How does the proposed model compare against the current state of the art on the same datasets under the same conditions? (3) Does the combination of topographic and spectral features provide generalisation advantages over purely spectral or purely topographic approaches?</w:t>
      </w:r>
    </w:p>
    <w:p>
      <w:pPr>
        <w:spacing w:after="140" w:before="80"/>
        <w:jc w:val="both"/>
      </w:pPr>
      <w:r>
        <w:rPr>
          <w:rFonts w:ascii="Arial" w:cs="Arial" w:eastAsia="Arial" w:hAnsi="Arial"/>
          <w:color w:val="000000"/>
          <w:sz w:val="22"/>
          <w:szCs w:val="22"/>
        </w:rPr>
        <w:t xml:space="preserve">The experimental design is structured around two datasets: the Lushan / Jiuzhaigou / Luding earthquake datasets used by BiFusion-LDSeg (as established benchmark references), and the Landslide4Sense dataset (the globally recognised standardised benchmark with a fixed official train/val/test split). All experiments use four primary metrics: IoU, F1/DSC, ASSD, and HD, enabling direct numerical comparison with published results.</w:t>
      </w:r>
    </w:p>
    <w:p>
      <w:pPr>
        <w:pStyle w:val="Heading2"/>
        <w:spacing w:after="100" w:before="260"/>
      </w:pPr>
      <w:r>
        <w:rPr>
          <w:rFonts w:ascii="Arial" w:cs="Arial" w:eastAsia="Arial" w:hAnsi="Arial"/>
          <w:b/>
          <w:bCs/>
          <w:color w:val="000000"/>
          <w:sz w:val="26"/>
          <w:szCs w:val="26"/>
        </w:rPr>
        <w:t xml:space="preserve">7.1  Experimental Matrix</w:t>
      </w:r>
    </w:p>
    <w:p>
      <w:pPr>
        <w:spacing w:after="140" w:before="80"/>
        <w:jc w:val="both"/>
      </w:pPr>
      <w:r>
        <w:rPr>
          <w:rFonts w:ascii="Arial" w:cs="Arial" w:eastAsia="Arial" w:hAnsi="Arial"/>
          <w:color w:val="000000"/>
          <w:sz w:val="22"/>
          <w:szCs w:val="22"/>
        </w:rPr>
        <w:t xml:space="preserve">The ablation is structured as six experiments (E1 through E6) that progressively isolate and quantify the contribution of each architectural component and input modality. This design ensures that every performance claim is supported by a controlled comparison and that the experimental results can be directly positioned against published SOTA numbers.</w:t>
      </w:r>
    </w:p>
    <w:p>
      <w:pPr>
        <w:spacing w:after="60" w:before="60"/>
      </w:pPr>
      <w:r>
        <w:t xml:space="preserve"/>
      </w:r>
    </w:p>
    <w:p>
      <w:pPr>
        <w:spacing w:after="40" w:before="80"/>
        <w:jc w:val="center"/>
      </w:pPr>
      <w:r>
        <w:rPr>
          <w:rFonts w:ascii="Arial" w:cs="Arial" w:eastAsia="Arial" w:hAnsi="Arial"/>
          <w:b/>
          <w:bCs/>
          <w:color w:val="000000"/>
          <w:sz w:val="20"/>
          <w:szCs w:val="20"/>
        </w:rPr>
        <w:t xml:space="preserve">Table 7. Proposed ablation study experimental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560"/>
        <w:gridCol w:w="1000"/>
        <w:gridCol w:w="1400"/>
        <w:gridCol w:w="1100"/>
        <w:gridCol w:w="1500"/>
      </w:tblGrid>
      <w:tr>
        <w:tc>
          <w:tcPr>
            <w:tcW w:type="dxa" w:w="28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Experiment</w:t>
            </w:r>
          </w:p>
        </w:tc>
        <w:tc>
          <w:tcPr>
            <w:tcW w:type="dxa" w:w="15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Dataset</w:t>
            </w:r>
          </w:p>
        </w:tc>
        <w:tc>
          <w:tcPr>
            <w:tcW w:type="dxa" w:w="10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DEM Used?</w:t>
            </w:r>
          </w:p>
        </w:tc>
        <w:tc>
          <w:tcPr>
            <w:tcW w:type="dxa" w:w="14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Compared Against</w:t>
            </w:r>
          </w:p>
        </w:tc>
        <w:tc>
          <w:tcPr>
            <w:tcW w:type="dxa" w:w="11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Metrics</w:t>
            </w:r>
          </w:p>
        </w:tc>
        <w:tc>
          <w:tcPr>
            <w:tcW w:type="dxa" w:w="15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Purpose</w:t>
            </w:r>
          </w:p>
        </w:tc>
      </w:tr>
      <w:tr>
        <w:tc>
          <w:tcPr>
            <w:tcW w:type="dxa" w:w="28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E1: Baseline (Spectral Only)</w:t>
            </w:r>
          </w:p>
        </w:tc>
        <w:tc>
          <w:tcPr>
            <w:tcW w:type="dxa" w:w="15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Landslide4Sense</w:t>
            </w:r>
          </w:p>
        </w:tc>
        <w:tc>
          <w:tcPr>
            <w:tcW w:type="dxa" w:w="10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No DEM</w:t>
            </w:r>
          </w:p>
        </w:tc>
        <w:tc>
          <w:tcPr>
            <w:tcW w:type="dxa" w:w="14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Existing SOTA (ResUNet, TransUNet, etc.)</w:t>
            </w:r>
          </w:p>
        </w:tc>
        <w:tc>
          <w:tcPr>
            <w:tcW w:type="dxa" w:w="11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F1, IoU</w:t>
            </w:r>
          </w:p>
        </w:tc>
        <w:tc>
          <w:tcPr>
            <w:tcW w:type="dxa" w:w="15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Spectral-only upper bound</w:t>
            </w:r>
          </w:p>
        </w:tc>
      </w:tr>
      <w:tr>
        <w:tc>
          <w:tcPr>
            <w:tcW w:type="dxa" w:w="28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E2: Our Model (No DEM)</w:t>
            </w:r>
          </w:p>
        </w:tc>
        <w:tc>
          <w:tcPr>
            <w:tcW w:type="dxa" w:w="15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Landslide4Sense</w:t>
            </w:r>
          </w:p>
        </w:tc>
        <w:tc>
          <w:tcPr>
            <w:tcW w:type="dxa" w:w="10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No DEM</w:t>
            </w:r>
          </w:p>
        </w:tc>
        <w:tc>
          <w:tcPr>
            <w:tcW w:type="dxa" w:w="14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Our proposed model</w:t>
            </w:r>
          </w:p>
        </w:tc>
        <w:tc>
          <w:tcPr>
            <w:tcW w:type="dxa" w:w="11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F1, IoU</w:t>
            </w:r>
          </w:p>
        </w:tc>
        <w:tc>
          <w:tcPr>
            <w:tcW w:type="dxa" w:w="15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Isolate DEM contribution</w:t>
            </w:r>
          </w:p>
        </w:tc>
      </w:tr>
      <w:tr>
        <w:tc>
          <w:tcPr>
            <w:tcW w:type="dxa" w:w="28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E3: Our Model + DEM</w:t>
            </w:r>
          </w:p>
        </w:tc>
        <w:tc>
          <w:tcPr>
            <w:tcW w:type="dxa" w:w="15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Landslide4Sense</w:t>
            </w:r>
          </w:p>
        </w:tc>
        <w:tc>
          <w:tcPr>
            <w:tcW w:type="dxa" w:w="10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Yes (DEM + Slope)</w:t>
            </w:r>
          </w:p>
        </w:tc>
        <w:tc>
          <w:tcPr>
            <w:tcW w:type="dxa" w:w="14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Our proposed model</w:t>
            </w:r>
          </w:p>
        </w:tc>
        <w:tc>
          <w:tcPr>
            <w:tcW w:type="dxa" w:w="11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F1, IoU, ASSD, HD</w:t>
            </w:r>
          </w:p>
        </w:tc>
        <w:tc>
          <w:tcPr>
            <w:tcW w:type="dxa" w:w="15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Full model benchmark</w:t>
            </w:r>
          </w:p>
        </w:tc>
      </w:tr>
      <w:tr>
        <w:tc>
          <w:tcPr>
            <w:tcW w:type="dxa" w:w="28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E4: SOTA on BiFusion Datasets</w:t>
            </w:r>
          </w:p>
        </w:tc>
        <w:tc>
          <w:tcPr>
            <w:tcW w:type="dxa" w:w="15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Lushan / Jiuzhaigou / Luding</w:t>
            </w:r>
          </w:p>
        </w:tc>
        <w:tc>
          <w:tcPr>
            <w:tcW w:type="dxa" w:w="10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Yes (RGB only)</w:t>
            </w:r>
          </w:p>
        </w:tc>
        <w:tc>
          <w:tcPr>
            <w:tcW w:type="dxa" w:w="14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BiFusion-LDSeg baselines</w:t>
            </w:r>
          </w:p>
        </w:tc>
        <w:tc>
          <w:tcPr>
            <w:tcW w:type="dxa" w:w="11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IoU, DSC, ASSD, HD</w:t>
            </w:r>
          </w:p>
        </w:tc>
        <w:tc>
          <w:tcPr>
            <w:tcW w:type="dxa" w:w="15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Cross-dataset SOTA anchor</w:t>
            </w:r>
          </w:p>
        </w:tc>
      </w:tr>
      <w:tr>
        <w:tc>
          <w:tcPr>
            <w:tcW w:type="dxa" w:w="28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E5: Our Model on BiFusion Datasets</w:t>
            </w:r>
          </w:p>
        </w:tc>
        <w:tc>
          <w:tcPr>
            <w:tcW w:type="dxa" w:w="15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Lushan / Jiuzhaigou / Luding</w:t>
            </w:r>
          </w:p>
        </w:tc>
        <w:tc>
          <w:tcPr>
            <w:tcW w:type="dxa" w:w="10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No (RGB only)</w:t>
            </w:r>
          </w:p>
        </w:tc>
        <w:tc>
          <w:tcPr>
            <w:tcW w:type="dxa" w:w="14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Our proposed model</w:t>
            </w:r>
          </w:p>
        </w:tc>
        <w:tc>
          <w:tcPr>
            <w:tcW w:type="dxa" w:w="11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IoU, DSC, ASSD, HD</w:t>
            </w:r>
          </w:p>
        </w:tc>
        <w:tc>
          <w:tcPr>
            <w:tcW w:type="dxa" w:w="15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Direct comparison with BiFusion</w:t>
            </w:r>
          </w:p>
        </w:tc>
      </w:tr>
      <w:tr>
        <w:tc>
          <w:tcPr>
            <w:tcW w:type="dxa" w:w="28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E6: Cross-dataset Generalisation</w:t>
            </w:r>
          </w:p>
        </w:tc>
        <w:tc>
          <w:tcPr>
            <w:tcW w:type="dxa" w:w="15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Train Sichuan → Test LS4S</w:t>
            </w:r>
          </w:p>
        </w:tc>
        <w:tc>
          <w:tcPr>
            <w:tcW w:type="dxa" w:w="10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Yes</w:t>
            </w:r>
          </w:p>
        </w:tc>
        <w:tc>
          <w:tcPr>
            <w:tcW w:type="dxa" w:w="14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Our model vs. BiFusion</w:t>
            </w:r>
          </w:p>
        </w:tc>
        <w:tc>
          <w:tcPr>
            <w:tcW w:type="dxa" w:w="11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F1, IoU</w:t>
            </w:r>
          </w:p>
        </w:tc>
        <w:tc>
          <w:tcPr>
            <w:tcW w:type="dxa" w:w="15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Generalisation capability</w:t>
            </w:r>
          </w:p>
        </w:tc>
      </w:tr>
    </w:tbl>
    <w:p>
      <w:pPr>
        <w:spacing w:after="60" w:before="60"/>
      </w:pPr>
      <w:r>
        <w:t xml:space="preserve"/>
      </w:r>
    </w:p>
    <w:p>
      <w:pPr>
        <w:pStyle w:val="Heading2"/>
        <w:spacing w:after="100" w:before="260"/>
      </w:pPr>
      <w:r>
        <w:rPr>
          <w:rFonts w:ascii="Arial" w:cs="Arial" w:eastAsia="Arial" w:hAnsi="Arial"/>
          <w:b/>
          <w:bCs/>
          <w:color w:val="000000"/>
          <w:sz w:val="26"/>
          <w:szCs w:val="26"/>
        </w:rPr>
        <w:t xml:space="preserve">7.2  Experiment E1: Spectral-Only Baselines on Landslide4Sense</w:t>
      </w:r>
    </w:p>
    <w:p>
      <w:pPr>
        <w:spacing w:after="140" w:before="80"/>
        <w:jc w:val="both"/>
      </w:pPr>
      <w:r>
        <w:rPr>
          <w:rFonts w:ascii="Arial" w:cs="Arial" w:eastAsia="Arial" w:hAnsi="Arial"/>
          <w:color w:val="000000"/>
          <w:sz w:val="22"/>
          <w:szCs w:val="22"/>
        </w:rPr>
        <w:t xml:space="preserve">The first experiment establishes the spectral-only performance ceiling on the Landslide4Sense dataset by reproducing all published baseline results using only spectral bands (RGB, or RGB + SWIR) without any DEM or topographic input. This includes U-Net, DeepLabv3+, Swin Transformer, and ResUNet, all trained and tested on the official Landslide4Sense split (3,799 / 245 / 800). Where official published results are available from the Landslide4Sense Competition, those numbers are used directly; remaining baselines are re-implemented. The purpose is to establish an unambiguous spectral-only reference point that demonstrates what is achievable without terrain geometry information.</w:t>
      </w:r>
    </w:p>
    <w:p>
      <w:pPr>
        <w:pStyle w:val="Heading2"/>
        <w:spacing w:after="100" w:before="260"/>
      </w:pPr>
      <w:r>
        <w:rPr>
          <w:rFonts w:ascii="Arial" w:cs="Arial" w:eastAsia="Arial" w:hAnsi="Arial"/>
          <w:b/>
          <w:bCs/>
          <w:color w:val="000000"/>
          <w:sz w:val="26"/>
          <w:szCs w:val="26"/>
        </w:rPr>
        <w:t xml:space="preserve">7.3  Experiment E2: Our Model Without DEM</w:t>
      </w:r>
    </w:p>
    <w:p>
      <w:pPr>
        <w:spacing w:after="140" w:before="80"/>
        <w:jc w:val="both"/>
      </w:pPr>
      <w:r>
        <w:rPr>
          <w:rFonts w:ascii="Arial" w:cs="Arial" w:eastAsia="Arial" w:hAnsi="Arial"/>
          <w:color w:val="000000"/>
          <w:sz w:val="22"/>
          <w:szCs w:val="22"/>
        </w:rPr>
        <w:t xml:space="preserve">The second experiment trains the proposed model on Landslide4Sense using spectral-only input (matching E1 conditions exactly) to isolate the contribution of architectural novelty from the contribution of DEM data. If E2 outperforms E1 baselines, the gain is attributable to the proposed architecture. If E2 and E1 baselines are comparable, the remaining performance gap observed in E3 is attributable purely to the DEM input. This controlled comparison is essential for making defensible claims about the mechanism of improvement.</w:t>
      </w:r>
    </w:p>
    <w:p>
      <w:pPr>
        <w:pStyle w:val="Heading2"/>
        <w:spacing w:after="100" w:before="260"/>
      </w:pPr>
      <w:r>
        <w:rPr>
          <w:rFonts w:ascii="Arial" w:cs="Arial" w:eastAsia="Arial" w:hAnsi="Arial"/>
          <w:b/>
          <w:bCs/>
          <w:color w:val="000000"/>
          <w:sz w:val="26"/>
          <w:szCs w:val="26"/>
        </w:rPr>
        <w:t xml:space="preserve">7.4  Experiment E3: Our Model With Full DEM Input</w:t>
      </w:r>
    </w:p>
    <w:p>
      <w:pPr>
        <w:spacing w:after="140" w:before="80"/>
        <w:jc w:val="both"/>
      </w:pPr>
      <w:r>
        <w:rPr>
          <w:rFonts w:ascii="Arial" w:cs="Arial" w:eastAsia="Arial" w:hAnsi="Arial"/>
          <w:color w:val="000000"/>
          <w:sz w:val="22"/>
          <w:szCs w:val="22"/>
        </w:rPr>
        <w:t xml:space="preserve">The third experiment trains and tests the proposed model on Landslide4Sense with the full input configuration (RGB + NDVI + Slope + DEM), matching the input protocol of DiGATe-UNet as the most direct comparison point. This is the primary benchmark experiment. Results are compared directly against DiGATe-UNet's published F1 = 0.753 and IoU = 0.677 on the same dataset, split, and evaluation protocol. All four metrics (IoU, DSC/F1, ASSD, HD) are reported. The performance gain from E2 to E3 quantifies the contribution of DEM and topographic features, providing empirical support for the theoretical arguments developed in Sections 4 and 5.</w:t>
      </w:r>
    </w:p>
    <w:p>
      <w:pPr>
        <w:pStyle w:val="Heading2"/>
        <w:spacing w:after="100" w:before="260"/>
      </w:pPr>
      <w:r>
        <w:rPr>
          <w:rFonts w:ascii="Arial" w:cs="Arial" w:eastAsia="Arial" w:hAnsi="Arial"/>
          <w:b/>
          <w:bCs/>
          <w:color w:val="000000"/>
          <w:sz w:val="26"/>
          <w:szCs w:val="26"/>
        </w:rPr>
        <w:t xml:space="preserve">7.5  Experiments E4 and E5: Benchmarking on BiFusion Datasets</w:t>
      </w:r>
    </w:p>
    <w:p>
      <w:pPr>
        <w:spacing w:after="140" w:before="80"/>
        <w:jc w:val="both"/>
      </w:pPr>
      <w:r>
        <w:rPr>
          <w:rFonts w:ascii="Arial" w:cs="Arial" w:eastAsia="Arial" w:hAnsi="Arial"/>
          <w:color w:val="000000"/>
          <w:sz w:val="22"/>
          <w:szCs w:val="22"/>
        </w:rPr>
        <w:t xml:space="preserve">Experiments E4 and E5 establish the proposed model's performance on the three Sichuan earthquake datasets used by BiFusion-LDSeg. In E4, the eleven baseline models from the BiFusion paper (U-Net through LSegDiff) are reproduced under identical conditions (optical-only, same train/test splits, same four metrics). In E5, the proposed model is evaluated on the same datasets using optical-only input (to match BiFusion-LDSeg's input modality), enabling direct numerical comparison with BiFusion-LDSeg's reported results (e.g., IoU = 68.5% on Lushan). If the proposed model achieves comparable or superior performance on optical-only inputs, the subsequent addition of DEM data in a potential follow-up experiment would represent an additional unexplored dimension of improvement over BiFusion-LDSeg.</w:t>
      </w:r>
    </w:p>
    <w:p>
      <w:pPr>
        <w:pStyle w:val="Heading2"/>
        <w:spacing w:after="100" w:before="260"/>
      </w:pPr>
      <w:r>
        <w:rPr>
          <w:rFonts w:ascii="Arial" w:cs="Arial" w:eastAsia="Arial" w:hAnsi="Arial"/>
          <w:b/>
          <w:bCs/>
          <w:color w:val="000000"/>
          <w:sz w:val="26"/>
          <w:szCs w:val="26"/>
        </w:rPr>
        <w:t xml:space="preserve">7.6  Experiment E6: Cross-Dataset Generalisation</w:t>
      </w:r>
    </w:p>
    <w:p>
      <w:pPr>
        <w:spacing w:after="140" w:before="80"/>
        <w:jc w:val="both"/>
      </w:pPr>
      <w:r>
        <w:rPr>
          <w:rFonts w:ascii="Arial" w:cs="Arial" w:eastAsia="Arial" w:hAnsi="Arial"/>
          <w:color w:val="000000"/>
          <w:sz w:val="22"/>
          <w:szCs w:val="22"/>
        </w:rPr>
        <w:t xml:space="preserve">The sixth experiment evaluates cross-dataset generalisation: models trained on the Sichuan earthquake datasets are evaluated directly on Landslide4Sense (without fine-tuning), and vice versa. This experiment probes whether the features learned in one geological setting and trigger type (co-seismic slides in metamorphic Sichuan terrain) transfer to another setting (globally diverse rainfall-triggered and co-seismic slides in the Landslide4Sense benchmark). Cross-dataset transfer is the ultimate test of generalisation and is particularly important for operational deployment, where models trained on historical events must be applied immediately after new events in potentially unfamiliar geological settings.</w:t>
      </w:r>
    </w:p>
    <w:p>
      <w:pPr>
        <w:pStyle w:val="Heading2"/>
        <w:spacing w:after="100" w:before="260"/>
      </w:pPr>
      <w:r>
        <w:rPr>
          <w:rFonts w:ascii="Arial" w:cs="Arial" w:eastAsia="Arial" w:hAnsi="Arial"/>
          <w:b/>
          <w:bCs/>
          <w:color w:val="000000"/>
          <w:sz w:val="26"/>
          <w:szCs w:val="26"/>
        </w:rPr>
        <w:t xml:space="preserve">7.7  Metrics and Statistical Rigour</w:t>
      </w:r>
    </w:p>
    <w:p>
      <w:pPr>
        <w:spacing w:after="140" w:before="80"/>
        <w:jc w:val="both"/>
      </w:pPr>
      <w:r>
        <w:rPr>
          <w:rFonts w:ascii="Arial" w:cs="Arial" w:eastAsia="Arial" w:hAnsi="Arial"/>
          <w:color w:val="000000"/>
          <w:sz w:val="22"/>
          <w:szCs w:val="22"/>
        </w:rPr>
        <w:t xml:space="preserve">All experiments are repeated five times with different random seeds. Results are reported as mean ± standard deviation. Statistical significance of pairwise model comparisons is assessed using paired t-tests with significance threshold p &lt; 0.05, following the protocol established by BiFusion-LDSeg. This ensures that performance claims reflect genuine improvements rather than random variation across training runs.</w:t>
      </w:r>
    </w:p>
    <w:p>
      <w:pPr>
        <w:pStyle w:val="ListParagraph"/>
        <w:numPr>
          <w:ilvl w:val="0"/>
          <w:numId w:val="2"/>
        </w:numPr>
        <w:spacing w:after="60" w:before="40"/>
      </w:pPr>
      <w:r>
        <w:rPr>
          <w:rFonts w:ascii="Arial" w:cs="Arial" w:eastAsia="Arial" w:hAnsi="Arial"/>
          <w:color w:val="000000"/>
          <w:sz w:val="22"/>
          <w:szCs w:val="22"/>
        </w:rPr>
        <w:t xml:space="preserve">IoU (Intersection over Union): Primary segmentation quality metric; higher is better.</w:t>
      </w:r>
    </w:p>
    <w:p>
      <w:pPr>
        <w:pStyle w:val="ListParagraph"/>
        <w:numPr>
          <w:ilvl w:val="0"/>
          <w:numId w:val="2"/>
        </w:numPr>
        <w:spacing w:after="60" w:before="40"/>
      </w:pPr>
      <w:r>
        <w:rPr>
          <w:rFonts w:ascii="Arial" w:cs="Arial" w:eastAsia="Arial" w:hAnsi="Arial"/>
          <w:color w:val="000000"/>
          <w:sz w:val="22"/>
          <w:szCs w:val="22"/>
        </w:rPr>
        <w:t xml:space="preserve">DSC / F1 (Dice Similarity Coefficient): Harmonic mean of precision and recall; higher is better.</w:t>
      </w:r>
    </w:p>
    <w:p>
      <w:pPr>
        <w:pStyle w:val="ListParagraph"/>
        <w:numPr>
          <w:ilvl w:val="0"/>
          <w:numId w:val="2"/>
        </w:numPr>
        <w:spacing w:after="60" w:before="40"/>
      </w:pPr>
      <w:r>
        <w:rPr>
          <w:rFonts w:ascii="Arial" w:cs="Arial" w:eastAsia="Arial" w:hAnsi="Arial"/>
          <w:color w:val="000000"/>
          <w:sz w:val="22"/>
          <w:szCs w:val="22"/>
        </w:rPr>
        <w:t xml:space="preserve">ASSD (Average Symmetric Surface Distance): Mean distance between predicted and ground-truth boundary contours in pixels; lower is better. Critical for boundary accuracy assessment.</w:t>
      </w:r>
    </w:p>
    <w:p>
      <w:pPr>
        <w:pStyle w:val="ListParagraph"/>
        <w:numPr>
          <w:ilvl w:val="0"/>
          <w:numId w:val="2"/>
        </w:numPr>
        <w:spacing w:after="60" w:before="40"/>
      </w:pPr>
      <w:r>
        <w:rPr>
          <w:rFonts w:ascii="Arial" w:cs="Arial" w:eastAsia="Arial" w:hAnsi="Arial"/>
          <w:color w:val="000000"/>
          <w:sz w:val="22"/>
          <w:szCs w:val="22"/>
        </w:rPr>
        <w:t xml:space="preserve">HD (Hausdorff Distance): Maximum distance between predicted and ground-truth boundaries; lower is better. Sensitive to outlier boundary errors.</w:t>
      </w:r>
    </w:p>
    <w:p>
      <w:pPr>
        <w:pStyle w:val="ListParagraph"/>
        <w:numPr>
          <w:ilvl w:val="0"/>
          <w:numId w:val="2"/>
        </w:numPr>
        <w:spacing w:after="60" w:before="40"/>
      </w:pPr>
      <w:r>
        <w:rPr>
          <w:rFonts w:ascii="Arial" w:cs="Arial" w:eastAsia="Arial" w:hAnsi="Arial"/>
          <w:color w:val="000000"/>
          <w:sz w:val="22"/>
          <w:szCs w:val="22"/>
        </w:rPr>
        <w:t xml:space="preserve">AUROC / AUPRC (image-level metrics): Used on Bijie dataset to assess threshold-independent detection performance.</w:t>
      </w:r>
    </w:p>
    <w:p>
      <w:pPr>
        <w:spacing w:after="60" w:before="60"/>
      </w:pPr>
      <w:r>
        <w:t xml:space="preserve"/>
      </w:r>
    </w:p>
    <w:p>
      <w:pPr>
        <w:pStyle w:val="Heading1"/>
        <w:spacing w:after="160" w:before="360"/>
      </w:pPr>
      <w:r>
        <w:rPr>
          <w:rFonts w:ascii="Arial" w:cs="Arial" w:eastAsia="Arial" w:hAnsi="Arial"/>
          <w:b/>
          <w:bCs/>
          <w:color w:val="000000"/>
          <w:sz w:val="30"/>
          <w:szCs w:val="30"/>
        </w:rPr>
        <w:t xml:space="preserve">8.  Summary and Research Positioning</w:t>
      </w:r>
    </w:p>
    <w:p>
      <w:pPr>
        <w:spacing w:after="140" w:before="80"/>
        <w:jc w:val="both"/>
      </w:pPr>
      <w:r>
        <w:rPr>
          <w:rFonts w:ascii="Arial" w:cs="Arial" w:eastAsia="Arial" w:hAnsi="Arial"/>
          <w:color w:val="000000"/>
          <w:sz w:val="22"/>
          <w:szCs w:val="22"/>
        </w:rPr>
        <w:t xml:space="preserve">This document has traced the complete arc of landslide segmentation research from its origins in physics-based rule-following through the current deep learning frontier. The argument is structured and cumulative: traditional methods fail because they cannot model spatial context, cannot learn complex feature hierarchies, and cannot produce precise pixel-level segmentation masks. Deep learning is strictly necessary because the landslide segmentation task, by its nature, requires all three capabilities. DEM data is necessary because terrain geometry is the primary physical control on slope failure and the most effective tool for resolving spectral ambiguity between landslide scars and confounding land covers. Neither deep learning nor DEM data alone is sufficient: their synergy in multi-modal encoder-decoder architectures is what drives the performance frontier.</w:t>
      </w:r>
    </w:p>
    <w:p>
      <w:pPr>
        <w:spacing w:after="140" w:before="80"/>
        <w:jc w:val="both"/>
      </w:pPr>
      <w:r>
        <w:rPr>
          <w:rFonts w:ascii="Arial" w:cs="Arial" w:eastAsia="Arial" w:hAnsi="Arial"/>
          <w:color w:val="000000"/>
          <w:sz w:val="22"/>
          <w:szCs w:val="22"/>
        </w:rPr>
        <w:t xml:space="preserve">The two reviewed papers define that frontier: BiFusion-LDSeg achieves 68.5–70.8% IoU on the Sichuan earthquake datasets through latent diffusion and bi-directional CNN-Transformer fusion, while DiGATe-UNet achieves F1 = 0.9110 on Bijie and F1 = 0.753 on Landslide4Sense through lightweight dual-stream gated multimodal fusion of optical and topographic inputs. The proposed ablation study is designed to position a new model rigorously within this landscape, quantifying the contributions of DEM data, architectural novelty, and cross-dataset generalisation through controlled, statistically rigorous experiments with direct comparability to published SOTA numbers.</w:t>
      </w:r>
    </w:p>
    <w:p>
      <w:pPr>
        <w:spacing w:after="140" w:before="80"/>
        <w:jc w:val="both"/>
      </w:pPr>
      <w:r>
        <w:rPr>
          <w:rFonts w:ascii="Arial" w:cs="Arial" w:eastAsia="Arial" w:hAnsi="Arial"/>
          <w:color w:val="000000"/>
          <w:sz w:val="22"/>
          <w:szCs w:val="22"/>
        </w:rPr>
        <w:t xml:space="preserve">The proposed six-experiment ablation matrix provides a complete and defensible experimental framework. By running identical baseline models under spectral-only and multi-modal conditions on the same dataset, the study will produce a clean empirical demonstration of the DEM contribution, exactly the kind of controlled evidence that the field requires to move from architectural novelty claims toward the scientifically grounded understanding of what actually drives improved landslide segmentation performance.</w:t>
      </w:r>
    </w:p>
    <w:p>
      <w:pPr>
        <w:spacing w:after="60" w:before="60"/>
      </w:pPr>
      <w:r>
        <w:t xml:space="preserve"/>
      </w:r>
    </w:p>
    <w:p>
      <w:pPr>
        <w:spacing w:after="60" w:before="200"/>
        <w:jc w:val="center"/>
      </w:pPr>
      <w:r>
        <w:rPr>
          <w:rFonts w:ascii="Arial" w:cs="Arial" w:eastAsia="Arial" w:hAnsi="Arial"/>
          <w:i/>
          <w:iCs/>
          <w:color w:val="000000"/>
          <w:sz w:val="18"/>
          <w:szCs w:val="18"/>
        </w:rPr>
        <w:t xml:space="preserve">Document prepared for internal research review, April 2026</w:t>
      </w:r>
    </w:p>
    <w:sectPr>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000000"/>
      <w:sz w:val="32"/>
      <w:szCs w:val="32"/>
    </w:rPr>
  </w:style>
  <w:style w:type="paragraph" w:styleId="Heading2">
    <w:name w:val="Heading 2"/>
    <w:basedOn w:val="Normal"/>
    <w:next w:val="Normal"/>
    <w:qFormat/>
    <w:rPr>
      <w:color w:val="000000"/>
      <w:sz w:val="26"/>
      <w:szCs w:val="26"/>
    </w:rPr>
  </w:style>
  <w:style w:type="paragraph" w:styleId="Heading3">
    <w:name w:val="Heading 3"/>
    <w:basedOn w:val="Normal"/>
    <w:next w:val="Normal"/>
    <w:qFormat/>
    <w:rPr>
      <w:color w:val="000000"/>
      <w:sz w:val="24"/>
      <w:szCs w:val="24"/>
    </w:rPr>
  </w:style>
  <w:style w:type="paragraph" w:styleId="Heading4">
    <w:name w:val="Heading 4"/>
    <w:basedOn w:val="Normal"/>
    <w:next w:val="Normal"/>
    <w:qFormat/>
    <w:rPr>
      <w:i/>
      <w:iCs/>
      <w:color w:val="000000"/>
    </w:rPr>
  </w:style>
  <w:style w:type="paragraph" w:styleId="Heading5">
    <w:name w:val="Heading 5"/>
    <w:basedOn w:val="Normal"/>
    <w:next w:val="Normal"/>
    <w:qFormat/>
    <w:rPr>
      <w:color w:val="000000"/>
    </w:rPr>
  </w:style>
  <w:style w:type="paragraph" w:styleId="Heading6">
    <w:name w:val="Heading 6"/>
    <w:basedOn w:val="Normal"/>
    <w:next w:val="Normal"/>
    <w:qFormat/>
    <w:rPr>
      <w:color w:val="000000"/>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00000"/>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00000"/>
      <w:sz w:val="30"/>
      <w:szCs w:val="30"/>
    </w:rPr>
  </w:style>
  <w:style w:type="paragraph" w:styleId="Heading2">
    <w:name w:val="Heading 2"/>
    <w:basedOn w:val="Normal"/>
    <w:next w:val="Normal"/>
    <w:qFormat/>
    <w:pPr>
      <w:spacing w:after="100" w:before="260"/>
      <w:outlineLvl w:val="1"/>
    </w:pPr>
    <w:rPr>
      <w:rFonts w:ascii="Arial" w:cs="Arial" w:eastAsia="Arial" w:hAnsi="Arial"/>
      <w:b/>
      <w:bCs/>
      <w:color w:val="000000"/>
      <w:sz w:val="26"/>
      <w:szCs w:val="26"/>
    </w:rPr>
  </w:style>
  <w:style w:type="paragraph" w:styleId="Heading3">
    <w:name w:val="Heading 3"/>
    <w:basedOn w:val="Normal"/>
    <w:next w:val="Normal"/>
    <w:qFormat/>
    <w:pPr>
      <w:spacing w:after="80" w:before="200"/>
      <w:outlineLvl w:val="2"/>
    </w:pPr>
    <w:rPr>
      <w:rFonts w:ascii="Arial" w:cs="Arial" w:eastAsia="Arial" w:hAnsi="Arial"/>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2026-04-23T04:41:20.629Z</dcterms:created>
  <dcterms:modified xsi:type="dcterms:W3CDTF">2026-04-23T04:41:20.630Z</dcterms:modified>
</cp:coreProperties>
</file>

<file path=docProps/custom.xml><?xml version="1.0" encoding="utf-8"?>
<Properties xmlns="http://schemas.openxmlformats.org/officeDocument/2006/custom-properties" xmlns:vt="http://schemas.openxmlformats.org/officeDocument/2006/docPropsVTypes"/>
</file>