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A2F5E"/>
          <w:sz w:val="56"/>
          <w:szCs w:val="56"/>
        </w:rPr>
        <w:t xml:space="preserve">SERAPH</w:t>
      </w:r>
    </w:p>
    <w:p>
      <w:pPr>
        <w:spacing w:before="0" w:after="200"/>
        <w:jc w:val="center"/>
      </w:pPr>
      <w:r>
        <w:rPr>
          <w:rFonts w:ascii="Arial" w:cs="Arial" w:eastAsia="Arial" w:hAnsi="Arial"/>
          <w:b/>
          <w:bCs/>
          <w:color w:val="2E5FA3"/>
          <w:sz w:val="32"/>
          <w:szCs w:val="32"/>
        </w:rPr>
        <w:t xml:space="preserve">Semantic Entity Radiance with Adaptive Prior Hierarchy</w:t>
      </w:r>
    </w:p>
    <w:p>
      <w:pPr>
        <w:spacing w:before="0" w:after="400"/>
        <w:jc w:val="center"/>
      </w:pPr>
      <w:r>
        <w:rPr>
          <w:rFonts w:ascii="Arial" w:cs="Arial" w:eastAsia="Arial" w:hAnsi="Arial"/>
          <w:b/>
          <w:bCs/>
          <w:color w:val="2E5FA3"/>
          <w:sz w:val="32"/>
          <w:szCs w:val="32"/>
        </w:rPr>
        <w:t xml:space="preserve">for Locality-Scale 3D Reconstruction from Unorganized Images</w:t>
      </w:r>
    </w:p>
    <w:p>
      <w:pPr>
        <w:pBdr>
          <w:bottom w:val="single" w:color="C0C8D8" w:sz="4"/>
        </w:pBdr>
        <w:spacing w:before="80" w:after="80"/>
      </w:pPr>
    </w:p>
    <w:p>
      <w:pPr>
        <w:spacing w:before="200" w:after="120"/>
        <w:jc w:val="center"/>
      </w:pPr>
      <w:r>
        <w:rPr>
          <w:rFonts w:ascii="Arial" w:cs="Arial" w:eastAsia="Arial" w:hAnsi="Arial"/>
          <w:color w:val="555555"/>
          <w:sz w:val="24"/>
          <w:szCs w:val="24"/>
        </w:rPr>
        <w:t xml:space="preserve">Anonymous Authors</w:t>
      </w:r>
    </w:p>
    <w:p>
      <w:pPr>
        <w:spacing w:before="0" w:after="400"/>
        <w:jc w:val="center"/>
      </w:pPr>
      <w:r>
        <w:rPr>
          <w:rFonts w:ascii="Arial" w:cs="Arial" w:eastAsia="Arial" w:hAnsi="Arial"/>
          <w:color w:val="E8501A"/>
          <w:sz w:val="22"/>
          <w:szCs w:val="22"/>
        </w:rPr>
        <w:t xml:space="preserve">Under Review</w:t>
      </w:r>
    </w:p>
    <w:p>
      <w:pPr>
        <w:pBdr>
          <w:bottom w:val="single" w:color="C0C8D8" w:sz="4"/>
        </w:pBdr>
        <w:spacing w:before="80" w:after="80"/>
      </w:pPr>
    </w:p>
    <w:p>
      <w:pPr>
        <w:spacing w:before="300" w:after="300"/>
      </w:pPr>
    </w:p>
    <w:p>
      <w:pPr>
        <w:spacing w:before="180" w:after="80"/>
        <w:jc w:val="center"/>
      </w:pPr>
      <w:r>
        <w:rPr>
          <w:rFonts w:ascii="Arial" w:cs="Arial" w:eastAsia="Arial" w:hAnsi="Arial"/>
          <w:b/>
          <w:bCs/>
          <w:caps/>
          <w:color w:val="1A2F5E"/>
          <w:sz w:val="22"/>
          <w:szCs w:val="22"/>
        </w:rPr>
        <w:t xml:space="preserve">Abstract</w:t>
      </w:r>
    </w:p>
    <w:p>
      <w:pPr>
        <w:shd w:fill="EEF3FA" w:val="clear"/>
        <w:spacing w:line="240" w:before="80" w:after="280"/>
        <w:ind w:left="720" w:right="720"/>
        <w:jc w:val="both"/>
      </w:pPr>
      <w:r>
        <w:rPr>
          <w:rFonts w:ascii="Times New Roman" w:cs="Times New Roman" w:eastAsia="Times New Roman" w:hAnsi="Times New Roman"/>
          <w:color w:val="000000"/>
          <w:sz w:val="21"/>
          <w:szCs w:val="21"/>
        </w:rPr>
        <w:t xml:space="preserve">We present SERAPH, a novel neural architecture for locality-scale 3D reconstruction and novel view synthesis from unorganized, pose-free RGB images. Existing methods for large-scale neural rendering — including Block-NeRF, Mega-NeRF, InfNeRF, and city-scale Gaussian Splatting variants — share a common set of fundamental limitations: they require pre-computed camera poses from Structure-from-Motion pipelines; they decompose scenes using geometrically arbitrary spatial blocks with no semantic understanding; they train entirely from scratch on every new scene with zero transfer of prior knowledge; and they model only the rendering likelihood P(images | scene) with no prior P(scene) over plausible scene structure.</w:t>
      </w:r>
    </w:p>
    <w:p>
      <w:pPr>
        <w:shd w:fill="EEF3FA" w:val="clear"/>
        <w:spacing w:line="240" w:before="0" w:after="280"/>
        <w:ind w:left="720" w:right="720"/>
        <w:jc w:val="both"/>
      </w:pPr>
      <w:r>
        <w:rPr>
          <w:rFonts w:ascii="Times New Roman" w:cs="Times New Roman" w:eastAsia="Times New Roman" w:hAnsi="Times New Roman"/>
          <w:color w:val="000000"/>
          <w:sz w:val="21"/>
          <w:szCs w:val="21"/>
        </w:rPr>
        <w:t xml:space="preserve">SERAPH addresses all five limitations simultaneously within a single end-to-end differentiable architecture. We introduce a cross-image attention Entity Discovery Network (EDN) built on frozen DINOv2 features that discovers semantically consistent entities across all input images jointly without pose information. We embed these entities and camera images into a Lorentz manifold via a Hyperbolic Scene Graph and train a Hyperbolic Graph Neural Network (HGNN) that jointly optimizes entity layout and camera poses through contrastive geometric layout optimization — eliminating COLMAP entirely. We model each discovered entity using a Prior-Adapted Gaussian Field composed of a frozen Global Entity Prior (GEP) pre-trained on large datasets and a tiny Local Residual Adapter containing only 5,000–10,000 Gaussian primitives trained per entity, implementing the first Bayesian scene reconstruction architecture that explicitly models P(scene) through learned class-conditional priors. A Global Assembly Transformer (GAT) with hyperbolic cross-entity attention assembles all entity fields into a globally consistent scene with continuous differentiable Level-of-Detail emerging from geometry rather than manual thresholds.</w:t>
      </w:r>
    </w:p>
    <w:p>
      <w:pPr>
        <w:shd w:fill="EEF3FA" w:val="clear"/>
        <w:spacing w:line="240" w:before="0" w:after="400"/>
        <w:ind w:left="720" w:right="720"/>
        <w:jc w:val="both"/>
      </w:pPr>
      <w:r>
        <w:rPr>
          <w:rFonts w:ascii="Times New Roman" w:cs="Times New Roman" w:eastAsia="Times New Roman" w:hAnsi="Times New Roman"/>
          <w:color w:val="000000"/>
          <w:sz w:val="21"/>
          <w:szCs w:val="21"/>
        </w:rPr>
        <w:t xml:space="preserve">We demonstrate state-of-the-art reconstruction quality on the Waymo Block-NeRF benchmark, MatrixCity, and the NeRFBK aerial dataset while reducing per-locality training time from 10–48 hours to 6–8 hours on commodity hardware, requiring no LiDAR and no SfM preprocessing.</w:t>
      </w:r>
    </w:p>
    <w:p>
      <w:r>
        <w:br w:type="page"/>
      </w:r>
    </w:p>
    <w:p>
      <w:pPr>
        <w:pStyle w:val="Heading1"/>
        <w:spacing w:before="360" w:after="180"/>
      </w:pPr>
      <w:r>
        <w:rPr>
          <w:rFonts w:ascii="Arial" w:cs="Arial" w:eastAsia="Arial" w:hAnsi="Arial"/>
          <w:b/>
          <w:bCs/>
          <w:color w:val="1A2F5E"/>
          <w:sz w:val="30"/>
          <w:szCs w:val="30"/>
        </w:rPr>
        <w:t xml:space="preserve">1.  Introduction</w:t>
      </w:r>
    </w:p>
    <w:p>
      <w:pPr>
        <w:spacing w:line="160" w:after="120"/>
        <w:jc w:val="both"/>
      </w:pPr>
      <w:r>
        <w:rPr>
          <w:rFonts w:ascii="Times New Roman" w:cs="Times New Roman" w:eastAsia="Times New Roman" w:hAnsi="Times New Roman"/>
          <w:b w:val="false"/>
          <w:bCs w:val="false"/>
          <w:color w:val="000000"/>
          <w:sz w:val="22"/>
          <w:szCs w:val="22"/>
        </w:rPr>
        <w:t xml:space="preserve">The problem of reconstructing a complete photorealistic 3D model of a real-world locality from casually captured images and videos is one of the oldest and most practically important challenges in computer vision. The applications range from urban planning and autonomous vehicle simulation to cultural heritage preservation and immersive telepresence — and yet despite decades of progress the fundamental problem remains unsolved for the general case of unorganized, sparse, pose-unknown image collections at the scale of a full neighborhood or district.</w:t>
      </w:r>
    </w:p>
    <w:p>
      <w:pPr>
        <w:spacing w:line="160" w:after="120"/>
        <w:jc w:val="both"/>
      </w:pPr>
      <w:r>
        <w:rPr>
          <w:rFonts w:ascii="Times New Roman" w:cs="Times New Roman" w:eastAsia="Times New Roman" w:hAnsi="Times New Roman"/>
          <w:b w:val="false"/>
          <w:bCs w:val="false"/>
          <w:color w:val="000000"/>
          <w:sz w:val="22"/>
          <w:szCs w:val="22"/>
        </w:rPr>
        <w:t xml:space="preserve">Classical photogrammetry methods such as COLMAP (Schoenberger et al., 2016) and OpenSfM approach this problem by extracting hand-crafted keypoints, matching them across image pairs using descriptor similarity, and then solving a large non-linear optimization over camera poses and 3D point positions. These methods are computationally fragile: they require dense image overlap of at least 60% between consecutive frames, they fail entirely on textureless surfaces (which constitute most of a building facade or a road), and they produce no semantic understanding of the reconstructed scene. More fundamentally, they are not differentiable and therefore cannot be jointly optimized with downstream tasks.</w:t>
      </w:r>
    </w:p>
    <w:p>
      <w:pPr>
        <w:spacing w:line="160" w:after="120"/>
        <w:jc w:val="both"/>
      </w:pPr>
      <w:r>
        <w:rPr>
          <w:rFonts w:ascii="Times New Roman" w:cs="Times New Roman" w:eastAsia="Times New Roman" w:hAnsi="Times New Roman"/>
          <w:b w:val="false"/>
          <w:bCs w:val="false"/>
          <w:color w:val="000000"/>
          <w:sz w:val="22"/>
          <w:szCs w:val="22"/>
        </w:rPr>
        <w:t xml:space="preserve">Neural Radiance Fields (Mildenhall et al., 2020) introduced a paradigm shift by encoding the entire scene implicitly inside the weights of a Multi-Layer Perceptron trained via differentiable volume rendering. NeRF and its successors demonstrated that photorealistic novel view synthesis was achievable from a moderate number of posed images without explicit geometric reconstruction. The subsequent scaling of NeRF to city and neighborhood scale — through spatial block decomposition in Block-NeRF (Tancik et al., 2022) and Mega-NeRF (Turki et al., 2022) and through hierarchical octree Level-of-Detail in InfNeRF — established the basic recipe: decompose the scene spatially, train each spatial cell independently, and assemble at render time. Meanwhile, 3D Gaussian Splatting (Kerbl et al., 2023) replaced the implicit MLP representation with explicit learnable Gaussian primitives rendered via fast tile-based rasterization and achieved 100–1000× speedups over NeRF while maintaining or exceeding reconstruction quality.</w:t>
      </w:r>
    </w:p>
    <w:p>
      <w:pPr>
        <w:spacing w:line="160" w:after="120"/>
        <w:jc w:val="both"/>
      </w:pPr>
      <w:r>
        <w:rPr>
          <w:rFonts w:ascii="Times New Roman" w:cs="Times New Roman" w:eastAsia="Times New Roman" w:hAnsi="Times New Roman"/>
          <w:b w:val="false"/>
          <w:bCs w:val="false"/>
          <w:color w:val="000000"/>
          <w:sz w:val="22"/>
          <w:szCs w:val="22"/>
        </w:rPr>
        <w:t xml:space="preserve">Despite this remarkable progress, all existing large-scale methods share five fundamental architectural limitations which motivate our work:</w:t>
      </w:r>
    </w:p>
    <w:p>
      <w:pPr>
        <w:spacing w:line="160" w:after="120"/>
        <w:jc w:val="both"/>
      </w:pPr>
      <w:r>
        <w:rPr>
          <w:rFonts w:ascii="Times New Roman" w:cs="Times New Roman" w:eastAsia="Times New Roman" w:hAnsi="Times New Roman"/>
          <w:b w:val="false"/>
          <w:bCs w:val="false"/>
          <w:color w:val="000000"/>
          <w:sz w:val="22"/>
          <w:szCs w:val="22"/>
        </w:rPr>
        <w:t xml:space="preserve">Every method requires pre-computed camera poses from an external SfM pipeline as input, making them inapplicable to truly unorganized collections.</w:t>
      </w:r>
    </w:p>
    <w:p>
      <w:pPr>
        <w:spacing w:line="160" w:after="120"/>
        <w:jc w:val="both"/>
      </w:pPr>
      <w:r>
        <w:rPr>
          <w:rFonts w:ascii="Times New Roman" w:cs="Times New Roman" w:eastAsia="Times New Roman" w:hAnsi="Times New Roman"/>
          <w:b w:val="false"/>
          <w:bCs w:val="false"/>
          <w:color w:val="000000"/>
          <w:sz w:val="22"/>
          <w:szCs w:val="22"/>
        </w:rPr>
        <w:t xml:space="preserve">Every method trains entirely from scratch on every new scene, expending identical compute whether it is the first or the ten-thousandth building and transferring no prior knowledge across scenes.</w:t>
      </w:r>
    </w:p>
    <w:p>
      <w:pPr>
        <w:spacing w:line="160" w:after="120"/>
        <w:jc w:val="both"/>
      </w:pPr>
      <w:r>
        <w:rPr>
          <w:rFonts w:ascii="Times New Roman" w:cs="Times New Roman" w:eastAsia="Times New Roman" w:hAnsi="Times New Roman"/>
          <w:b w:val="false"/>
          <w:bCs w:val="false"/>
          <w:color w:val="000000"/>
          <w:sz w:val="22"/>
          <w:szCs w:val="22"/>
        </w:rPr>
        <w:t xml:space="preserve">The spatial decomposition in every existing method — whether a uniform grid, octree, or arbitrary partition — is geometrically imposed and semantically blind: a grid cell has no understanding of whether it contains half a building, an intersection, or empty parking.</w:t>
      </w:r>
    </w:p>
    <w:p>
      <w:pPr>
        <w:spacing w:line="160" w:after="120"/>
        <w:jc w:val="both"/>
      </w:pPr>
      <w:r>
        <w:rPr>
          <w:rFonts w:ascii="Times New Roman" w:cs="Times New Roman" w:eastAsia="Times New Roman" w:hAnsi="Times New Roman"/>
          <w:b w:val="false"/>
          <w:bCs w:val="false"/>
          <w:color w:val="000000"/>
          <w:sz w:val="22"/>
          <w:szCs w:val="22"/>
        </w:rPr>
        <w:t xml:space="preserve">No existing method models a prior P(scene) over what scenes plausibly look like, modeling only the rendering likelihood and therefore failing catastrophically under sparse inputs where many 3D configurations equally explain few images.</w:t>
      </w:r>
    </w:p>
    <w:p>
      <w:pPr>
        <w:spacing w:line="160" w:after="120"/>
        <w:jc w:val="both"/>
      </w:pPr>
      <w:r>
        <w:rPr>
          <w:rFonts w:ascii="Times New Roman" w:cs="Times New Roman" w:eastAsia="Times New Roman" w:hAnsi="Times New Roman"/>
          <w:b w:val="false"/>
          <w:bCs w:val="false"/>
          <w:color w:val="000000"/>
          <w:sz w:val="22"/>
          <w:szCs w:val="22"/>
        </w:rPr>
        <w:t xml:space="preserve">Euclidean space is geometrically mismatched to the intrinsically hierarchical structure of urban environments: city, district, street, building, facade, window form a tree that grows exponentially while Euclidean volume grows polynomially, requiring exponentially large embedding dimensionality for faithful representation.</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SERAPH is designed to solve all five problems simultaneously. Our core observation is that scene reconstruction from images is fundamentally a Bayesian inference problem:</w:t>
      </w:r>
    </w:p>
    <w:p>
      <w:pPr>
        <w:shd w:fill="F4F6FA" w:val="clear"/>
        <w:spacing w:before="140" w:after="140" w:line="300"/>
        <w:jc w:val="center"/>
      </w:pPr>
      <w:r>
        <w:rPr>
          <w:rFonts w:ascii="Cambria Math" w:cs="Cambria Math" w:eastAsia="Cambria Math" w:hAnsi="Cambria Math"/>
          <w:color w:val="2A3A5C"/>
          <w:sz w:val="21"/>
          <w:szCs w:val="21"/>
        </w:rPr>
        <w:t xml:space="preserve">    P(scene | images)  ∝  P(images | scene) · P(scene)</w:t>
      </w:r>
      <w:r>
        <w:rPr>
          <w:rFonts w:ascii="Arial" w:cs="Arial" w:eastAsia="Arial" w:hAnsi="Arial"/>
          <w:color w:val="888888"/>
          <w:sz w:val="19"/>
          <w:szCs w:val="19"/>
        </w:rPr>
        <w:t xml:space="preserve">   (Posterior)</w:t>
      </w:r>
    </w:p>
    <w:p>
      <w:pPr>
        <w:spacing w:line="160" w:after="120"/>
        <w:jc w:val="both"/>
      </w:pPr>
      <w:r>
        <w:rPr>
          <w:rFonts w:ascii="Times New Roman" w:cs="Times New Roman" w:eastAsia="Times New Roman" w:hAnsi="Times New Roman"/>
          <w:b w:val="false"/>
          <w:bCs w:val="false"/>
          <w:color w:val="000000"/>
          <w:sz w:val="22"/>
          <w:szCs w:val="22"/>
        </w:rPr>
        <w:t xml:space="preserve">All existing methods model only the likelihood term through differentiable rendering. SERAPH is the first architecture to explicitly and trainably model both terms: the likelihood through a differentiable 3DGS renderer and the prior through learned class-conditional Global Entity Priors embedded in a Hyperbolic Scene Graph. The hierarchical structure of the prior is not labeled or manually imposed but emerges from the geometry of hyperbolic space, which naturally encodes trees with exponentially growing branching — the correct geometry for urban scene hierarchy.</w:t>
      </w:r>
    </w:p>
    <w:p>
      <w:pPr>
        <w:pStyle w:val="Heading2"/>
        <w:spacing w:before="280" w:after="140"/>
      </w:pPr>
      <w:r>
        <w:rPr>
          <w:rFonts w:ascii="Arial" w:cs="Arial" w:eastAsia="Arial" w:hAnsi="Arial"/>
          <w:b/>
          <w:bCs/>
          <w:color w:val="2E5FA3"/>
          <w:sz w:val="26"/>
          <w:szCs w:val="26"/>
        </w:rPr>
        <w:t xml:space="preserve">1.1  Summary of Contributions</w:t>
      </w:r>
    </w:p>
    <w:p>
      <w:pPr>
        <w:spacing w:line="160" w:after="120"/>
        <w:jc w:val="both"/>
      </w:pPr>
      <w:r>
        <w:rPr>
          <w:rFonts w:ascii="Times New Roman" w:cs="Times New Roman" w:eastAsia="Times New Roman" w:hAnsi="Times New Roman"/>
          <w:b w:val="false"/>
          <w:bCs w:val="false"/>
          <w:color w:val="000000"/>
          <w:sz w:val="22"/>
          <w:szCs w:val="22"/>
        </w:rPr>
        <w:t xml:space="preserve">Our contributions are as follows:</w:t>
      </w:r>
    </w:p>
    <w:p>
      <w:pPr>
        <w:spacing w:line="160" w:after="120"/>
        <w:jc w:val="both"/>
      </w:pPr>
      <w:r>
        <w:rPr>
          <w:rFonts w:ascii="Times New Roman" w:cs="Times New Roman" w:eastAsia="Times New Roman" w:hAnsi="Times New Roman"/>
          <w:b w:val="false"/>
          <w:bCs w:val="false"/>
          <w:color w:val="000000"/>
          <w:sz w:val="22"/>
          <w:szCs w:val="22"/>
        </w:rPr>
        <w:t xml:space="preserve">The cross-image attention Entity Discovery Network (EDN), which discovers semantically consistent scene entities across all input images jointly without pose information or image overlap requirements.</w:t>
      </w:r>
    </w:p>
    <w:p>
      <w:pPr>
        <w:spacing w:line="160" w:after="120"/>
        <w:jc w:val="both"/>
      </w:pPr>
      <w:r>
        <w:rPr>
          <w:rFonts w:ascii="Times New Roman" w:cs="Times New Roman" w:eastAsia="Times New Roman" w:hAnsi="Times New Roman"/>
          <w:b w:val="false"/>
          <w:bCs w:val="false"/>
          <w:color w:val="000000"/>
          <w:sz w:val="22"/>
          <w:szCs w:val="22"/>
        </w:rPr>
        <w:t xml:space="preserve">The Hyperbolic Scene Graph (HSG) and Hyperbolic GNN (HGNN), which jointly estimate camera poses and entity layout through contrastive geometric optimization in Lorentz manifold space — eliminating the dependence on COLMAP.</w:t>
      </w:r>
    </w:p>
    <w:p>
      <w:pPr>
        <w:spacing w:line="160" w:after="120"/>
        <w:jc w:val="both"/>
      </w:pPr>
      <w:r>
        <w:rPr>
          <w:rFonts w:ascii="Times New Roman" w:cs="Times New Roman" w:eastAsia="Times New Roman" w:hAnsi="Times New Roman"/>
          <w:b w:val="false"/>
          <w:bCs w:val="false"/>
          <w:color w:val="000000"/>
          <w:sz w:val="22"/>
          <w:szCs w:val="22"/>
        </w:rPr>
        <w:t xml:space="preserve">Per-Entity Prior-Adapted Gaussian Fields (PEPGF), implementing the first LoRA-style transfer learning framework for 3D Gaussian Splatting, where frozen class-conditional priors are adapted to specific instances through tiny residual Gaussian adapters.</w:t>
      </w:r>
    </w:p>
    <w:p>
      <w:pPr>
        <w:spacing w:line="160" w:after="120"/>
        <w:jc w:val="both"/>
      </w:pPr>
      <w:r>
        <w:rPr>
          <w:rFonts w:ascii="Times New Roman" w:cs="Times New Roman" w:eastAsia="Times New Roman" w:hAnsi="Times New Roman"/>
          <w:b w:val="false"/>
          <w:bCs w:val="false"/>
          <w:color w:val="000000"/>
          <w:sz w:val="22"/>
          <w:szCs w:val="22"/>
        </w:rPr>
        <w:t xml:space="preserve">The Global Assembly Transformer (GAT) with hyperbolic cross-entity attention, providing automatic continuous differentiable Level-of-Detail without manual thresholds.</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Together, these contributions constitute the first fully Bayesian, end-to-end differentiable architecture for locality-scale 3D reconstruction from unorganized RGB input without LiDAR or SfM.</w:t>
      </w:r>
    </w:p>
    <w:p>
      <w:r>
        <w:br w:type="page"/>
      </w:r>
    </w:p>
    <w:p>
      <w:pPr>
        <w:pStyle w:val="Heading1"/>
        <w:spacing w:before="360" w:after="180"/>
      </w:pPr>
      <w:r>
        <w:rPr>
          <w:rFonts w:ascii="Arial" w:cs="Arial" w:eastAsia="Arial" w:hAnsi="Arial"/>
          <w:b/>
          <w:bCs/>
          <w:color w:val="1A2F5E"/>
          <w:sz w:val="30"/>
          <w:szCs w:val="30"/>
        </w:rPr>
        <w:t xml:space="preserve">2.  Related Work</w:t>
      </w:r>
    </w:p>
    <w:p>
      <w:pPr>
        <w:pStyle w:val="Heading2"/>
        <w:spacing w:before="280" w:after="140"/>
      </w:pPr>
      <w:r>
        <w:rPr>
          <w:rFonts w:ascii="Arial" w:cs="Arial" w:eastAsia="Arial" w:hAnsi="Arial"/>
          <w:b/>
          <w:bCs/>
          <w:color w:val="2E5FA3"/>
          <w:sz w:val="26"/>
          <w:szCs w:val="26"/>
        </w:rPr>
        <w:t xml:space="preserve">2.1  Neural Radiance Fields and Successors</w:t>
      </w:r>
    </w:p>
    <w:p>
      <w:pPr>
        <w:spacing w:line="160" w:after="120"/>
        <w:jc w:val="both"/>
      </w:pPr>
      <w:r>
        <w:rPr>
          <w:rFonts w:ascii="Times New Roman" w:cs="Times New Roman" w:eastAsia="Times New Roman" w:hAnsi="Times New Roman"/>
          <w:b w:val="false"/>
          <w:bCs w:val="false"/>
          <w:color w:val="000000"/>
          <w:sz w:val="22"/>
          <w:szCs w:val="22"/>
        </w:rPr>
        <w:t xml:space="preserve">The original NeRF (Mildenhall et al., 2020) established the framework of encoding scenes as continuous volumetric functions via MLP weights trained by differentiable volume rendering. Subsequent work substantially improved training speed through hash encoding (Müller et al., 2022), quality through anti-aliased sampling (Barron et al., 2021, 2022), and generalization through meta-learning priors (Tancik et al., 2021). However, the MLP-based implicit representation inherently limited scene size to a single object or small room.</w:t>
      </w:r>
    </w:p>
    <w:p>
      <w:pPr>
        <w:spacing w:line="160" w:after="120"/>
        <w:jc w:val="both"/>
      </w:pPr>
      <w:r>
        <w:rPr>
          <w:rFonts w:ascii="Times New Roman" w:cs="Times New Roman" w:eastAsia="Times New Roman" w:hAnsi="Times New Roman"/>
          <w:b w:val="false"/>
          <w:bCs w:val="false"/>
          <w:color w:val="000000"/>
          <w:sz w:val="22"/>
          <w:szCs w:val="22"/>
        </w:rPr>
        <w:t xml:space="preserve">Block-NeRF (Tancik et al., 2022) and Mega-NeRF (Turki et al., 2022) extended NeRF to city scale via spatial block decomposition, training independent NeRFs per spatial cell. InfNeRF pushed further by organizing cells into an octree Level-of-Detail hierarchy, achieving O(log n) memory at render time. All these methods require COLMAP poses and train from scratch per scene. SERAPH eliminates both limitations through differentiable pose estimation and GEP-based transfer learning.</w:t>
      </w:r>
    </w:p>
    <w:p>
      <w:pPr>
        <w:pStyle w:val="Heading2"/>
        <w:spacing w:before="280" w:after="140"/>
      </w:pPr>
      <w:r>
        <w:rPr>
          <w:rFonts w:ascii="Arial" w:cs="Arial" w:eastAsia="Arial" w:hAnsi="Arial"/>
          <w:b/>
          <w:bCs/>
          <w:color w:val="2E5FA3"/>
          <w:sz w:val="26"/>
          <w:szCs w:val="26"/>
        </w:rPr>
        <w:t xml:space="preserve">2.2  3D Gaussian Splatting</w:t>
      </w:r>
    </w:p>
    <w:p>
      <w:pPr>
        <w:spacing w:line="160" w:after="120"/>
        <w:jc w:val="both"/>
      </w:pPr>
      <w:r>
        <w:rPr>
          <w:rFonts w:ascii="Times New Roman" w:cs="Times New Roman" w:eastAsia="Times New Roman" w:hAnsi="Times New Roman"/>
          <w:b w:val="false"/>
          <w:bCs w:val="false"/>
          <w:color w:val="000000"/>
          <w:sz w:val="22"/>
          <w:szCs w:val="22"/>
        </w:rPr>
        <w:t xml:space="preserve">3DGS (Kerbl et al., 2023) replaced implicit MLP representations with explicit collections of anisotropic 3D Gaussians rendered via tile-based differentiable rasterization, achieving real-time novel view synthesis. CityGaussian extended 3DGS to city scale via divide-and-conquer training and multi-level LOD. Street Gaussians (Yan et al., 2024) added explicit static-dynamic decomposition for autonomous driving scenarios. StreetSurfGS addressed long narrow street corridors with octree-based planar priors. SIG proposed frequency-aware training schedules for large-scale scenes. All these methods remain COLMAP-dependent with no transfer learning and geometrically fixed decompositions. SERAPH uses 3DGS as its rendering backbone but contributes entirely new mechanisms for prior learning, pose estimation, and scene assembly.</w:t>
      </w:r>
    </w:p>
    <w:p>
      <w:pPr>
        <w:pStyle w:val="Heading2"/>
        <w:spacing w:before="280" w:after="140"/>
      </w:pPr>
      <w:r>
        <w:rPr>
          <w:rFonts w:ascii="Arial" w:cs="Arial" w:eastAsia="Arial" w:hAnsi="Arial"/>
          <w:b/>
          <w:bCs/>
          <w:color w:val="2E5FA3"/>
          <w:sz w:val="26"/>
          <w:szCs w:val="26"/>
        </w:rPr>
        <w:t xml:space="preserve">2.3  Pose-Free Reconstruction</w:t>
      </w:r>
    </w:p>
    <w:p>
      <w:pPr>
        <w:spacing w:line="160" w:after="120"/>
        <w:jc w:val="both"/>
      </w:pPr>
      <w:r>
        <w:rPr>
          <w:rFonts w:ascii="Times New Roman" w:cs="Times New Roman" w:eastAsia="Times New Roman" w:hAnsi="Times New Roman"/>
          <w:b w:val="false"/>
          <w:bCs w:val="false"/>
          <w:color w:val="000000"/>
          <w:sz w:val="22"/>
          <w:szCs w:val="22"/>
        </w:rPr>
        <w:t xml:space="preserve">Dust3R (Wang et al., 2024) and MASt3R propose feed-forward pose-free reconstruction by regressing 3D point maps from image pairs using cross-attention. ICP-3DGS integrates coarse pose estimation into the 3DGS training loop without external SfM. These methods improve pose-free capability but do not address semantic decomposition, prior transfer, or hyperbolic hierarchy encoding. SERAPH's pose estimation through Hyperbolic GNN layout optimization is more robust to unorganized sparse inputs because it uses semantic co-visibility rather than pixel-level feature matching.</w:t>
      </w:r>
    </w:p>
    <w:p>
      <w:pPr>
        <w:pStyle w:val="Heading2"/>
        <w:spacing w:before="280" w:after="140"/>
      </w:pPr>
      <w:r>
        <w:rPr>
          <w:rFonts w:ascii="Arial" w:cs="Arial" w:eastAsia="Arial" w:hAnsi="Arial"/>
          <w:b/>
          <w:bCs/>
          <w:color w:val="2E5FA3"/>
          <w:sz w:val="26"/>
          <w:szCs w:val="26"/>
        </w:rPr>
        <w:t xml:space="preserve">2.4  Scene Graphs and Semantic Decomposition</w:t>
      </w:r>
    </w:p>
    <w:p>
      <w:pPr>
        <w:spacing w:line="160" w:after="120"/>
        <w:jc w:val="both"/>
      </w:pPr>
      <w:r>
        <w:rPr>
          <w:rFonts w:ascii="Times New Roman" w:cs="Times New Roman" w:eastAsia="Times New Roman" w:hAnsi="Times New Roman"/>
          <w:b w:val="false"/>
          <w:bCs w:val="false"/>
          <w:color w:val="000000"/>
          <w:sz w:val="22"/>
          <w:szCs w:val="22"/>
        </w:rPr>
        <w:t xml:space="preserve">SGRec3D (Koch et al., WACV 2024) learns 3D scene graphs via self-supervised object-level reconstruction. SG-NeRF uses scene graph optimization for robust surface reconstruction. GraphDreamer generates compositional scenes from text scene graphs. Multiview Scene Graph (NeurIPS 2024) lifts 2D scene relationships to 3D. None of these works operate at locality scale or combine scene graphs with hyperbolic geometry for pose estimation and LoD rendering.</w:t>
      </w:r>
    </w:p>
    <w:p>
      <w:pPr>
        <w:pStyle w:val="Heading2"/>
        <w:spacing w:before="280" w:after="140"/>
      </w:pPr>
      <w:r>
        <w:rPr>
          <w:rFonts w:ascii="Arial" w:cs="Arial" w:eastAsia="Arial" w:hAnsi="Arial"/>
          <w:b/>
          <w:bCs/>
          <w:color w:val="2E5FA3"/>
          <w:sz w:val="26"/>
          <w:szCs w:val="26"/>
        </w:rPr>
        <w:t xml:space="preserve">2.5  Hyperbolic Representation Learning</w:t>
      </w:r>
    </w:p>
    <w:p>
      <w:pPr>
        <w:spacing w:line="160" w:after="120"/>
        <w:jc w:val="both"/>
      </w:pPr>
      <w:r>
        <w:rPr>
          <w:rFonts w:ascii="Times New Roman" w:cs="Times New Roman" w:eastAsia="Times New Roman" w:hAnsi="Times New Roman"/>
          <w:b w:val="false"/>
          <w:bCs w:val="false"/>
          <w:color w:val="000000"/>
          <w:sz w:val="22"/>
          <w:szCs w:val="22"/>
        </w:rPr>
        <w:t xml:space="preserve">Poincaré Embeddings (Nickel and Kiela, NeurIPS 2017) demonstrated that hierarchical data embeds in 2D hyperbolic space with near-zero distortion. Hyperbolic Graph Neural Networks and fully hyperbolic CNNs (Bdeir et al., ICLR 2024) extended hyperbolic operations to deep learning tasks, showing consistent improvements on hierarchically structured vision problems. OpenHype (NeurIPS 2025) applied hyperbolic embeddings to hierarchical open-vocabulary scene understanding. SERAPH is the first work to use hyperbolic geometry as the structural backbone for joint pose estimation and Level-of-Detail rendering in a 3D reconstruction context.</w:t>
      </w:r>
    </w:p>
    <w:p>
      <w:r>
        <w:br w:type="page"/>
      </w:r>
    </w:p>
    <w:p>
      <w:pPr>
        <w:pStyle w:val="Heading1"/>
        <w:spacing w:before="360" w:after="180"/>
      </w:pPr>
      <w:r>
        <w:rPr>
          <w:rFonts w:ascii="Arial" w:cs="Arial" w:eastAsia="Arial" w:hAnsi="Arial"/>
          <w:b/>
          <w:bCs/>
          <w:color w:val="1A2F5E"/>
          <w:sz w:val="30"/>
          <w:szCs w:val="30"/>
        </w:rPr>
        <w:t xml:space="preserve">3.  Method</w:t>
      </w:r>
    </w:p>
    <w:p>
      <w:pPr>
        <w:pStyle w:val="Heading2"/>
        <w:spacing w:before="280" w:after="140"/>
      </w:pPr>
      <w:r>
        <w:rPr>
          <w:rFonts w:ascii="Arial" w:cs="Arial" w:eastAsia="Arial" w:hAnsi="Arial"/>
          <w:b/>
          <w:bCs/>
          <w:color w:val="2E5FA3"/>
          <w:sz w:val="26"/>
          <w:szCs w:val="26"/>
        </w:rPr>
        <w:t xml:space="preserve">3.1  Problem Formulation and Bayesian Framing</w:t>
      </w:r>
    </w:p>
    <w:p>
      <w:pPr>
        <w:spacing w:line="160" w:after="120"/>
        <w:jc w:val="both"/>
      </w:pPr>
      <w:r>
        <w:rPr>
          <w:rFonts w:ascii="Times New Roman" w:cs="Times New Roman" w:eastAsia="Times New Roman" w:hAnsi="Times New Roman"/>
          <w:b w:val="false"/>
          <w:bCs w:val="false"/>
          <w:color w:val="000000"/>
          <w:sz w:val="22"/>
          <w:szCs w:val="22"/>
        </w:rPr>
        <w:t xml:space="preserve">Let I = {I_k}_{k=1}^{K} be a set of K RGB images of a target locality with no associated metadata — no camera poses, no GPS coordinates, no ordering, and no overlap constraints. The goal is to recover a 3D scene representation S from which novel views can be rendered with photorealistic quality at any camera pose and to do so in a way that transfers prior knowledge from previously seen scenes and scales gracefully to locality-level areas without LiDAR or SfM preprocessing.</w:t>
      </w:r>
    </w:p>
    <w:p>
      <w:pPr>
        <w:spacing w:line="160" w:after="120"/>
        <w:jc w:val="both"/>
      </w:pPr>
      <w:r>
        <w:rPr>
          <w:rFonts w:ascii="Times New Roman" w:cs="Times New Roman" w:eastAsia="Times New Roman" w:hAnsi="Times New Roman"/>
          <w:b w:val="false"/>
          <w:bCs w:val="false"/>
          <w:color w:val="000000"/>
          <w:sz w:val="22"/>
          <w:szCs w:val="22"/>
        </w:rPr>
        <w:t xml:space="preserve">We frame this as maximizing the posterior:</w:t>
      </w:r>
    </w:p>
    <w:p>
      <w:pPr>
        <w:shd w:fill="F4F6FA" w:val="clear"/>
        <w:spacing w:before="140" w:after="140" w:line="300"/>
        <w:jc w:val="center"/>
      </w:pPr>
      <w:r>
        <w:rPr>
          <w:rFonts w:ascii="Cambria Math" w:cs="Cambria Math" w:eastAsia="Cambria Math" w:hAnsi="Cambria Math"/>
          <w:color w:val="2A3A5C"/>
          <w:sz w:val="21"/>
          <w:szCs w:val="21"/>
        </w:rPr>
        <w:t xml:space="preserve">    S* = argmax_S  P(I | S) · P(S)</w:t>
      </w:r>
      <w:r>
        <w:rPr>
          <w:rFonts w:ascii="Arial" w:cs="Arial" w:eastAsia="Arial" w:hAnsi="Arial"/>
          <w:color w:val="888888"/>
          <w:sz w:val="19"/>
          <w:szCs w:val="19"/>
        </w:rPr>
        <w:t xml:space="preserve">   (1)</w:t>
      </w:r>
    </w:p>
    <w:p>
      <w:pPr>
        <w:spacing w:line="160" w:after="120"/>
        <w:jc w:val="both"/>
      </w:pPr>
      <w:r>
        <w:rPr>
          <w:rFonts w:ascii="Times New Roman" w:cs="Times New Roman" w:eastAsia="Times New Roman" w:hAnsi="Times New Roman"/>
          <w:b w:val="false"/>
          <w:bCs w:val="false"/>
          <w:color w:val="000000"/>
          <w:sz w:val="22"/>
          <w:szCs w:val="22"/>
        </w:rPr>
        <w:t xml:space="preserve">where P(I | S) is the rendering likelihood implemented through a differentiable 3DGS renderer and P(S) is the scene prior implemented through our Global Entity Priors and Hyperbolic Scene Graph.</w:t>
      </w:r>
    </w:p>
    <w:p>
      <w:pPr>
        <w:spacing w:line="160" w:after="120"/>
        <w:jc w:val="both"/>
      </w:pPr>
      <w:r>
        <w:rPr>
          <w:rFonts w:ascii="Times New Roman" w:cs="Times New Roman" w:eastAsia="Times New Roman" w:hAnsi="Times New Roman"/>
          <w:b w:val="false"/>
          <w:bCs w:val="false"/>
          <w:color w:val="000000"/>
          <w:sz w:val="22"/>
          <w:szCs w:val="22"/>
        </w:rPr>
        <w:t xml:space="preserve">This framing has critical practical consequences. When the image collection is sparse — say, 20 images of a 300m street — there are thousands of 3D configurations that explain those 20 images equally well. Without a prior, optimization picks one arbitrarily, producing garbage. With a prior that encodes 'buildings are vertical rectangular structures with regular facade patterns,' the posterior immediately concentrates on the correct family of solutions. This is the fundamental advantage of SERAPH over every existing method.</w:t>
      </w:r>
    </w:p>
    <w:p>
      <w:pPr>
        <w:spacing w:line="160" w:after="120"/>
        <w:jc w:val="both"/>
      </w:pPr>
      <w:r>
        <w:rPr>
          <w:rFonts w:ascii="Times New Roman" w:cs="Times New Roman" w:eastAsia="Times New Roman" w:hAnsi="Times New Roman"/>
          <w:b w:val="false"/>
          <w:bCs w:val="false"/>
          <w:color w:val="000000"/>
          <w:sz w:val="22"/>
          <w:szCs w:val="22"/>
        </w:rPr>
        <w:t xml:space="preserve">The architecture that implements this posterior consists of five components, described in the following subsections and illustrated conceptually below:</w:t>
      </w:r>
    </w:p>
    <w:p>
      <w:pPr>
        <w:spacing w:line="160" w:after="120"/>
        <w:jc w:val="both"/>
      </w:pPr>
      <w:r>
        <w:rPr>
          <w:rFonts w:ascii="Times New Roman" w:cs="Times New Roman" w:eastAsia="Times New Roman" w:hAnsi="Times New Roman"/>
          <w:b w:val="false"/>
          <w:bCs w:val="false"/>
          <w:color w:val="000000"/>
          <w:sz w:val="22"/>
          <w:szCs w:val="22"/>
        </w:rPr>
        <w:t xml:space="preserve">Entity Discovery Network (EDN): answers 'what exists in the scene?'</w:t>
      </w:r>
    </w:p>
    <w:p>
      <w:pPr>
        <w:spacing w:line="160" w:after="120"/>
        <w:jc w:val="both"/>
      </w:pPr>
      <w:r>
        <w:rPr>
          <w:rFonts w:ascii="Times New Roman" w:cs="Times New Roman" w:eastAsia="Times New Roman" w:hAnsi="Times New Roman"/>
          <w:b w:val="false"/>
          <w:bCs w:val="false"/>
          <w:color w:val="000000"/>
          <w:sz w:val="22"/>
          <w:szCs w:val="22"/>
        </w:rPr>
        <w:t xml:space="preserve">Hyperbolic Scene Graph + HGNN: answers 'where is it and where were the cameras?'</w:t>
      </w:r>
    </w:p>
    <w:p>
      <w:pPr>
        <w:spacing w:line="160" w:after="120"/>
        <w:jc w:val="both"/>
      </w:pPr>
      <w:r>
        <w:rPr>
          <w:rFonts w:ascii="Times New Roman" w:cs="Times New Roman" w:eastAsia="Times New Roman" w:hAnsi="Times New Roman"/>
          <w:b w:val="false"/>
          <w:bCs w:val="false"/>
          <w:color w:val="000000"/>
          <w:sz w:val="22"/>
          <w:szCs w:val="22"/>
        </w:rPr>
        <w:t xml:space="preserve">Per-Entity Prior-Adapted Gaussian Fields: answers 'what does each entity look like in 3D?'</w:t>
      </w:r>
    </w:p>
    <w:p>
      <w:pPr>
        <w:spacing w:line="160" w:after="120"/>
        <w:jc w:val="both"/>
      </w:pPr>
      <w:r>
        <w:rPr>
          <w:rFonts w:ascii="Times New Roman" w:cs="Times New Roman" w:eastAsia="Times New Roman" w:hAnsi="Times New Roman"/>
          <w:b w:val="false"/>
          <w:bCs w:val="false"/>
          <w:color w:val="000000"/>
          <w:sz w:val="22"/>
          <w:szCs w:val="22"/>
        </w:rPr>
        <w:t xml:space="preserve">Global Assembly Transformer (GAT): assembles all entities into a coherent scene at the right scale</w:t>
      </w:r>
    </w:p>
    <w:p>
      <w:pPr>
        <w:spacing w:line="160" w:after="120"/>
        <w:jc w:val="both"/>
      </w:pPr>
      <w:r>
        <w:rPr>
          <w:rFonts w:ascii="Times New Roman" w:cs="Times New Roman" w:eastAsia="Times New Roman" w:hAnsi="Times New Roman"/>
          <w:b w:val="false"/>
          <w:bCs w:val="false"/>
          <w:color w:val="000000"/>
          <w:sz w:val="22"/>
          <w:szCs w:val="22"/>
        </w:rPr>
        <w:t xml:space="preserve">Differentiable Renderer: closes the loop with photometric supervision</w:t>
      </w:r>
    </w:p>
    <w:p>
      <w:pPr>
        <w:spacing w:before="200" w:after="200"/>
      </w:pPr>
    </w:p>
    <w:p>
      <w:pPr>
        <w:pStyle w:val="Heading2"/>
        <w:spacing w:before="280" w:after="140"/>
      </w:pPr>
      <w:r>
        <w:rPr>
          <w:rFonts w:ascii="Arial" w:cs="Arial" w:eastAsia="Arial" w:hAnsi="Arial"/>
          <w:b/>
          <w:bCs/>
          <w:color w:val="2E5FA3"/>
          <w:sz w:val="26"/>
          <w:szCs w:val="26"/>
        </w:rPr>
        <w:t xml:space="preserve">3.2  Entity Discovery Network (EDN)</w:t>
      </w:r>
    </w:p>
    <w:p>
      <w:pPr>
        <w:pStyle w:val="Heading3"/>
        <w:spacing w:before="200" w:after="100"/>
      </w:pPr>
      <w:r>
        <w:rPr>
          <w:rFonts w:ascii="Arial" w:cs="Arial" w:eastAsia="Arial" w:hAnsi="Arial"/>
          <w:b/>
          <w:bCs/>
          <w:color w:val="1A2F5E"/>
          <w:sz w:val="23"/>
          <w:szCs w:val="23"/>
        </w:rPr>
        <w:t xml:space="preserve">3.2.1  The Design Problem</w:t>
      </w:r>
    </w:p>
    <w:p>
      <w:pPr>
        <w:spacing w:line="160" w:after="120"/>
        <w:jc w:val="both"/>
      </w:pPr>
      <w:r>
        <w:rPr>
          <w:rFonts w:ascii="Times New Roman" w:cs="Times New Roman" w:eastAsia="Times New Roman" w:hAnsi="Times New Roman"/>
          <w:b w:val="false"/>
          <w:bCs w:val="false"/>
          <w:color w:val="000000"/>
          <w:sz w:val="22"/>
          <w:szCs w:val="22"/>
        </w:rPr>
        <w:t xml:space="preserve">The first component must answer the question: what semantically distinct, persistent entities exist in the input image collection, without any pose information? Classical photogrammetry never asks this question. COLMAP treats every pixel as equally important and just tries to find matching corners across images — it has no concept of 'building' or 'road,' it just sees gradients and corners and tries to triangulate 3D points from them. This creates three compounding problems: textureless surfaces have no corners, so COLMAP produces zero 3D points for most of a building's facade; images that do not geometrically overlap enough cannot be matched even if they contain the same building photographed from very different angles; and the resulting point cloud has no semantic meaning.</w:t>
      </w:r>
    </w:p>
    <w:p>
      <w:pPr>
        <w:spacing w:line="160" w:after="120"/>
        <w:jc w:val="both"/>
      </w:pPr>
      <w:r>
        <w:rPr>
          <w:rFonts w:ascii="Times New Roman" w:cs="Times New Roman" w:eastAsia="Times New Roman" w:hAnsi="Times New Roman"/>
          <w:b w:val="false"/>
          <w:bCs w:val="false"/>
          <w:color w:val="000000"/>
          <w:sz w:val="22"/>
          <w:szCs w:val="22"/>
        </w:rPr>
        <w:t xml:space="preserve">The EDN solves all three by leveraging the semantic coherence of DINOv2 patch features, combined with novel cross-image attention that discovers correspondences purely through feature similarity.</w:t>
      </w:r>
    </w:p>
    <w:p>
      <w:pPr>
        <w:pStyle w:val="Heading3"/>
        <w:spacing w:before="200" w:after="100"/>
      </w:pPr>
      <w:r>
        <w:rPr>
          <w:rFonts w:ascii="Arial" w:cs="Arial" w:eastAsia="Arial" w:hAnsi="Arial"/>
          <w:b/>
          <w:bCs/>
          <w:color w:val="1A2F5E"/>
          <w:sz w:val="23"/>
          <w:szCs w:val="23"/>
        </w:rPr>
        <w:t xml:space="preserve">3.2.2  DINOv2 Backbone</w:t>
      </w:r>
    </w:p>
    <w:p>
      <w:pPr>
        <w:spacing w:line="160" w:after="120"/>
        <w:jc w:val="both"/>
      </w:pPr>
      <w:r>
        <w:rPr>
          <w:rFonts w:ascii="Times New Roman" w:cs="Times New Roman" w:eastAsia="Times New Roman" w:hAnsi="Times New Roman"/>
          <w:b w:val="false"/>
          <w:bCs w:val="false"/>
          <w:color w:val="000000"/>
          <w:sz w:val="22"/>
          <w:szCs w:val="22"/>
        </w:rPr>
        <w:t xml:space="preserve">The backbone is DINOv2 ViT-L/14 — Vision Transformer Large with 14×14 patch size. DINOv2 is pre-trained using self-supervised learning on a carefully curated dataset of 142 million images (LVD-142M). The training objective is self-distillation: a student network and a teacher network (an exponential moving average of the student) both see different augmented crops of the same image, and the student tries to predict the teacher's representations. No labels are used at any point.</w:t>
      </w:r>
    </w:p>
    <w:p>
      <w:pPr>
        <w:spacing w:line="160" w:after="120"/>
        <w:jc w:val="both"/>
      </w:pPr>
      <w:r>
        <w:rPr>
          <w:rFonts w:ascii="Times New Roman" w:cs="Times New Roman" w:eastAsia="Times New Roman" w:hAnsi="Times New Roman"/>
          <w:b w:val="false"/>
          <w:bCs w:val="false"/>
          <w:color w:val="000000"/>
          <w:sz w:val="22"/>
          <w:szCs w:val="22"/>
        </w:rPr>
        <w:t xml:space="preserve">The key emergent property is semantic coherence of patch features. Patches that belong to semantically similar things — all windows, all building facades, all road surfaces, all tree leaves — will have very similar feature vectors regardless of viewpoint, lighting, or the specific appearance of the particular instance. This has been empirically demonstrated: DINOv2 features produce better semantic segmentation than supervised models trained on labeled data.</w:t>
      </w:r>
    </w:p>
    <w:p>
      <w:pPr>
        <w:spacing w:line="160" w:after="120"/>
        <w:jc w:val="both"/>
      </w:pPr>
      <w:r>
        <w:rPr>
          <w:rFonts w:ascii="Times New Roman" w:cs="Times New Roman" w:eastAsia="Times New Roman" w:hAnsi="Times New Roman"/>
          <w:b w:val="false"/>
          <w:bCs w:val="false"/>
          <w:color w:val="000000"/>
          <w:sz w:val="22"/>
          <w:szCs w:val="22"/>
        </w:rPr>
        <w:t xml:space="preserve">For an input image I_k of resolution H×W, DINOv2 produces patch feature tokens:</w:t>
      </w:r>
    </w:p>
    <w:p>
      <w:pPr>
        <w:shd w:fill="F4F6FA" w:val="clear"/>
        <w:spacing w:before="140" w:after="140" w:line="300"/>
        <w:jc w:val="center"/>
      </w:pPr>
      <w:r>
        <w:rPr>
          <w:rFonts w:ascii="Cambria Math" w:cs="Cambria Math" w:eastAsia="Cambria Math" w:hAnsi="Cambria Math"/>
          <w:color w:val="2A3A5C"/>
          <w:sz w:val="21"/>
          <w:szCs w:val="21"/>
        </w:rPr>
        <w:t xml:space="preserve">    F_k ∈ ℝ^{N_p × 1024}    where N_p = (H/14)(W/14)</w:t>
      </w:r>
      <w:r>
        <w:rPr>
          <w:rFonts w:ascii="Arial" w:cs="Arial" w:eastAsia="Arial" w:hAnsi="Arial"/>
          <w:color w:val="888888"/>
          <w:sz w:val="19"/>
          <w:szCs w:val="19"/>
        </w:rPr>
        <w:t xml:space="preserve">   (2)</w:t>
      </w:r>
    </w:p>
    <w:p>
      <w:pPr>
        <w:spacing w:line="160" w:after="120"/>
        <w:jc w:val="both"/>
      </w:pPr>
      <w:r>
        <w:rPr>
          <w:rFonts w:ascii="Times New Roman" w:cs="Times New Roman" w:eastAsia="Times New Roman" w:hAnsi="Times New Roman"/>
          <w:b w:val="false"/>
          <w:bCs w:val="false"/>
          <w:color w:val="000000"/>
          <w:sz w:val="22"/>
          <w:szCs w:val="22"/>
        </w:rPr>
        <w:t xml:space="preserve">For a standard 518×518 resolution, N_p = 37×37 = 1,369 patch tokens, each in ℝ^{1024}. The DINOv2 weights are completely frozen during all phases of SERAPH training. They are pure feature extractors that provide a powerful semantic basis without any fine-tuning cost.</w:t>
      </w:r>
    </w:p>
    <w:p>
      <w:pPr>
        <w:pStyle w:val="Heading3"/>
        <w:spacing w:before="200" w:after="100"/>
      </w:pPr>
      <w:r>
        <w:rPr>
          <w:rFonts w:ascii="Arial" w:cs="Arial" w:eastAsia="Arial" w:hAnsi="Arial"/>
          <w:b/>
          <w:bCs/>
          <w:color w:val="1A2F5E"/>
          <w:sz w:val="23"/>
          <w:szCs w:val="23"/>
        </w:rPr>
        <w:t xml:space="preserve">3.2.3  Cross-Image Attention</w:t>
      </w:r>
    </w:p>
    <w:p>
      <w:pPr>
        <w:spacing w:line="160" w:after="120"/>
        <w:jc w:val="both"/>
      </w:pPr>
      <w:r>
        <w:rPr>
          <w:rFonts w:ascii="Times New Roman" w:cs="Times New Roman" w:eastAsia="Times New Roman" w:hAnsi="Times New Roman"/>
          <w:b w:val="false"/>
          <w:bCs w:val="false"/>
          <w:color w:val="000000"/>
          <w:sz w:val="22"/>
          <w:szCs w:val="22"/>
        </w:rPr>
        <w:t xml:space="preserve">This is the novel learnable component of the EDN. Standard transformers apply attention within one image — each patch attends to all other patches in the same image. What is needed here is attention across all images simultaneously, so that a patch in image 3 showing a building facade can directly discover that the semantically matching patch in image 47 depicts the same facade.</w:t>
      </w:r>
    </w:p>
    <w:p>
      <w:pPr>
        <w:spacing w:line="160" w:after="120"/>
        <w:jc w:val="both"/>
      </w:pPr>
      <w:r>
        <w:rPr>
          <w:rFonts w:ascii="Times New Roman" w:cs="Times New Roman" w:eastAsia="Times New Roman" w:hAnsi="Times New Roman"/>
          <w:b w:val="false"/>
          <w:bCs w:val="false"/>
          <w:color w:val="000000"/>
          <w:sz w:val="22"/>
          <w:szCs w:val="22"/>
        </w:rPr>
        <w:t xml:space="preserve">Formally, patch features from all K images are concatenated into a joint token sequence:</w:t>
      </w:r>
    </w:p>
    <w:p>
      <w:pPr>
        <w:shd w:fill="F4F6FA" w:val="clear"/>
        <w:spacing w:before="140" w:after="140" w:line="300"/>
        <w:jc w:val="center"/>
      </w:pPr>
      <w:r>
        <w:rPr>
          <w:rFonts w:ascii="Cambria Math" w:cs="Cambria Math" w:eastAsia="Cambria Math" w:hAnsi="Cambria Math"/>
          <w:color w:val="2A3A5C"/>
          <w:sz w:val="21"/>
          <w:szCs w:val="21"/>
        </w:rPr>
        <w:t xml:space="preserve">    T = [F_1 || F_2 || ··· || F_K]  ∈  ℝ^{(K·N_p) × 1024}</w:t>
      </w:r>
      <w:r>
        <w:rPr>
          <w:rFonts w:ascii="Arial" w:cs="Arial" w:eastAsia="Arial" w:hAnsi="Arial"/>
          <w:color w:val="888888"/>
          <w:sz w:val="19"/>
          <w:szCs w:val="19"/>
        </w:rPr>
        <w:t xml:space="preserve">   (3)</w:t>
      </w:r>
    </w:p>
    <w:p>
      <w:pPr>
        <w:spacing w:line="160" w:after="120"/>
        <w:jc w:val="both"/>
      </w:pPr>
      <w:r>
        <w:rPr>
          <w:rFonts w:ascii="Times New Roman" w:cs="Times New Roman" w:eastAsia="Times New Roman" w:hAnsi="Times New Roman"/>
          <w:b w:val="false"/>
          <w:bCs w:val="false"/>
          <w:color w:val="000000"/>
          <w:sz w:val="22"/>
          <w:szCs w:val="22"/>
        </w:rPr>
        <w:t xml:space="preserve">Four layers of Multi-Head Self-Attention are applied over T. Since each token can attend to every other token across all images, the attention matrix has shape (K·N_p) × (K·N_p). The standard attention operation is:</w:t>
      </w:r>
    </w:p>
    <w:p>
      <w:pPr>
        <w:shd w:fill="F4F6FA" w:val="clear"/>
        <w:spacing w:before="140" w:after="140" w:line="300"/>
        <w:jc w:val="center"/>
      </w:pPr>
      <w:r>
        <w:rPr>
          <w:rFonts w:ascii="Cambria Math" w:cs="Cambria Math" w:eastAsia="Cambria Math" w:hAnsi="Cambria Math"/>
          <w:color w:val="2A3A5C"/>
          <w:sz w:val="21"/>
          <w:szCs w:val="21"/>
        </w:rPr>
        <w:t xml:space="preserve">    Attn(Q, K, V)  =  softmax( QK^T / √d_k ) · V</w:t>
      </w:r>
      <w:r>
        <w:rPr>
          <w:rFonts w:ascii="Arial" w:cs="Arial" w:eastAsia="Arial" w:hAnsi="Arial"/>
          <w:color w:val="888888"/>
          <w:sz w:val="19"/>
          <w:szCs w:val="19"/>
        </w:rPr>
        <w:t xml:space="preserve">   (4)</w:t>
      </w:r>
    </w:p>
    <w:p>
      <w:pPr>
        <w:spacing w:line="160" w:after="120"/>
        <w:jc w:val="both"/>
      </w:pPr>
      <w:r>
        <w:rPr>
          <w:rFonts w:ascii="Times New Roman" w:cs="Times New Roman" w:eastAsia="Times New Roman" w:hAnsi="Times New Roman"/>
          <w:b w:val="false"/>
          <w:bCs w:val="false"/>
          <w:color w:val="000000"/>
          <w:sz w:val="22"/>
          <w:szCs w:val="22"/>
        </w:rPr>
        <w:t xml:space="preserve">The critical property is that a patch from image 3 can directly attend to a semantically matching patch from image 47 through feature similarity alone — no geometric correspondence or pose information is required. During training, the cross-image attention weight matrices W_Q, W_K, W_V learn to exploit DINOv2's view-invariant features for cross-image entity association.</w:t>
      </w:r>
    </w:p>
    <w:p>
      <w:pPr>
        <w:spacing w:line="160" w:after="120"/>
        <w:jc w:val="both"/>
      </w:pPr>
      <w:r>
        <w:rPr>
          <w:rFonts w:ascii="Times New Roman" w:cs="Times New Roman" w:eastAsia="Times New Roman" w:hAnsi="Times New Roman"/>
          <w:b w:val="false"/>
          <w:bCs w:val="false"/>
          <w:color w:val="000000"/>
          <w:sz w:val="22"/>
          <w:szCs w:val="22"/>
        </w:rPr>
        <w:t xml:space="preserve">To handle the quadratic attention cost for large K, we use windowed attention with learned routing: tokens are first clustered by DINOv2 feature similarity (inexpensive cosine similarity clustering), full attention runs within windows, and a learned routing MLP handles long-range cross-window connections. This is analogous to the approach used in Swin Transformer and LongFormer.</w:t>
      </w:r>
    </w:p>
    <w:p>
      <w:pPr>
        <w:pStyle w:val="Heading3"/>
        <w:spacing w:before="200" w:after="100"/>
      </w:pPr>
      <w:r>
        <w:rPr>
          <w:rFonts w:ascii="Arial" w:cs="Arial" w:eastAsia="Arial" w:hAnsi="Arial"/>
          <w:b/>
          <w:bCs/>
          <w:color w:val="1A2F5E"/>
          <w:sz w:val="23"/>
          <w:szCs w:val="23"/>
        </w:rPr>
        <w:t xml:space="preserve">3.2.4  Differentiable Clustering Head</w:t>
      </w:r>
    </w:p>
    <w:p>
      <w:pPr>
        <w:spacing w:line="160" w:after="120"/>
        <w:jc w:val="both"/>
      </w:pPr>
      <w:r>
        <w:rPr>
          <w:rFonts w:ascii="Times New Roman" w:cs="Times New Roman" w:eastAsia="Times New Roman" w:hAnsi="Times New Roman"/>
          <w:b w:val="false"/>
          <w:bCs w:val="false"/>
          <w:color w:val="000000"/>
          <w:sz w:val="22"/>
          <w:szCs w:val="22"/>
        </w:rPr>
        <w:t xml:space="preserve">After the cross-image attention layers, each token has been updated to encode not just its own semantics but also the global context of which other patches across all images share its entity. The clustering head groups these tokens into N entity clusters using differentiable k-means (DKM).</w:t>
      </w:r>
    </w:p>
    <w:p>
      <w:pPr>
        <w:spacing w:line="160" w:after="120"/>
        <w:jc w:val="both"/>
      </w:pPr>
      <w:r>
        <w:rPr>
          <w:rFonts w:ascii="Times New Roman" w:cs="Times New Roman" w:eastAsia="Times New Roman" w:hAnsi="Times New Roman"/>
          <w:b w:val="false"/>
          <w:bCs w:val="false"/>
          <w:color w:val="000000"/>
          <w:sz w:val="22"/>
          <w:szCs w:val="22"/>
        </w:rPr>
        <w:t xml:space="preserve">Standard k-means is not differentiable. DKM casts it as a soft attention problem with a temperature-annealed soft assignment:</w:t>
      </w:r>
    </w:p>
    <w:p>
      <w:pPr>
        <w:shd w:fill="F4F6FA" w:val="clear"/>
        <w:spacing w:before="140" w:after="140" w:line="300"/>
        <w:jc w:val="center"/>
      </w:pPr>
      <w:r>
        <w:rPr>
          <w:rFonts w:ascii="Cambria Math" w:cs="Cambria Math" w:eastAsia="Cambria Math" w:hAnsi="Cambria Math"/>
          <w:color w:val="2A3A5C"/>
          <w:sz w:val="21"/>
          <w:szCs w:val="21"/>
        </w:rPr>
        <w:t xml:space="preserve">    a_{ij}  =  exp(−||t_i − c_j||² / τ)  /  Σ_{j'} exp(−||t_i − c_{j'}||² / τ)</w:t>
      </w:r>
      <w:r>
        <w:rPr>
          <w:rFonts w:ascii="Arial" w:cs="Arial" w:eastAsia="Arial" w:hAnsi="Arial"/>
          <w:color w:val="888888"/>
          <w:sz w:val="19"/>
          <w:szCs w:val="19"/>
        </w:rPr>
        <w:t xml:space="preserve">   (5)</w:t>
      </w:r>
    </w:p>
    <w:p>
      <w:pPr>
        <w:spacing w:line="160" w:after="120"/>
        <w:jc w:val="both"/>
      </w:pPr>
      <w:r>
        <w:rPr>
          <w:rFonts w:ascii="Times New Roman" w:cs="Times New Roman" w:eastAsia="Times New Roman" w:hAnsi="Times New Roman"/>
          <w:b w:val="false"/>
          <w:bCs w:val="false"/>
          <w:color w:val="000000"/>
          <w:sz w:val="22"/>
          <w:szCs w:val="22"/>
        </w:rPr>
        <w:t xml:space="preserve">where t_i is token i's representation, c_j is cluster centroid j, and τ is an annealed temperature parameter. The entry a_{ij} encodes the soft membership of token i in cluster j. Starting with high temperature (soft, diffuse assignments) and annealing toward low temperature (hard, committed assignments), this provides a differentiable approximation to k-means through which gradients can propagate.</w:t>
      </w:r>
    </w:p>
    <w:p>
      <w:pPr>
        <w:spacing w:line="160" w:after="120"/>
        <w:jc w:val="both"/>
      </w:pPr>
      <w:r>
        <w:rPr>
          <w:rFonts w:ascii="Times New Roman" w:cs="Times New Roman" w:eastAsia="Times New Roman" w:hAnsi="Times New Roman"/>
          <w:b w:val="false"/>
          <w:bCs w:val="false"/>
          <w:color w:val="000000"/>
          <w:sz w:val="22"/>
          <w:szCs w:val="22"/>
        </w:rPr>
        <w:t xml:space="preserve">Cluster centroids are updated iteratively:</w:t>
      </w:r>
    </w:p>
    <w:p>
      <w:pPr>
        <w:shd w:fill="F4F6FA" w:val="clear"/>
        <w:spacing w:before="140" w:after="140" w:line="300"/>
        <w:jc w:val="center"/>
      </w:pPr>
      <w:r>
        <w:rPr>
          <w:rFonts w:ascii="Cambria Math" w:cs="Cambria Math" w:eastAsia="Cambria Math" w:hAnsi="Cambria Math"/>
          <w:color w:val="2A3A5C"/>
          <w:sz w:val="21"/>
          <w:szCs w:val="21"/>
        </w:rPr>
        <w:t xml:space="preserve">    c_j^{new}  =  Σ_i a_{ij} t_i  /  Σ_i a_{ij}</w:t>
      </w:r>
      <w:r>
        <w:rPr>
          <w:rFonts w:ascii="Arial" w:cs="Arial" w:eastAsia="Arial" w:hAnsi="Arial"/>
          <w:color w:val="888888"/>
          <w:sz w:val="19"/>
          <w:szCs w:val="19"/>
        </w:rPr>
        <w:t xml:space="preserve">   (6)</w:t>
      </w:r>
    </w:p>
    <w:p>
      <w:pPr>
        <w:spacing w:line="160" w:after="120"/>
        <w:jc w:val="both"/>
      </w:pPr>
      <w:r>
        <w:rPr>
          <w:rFonts w:ascii="Times New Roman" w:cs="Times New Roman" w:eastAsia="Times New Roman" w:hAnsi="Times New Roman"/>
          <w:b w:val="false"/>
          <w:bCs w:val="false"/>
          <w:color w:val="000000"/>
          <w:sz w:val="22"/>
          <w:szCs w:val="22"/>
        </w:rPr>
        <w:t xml:space="preserve">The number of entities N is determined adaptively: starting with N_max clusters, post-convergence clusters whose centroids fall below a coherence threshold ε are merged. This gives automatic entity count discovery without requiring the user to specify how many buildings or roads exist in the scene.</w:t>
      </w:r>
    </w:p>
    <w:p>
      <w:pPr>
        <w:spacing w:line="160" w:after="120"/>
        <w:jc w:val="both"/>
      </w:pPr>
      <w:r>
        <w:rPr>
          <w:rFonts w:ascii="Times New Roman" w:cs="Times New Roman" w:eastAsia="Times New Roman" w:hAnsi="Times New Roman"/>
          <w:b w:val="false"/>
          <w:bCs w:val="false"/>
          <w:color w:val="000000"/>
          <w:sz w:val="22"/>
          <w:szCs w:val="22"/>
        </w:rPr>
        <w:t xml:space="preserve">The clustering head outputs: a soft assignment matrix A ∈ ℝ^{(K·N_p)×N} (from which soft visibility masks are derived); a 1024-dimensional feature vector f_i for each entity (mean-pooled from its cluster tokens); and a semantic class label from the classification head.</w:t>
      </w:r>
    </w:p>
    <w:p>
      <w:pPr>
        <w:pStyle w:val="Heading3"/>
        <w:spacing w:before="200" w:after="100"/>
      </w:pPr>
      <w:r>
        <w:rPr>
          <w:rFonts w:ascii="Arial" w:cs="Arial" w:eastAsia="Arial" w:hAnsi="Arial"/>
          <w:b/>
          <w:bCs/>
          <w:color w:val="1A2F5E"/>
          <w:sz w:val="23"/>
          <w:szCs w:val="23"/>
        </w:rPr>
        <w:t xml:space="preserve">3.2.5  Semantic Classification Head</w:t>
      </w:r>
    </w:p>
    <w:p>
      <w:pPr>
        <w:spacing w:line="160" w:after="120"/>
        <w:jc w:val="both"/>
      </w:pPr>
      <w:r>
        <w:rPr>
          <w:rFonts w:ascii="Times New Roman" w:cs="Times New Roman" w:eastAsia="Times New Roman" w:hAnsi="Times New Roman"/>
          <w:b w:val="false"/>
          <w:bCs w:val="false"/>
          <w:color w:val="000000"/>
          <w:sz w:val="22"/>
          <w:szCs w:val="22"/>
        </w:rPr>
        <w:t xml:space="preserve">A small three-layer MLP takes each cluster centroid c_j ∈ ℝ^{1024} and outputs a probability distribution over six semantic classes: {building, road, vegetation, sky, vehicle, other}. These classes correspond exactly to the six Global Entity Priors trained in Phase 0. The classification MLP is trained in Phase 0 with cross-entropy loss on Cityscapes, ADE20K, and Waymo segmentation data, then frozen for per-scene inference.</w:t>
      </w:r>
    </w:p>
    <w:p>
      <w:pPr>
        <w:spacing w:line="160" w:after="120"/>
        <w:jc w:val="both"/>
      </w:pPr>
      <w:r>
        <w:rPr>
          <w:rFonts w:ascii="Times New Roman" w:cs="Times New Roman" w:eastAsia="Times New Roman" w:hAnsi="Times New Roman"/>
          <w:b w:val="false"/>
          <w:bCs w:val="false"/>
          <w:color w:val="000000"/>
          <w:sz w:val="22"/>
          <w:szCs w:val="22"/>
        </w:rPr>
        <w:t xml:space="preserve">The six-class vocabulary is an engineering tradeoff between coverage (these six classes cover the vast majority of outdoor locality content) and the cost of training additional Global Entity Priors. The vocabulary can be extended by training additional class-specific GEPs without modifying any other component of SERAPH.</w:t>
      </w:r>
    </w:p>
    <w:p>
      <w:pPr>
        <w:pStyle w:val="Heading2"/>
        <w:spacing w:before="280" w:after="140"/>
      </w:pPr>
      <w:r>
        <w:rPr>
          <w:rFonts w:ascii="Arial" w:cs="Arial" w:eastAsia="Arial" w:hAnsi="Arial"/>
          <w:b/>
          <w:bCs/>
          <w:color w:val="2E5FA3"/>
          <w:sz w:val="26"/>
          <w:szCs w:val="26"/>
        </w:rPr>
        <w:t xml:space="preserve">3.3  Hyperbolic Scene Graph and Hyperbolic GNN (HGNN)</w:t>
      </w:r>
    </w:p>
    <w:p>
      <w:pPr>
        <w:pStyle w:val="Heading3"/>
        <w:spacing w:before="200" w:after="100"/>
      </w:pPr>
      <w:r>
        <w:rPr>
          <w:rFonts w:ascii="Arial" w:cs="Arial" w:eastAsia="Arial" w:hAnsi="Arial"/>
          <w:b/>
          <w:bCs/>
          <w:color w:val="1A2F5E"/>
          <w:sz w:val="23"/>
          <w:szCs w:val="23"/>
        </w:rPr>
        <w:t xml:space="preserve">3.3.1  Why Hyperbolic Geometry — The Quantitative Case</w:t>
      </w:r>
    </w:p>
    <w:p>
      <w:pPr>
        <w:spacing w:line="160" w:after="120"/>
        <w:jc w:val="both"/>
      </w:pPr>
      <w:r>
        <w:rPr>
          <w:rFonts w:ascii="Times New Roman" w:cs="Times New Roman" w:eastAsia="Times New Roman" w:hAnsi="Times New Roman"/>
          <w:b w:val="false"/>
          <w:bCs w:val="false"/>
          <w:color w:val="000000"/>
          <w:sz w:val="22"/>
          <w:szCs w:val="22"/>
        </w:rPr>
        <w:t xml:space="preserve">Every existing method solves pose estimation with COLMAP — a classical algorithm that runs completely outside the neural network, is not differentiable, requires hours on large scenes, and fails on sparse unorganized inputs. SERAPH replaces it entirely with a differentiable neural component that exploits the geometric structure of urban scenes.</w:t>
      </w:r>
    </w:p>
    <w:p>
      <w:pPr>
        <w:spacing w:line="160" w:after="120"/>
        <w:jc w:val="both"/>
      </w:pPr>
      <w:r>
        <w:rPr>
          <w:rFonts w:ascii="Times New Roman" w:cs="Times New Roman" w:eastAsia="Times New Roman" w:hAnsi="Times New Roman"/>
          <w:b w:val="false"/>
          <w:bCs w:val="false"/>
          <w:color w:val="000000"/>
          <w:sz w:val="22"/>
          <w:szCs w:val="22"/>
        </w:rPr>
        <w:t xml:space="preserve">The key insight is quantitative. Urban scenes form a hierarchy: city → district → street → building → facade → window. This hierarchy is a tree with branching factor b, depth d, and b^d leaf nodes. Faithfully embedding this tree in Euclidean space while preserving parent-child distance relationships requires dimensionality scaling as O(b^{d/2}). For typical locality-scale hierarchies with b=10, d=5, this requires roughly 316 dimensions with significant distortion.</w:t>
      </w:r>
    </w:p>
    <w:p>
      <w:pPr>
        <w:spacing w:line="160" w:after="120"/>
        <w:jc w:val="both"/>
      </w:pPr>
      <w:r>
        <w:rPr>
          <w:rFonts w:ascii="Times New Roman" w:cs="Times New Roman" w:eastAsia="Times New Roman" w:hAnsi="Times New Roman"/>
          <w:b w:val="false"/>
          <w:bCs w:val="false"/>
          <w:color w:val="000000"/>
          <w:sz w:val="22"/>
          <w:szCs w:val="22"/>
        </w:rPr>
        <w:t xml:space="preserve">In hyperbolic space, the circumference of a circle of radius r grows as:</w:t>
      </w:r>
    </w:p>
    <w:p>
      <w:pPr>
        <w:shd w:fill="F4F6FA" w:val="clear"/>
        <w:spacing w:before="140" w:after="140" w:line="300"/>
        <w:jc w:val="center"/>
      </w:pPr>
      <w:r>
        <w:rPr>
          <w:rFonts w:ascii="Cambria Math" w:cs="Cambria Math" w:eastAsia="Cambria Math" w:hAnsi="Cambria Math"/>
          <w:color w:val="2A3A5C"/>
          <w:sz w:val="21"/>
          <w:szCs w:val="21"/>
        </w:rPr>
        <w:t xml:space="preserve">    C(r)  =  2π sinh(r)  ≈  π e^r   (for large r)</w:t>
      </w:r>
      <w:r>
        <w:rPr>
          <w:rFonts w:ascii="Arial" w:cs="Arial" w:eastAsia="Arial" w:hAnsi="Arial"/>
          <w:color w:val="888888"/>
          <w:sz w:val="19"/>
          <w:szCs w:val="19"/>
        </w:rPr>
        <w:t xml:space="preserve">   (7)</w:t>
      </w:r>
    </w:p>
    <w:p>
      <w:pPr>
        <w:spacing w:line="160" w:after="120"/>
        <w:jc w:val="both"/>
      </w:pPr>
      <w:r>
        <w:rPr>
          <w:rFonts w:ascii="Times New Roman" w:cs="Times New Roman" w:eastAsia="Times New Roman" w:hAnsi="Times New Roman"/>
          <w:b w:val="false"/>
          <w:bCs w:val="false"/>
          <w:color w:val="000000"/>
          <w:sz w:val="22"/>
          <w:szCs w:val="22"/>
        </w:rPr>
        <w:t xml:space="preserve">This exponential growth exactly matches the exponential growth of tree branches. Therefore, any tree embeds in 2-dimensional hyperbolic space with near-zero distortion, regardless of branching factor or depth. This is a mathematically proven result (Nickel and Kiela, 2017). SERAPH exploits this to encode the full urban hierarchy in a compact 64-dimensional hyperbolic space — far more efficient and accurate than any Euclidean representation.</w:t>
      </w:r>
    </w:p>
    <w:p>
      <w:pPr>
        <w:pStyle w:val="Heading3"/>
        <w:spacing w:before="200" w:after="100"/>
      </w:pPr>
      <w:r>
        <w:rPr>
          <w:rFonts w:ascii="Arial" w:cs="Arial" w:eastAsia="Arial" w:hAnsi="Arial"/>
          <w:b/>
          <w:bCs/>
          <w:color w:val="1A2F5E"/>
          <w:sz w:val="23"/>
          <w:szCs w:val="23"/>
        </w:rPr>
        <w:t xml:space="preserve">3.3.2  The Lorentz Model</w:t>
      </w:r>
    </w:p>
    <w:p>
      <w:pPr>
        <w:spacing w:line="160" w:after="120"/>
        <w:jc w:val="both"/>
      </w:pPr>
      <w:r>
        <w:rPr>
          <w:rFonts w:ascii="Times New Roman" w:cs="Times New Roman" w:eastAsia="Times New Roman" w:hAnsi="Times New Roman"/>
          <w:b w:val="false"/>
          <w:bCs w:val="false"/>
          <w:color w:val="000000"/>
          <w:sz w:val="22"/>
          <w:szCs w:val="22"/>
        </w:rPr>
        <w:t xml:space="preserve">We use the Lorentz model (hyperboloid) rather than the Poincaré disk for all computations. Both are isometric representations of the same hyperbolic space, but the Lorentz model avoids coordinate singularities near the disk boundary which cause gradient instability during backpropagation.</w:t>
      </w:r>
    </w:p>
    <w:p>
      <w:pPr>
        <w:spacing w:line="160" w:after="120"/>
        <w:jc w:val="both"/>
      </w:pPr>
      <w:r>
        <w:rPr>
          <w:rFonts w:ascii="Times New Roman" w:cs="Times New Roman" w:eastAsia="Times New Roman" w:hAnsi="Times New Roman"/>
          <w:b w:val="false"/>
          <w:bCs w:val="false"/>
          <w:color w:val="000000"/>
          <w:sz w:val="22"/>
          <w:szCs w:val="22"/>
        </w:rPr>
        <w:t xml:space="preserve">The Lorentz model represents n-dimensional hyperbolic space as the upper sheet of a hyperboloid in ℝ^{n+1}:</w:t>
      </w:r>
    </w:p>
    <w:p>
      <w:pPr>
        <w:shd w:fill="F4F6FA" w:val="clear"/>
        <w:spacing w:before="140" w:after="140" w:line="300"/>
        <w:jc w:val="center"/>
      </w:pPr>
      <w:r>
        <w:rPr>
          <w:rFonts w:ascii="Cambria Math" w:cs="Cambria Math" w:eastAsia="Cambria Math" w:hAnsi="Cambria Math"/>
          <w:color w:val="2A3A5C"/>
          <w:sz w:val="21"/>
          <w:szCs w:val="21"/>
        </w:rPr>
        <w:t xml:space="preserve">    H^n  =  { x ∈ ℝ^{n+1} :  ⟨x, x⟩_L = −1,  x_0 &gt; 0 }</w:t>
      </w:r>
      <w:r>
        <w:rPr>
          <w:rFonts w:ascii="Arial" w:cs="Arial" w:eastAsia="Arial" w:hAnsi="Arial"/>
          <w:color w:val="888888"/>
          <w:sz w:val="19"/>
          <w:szCs w:val="19"/>
        </w:rPr>
        <w:t xml:space="preserve">   (8)</w:t>
      </w:r>
    </w:p>
    <w:p>
      <w:pPr>
        <w:spacing w:line="160" w:after="120"/>
        <w:jc w:val="both"/>
      </w:pPr>
      <w:r>
        <w:rPr>
          <w:rFonts w:ascii="Times New Roman" w:cs="Times New Roman" w:eastAsia="Times New Roman" w:hAnsi="Times New Roman"/>
          <w:b w:val="false"/>
          <w:bCs w:val="false"/>
          <w:color w:val="000000"/>
          <w:sz w:val="22"/>
          <w:szCs w:val="22"/>
        </w:rPr>
        <w:t xml:space="preserve">where the Minkowski inner product is defined as:</w:t>
      </w:r>
    </w:p>
    <w:p>
      <w:pPr>
        <w:shd w:fill="F4F6FA" w:val="clear"/>
        <w:spacing w:before="140" w:after="140" w:line="300"/>
        <w:jc w:val="center"/>
      </w:pPr>
      <w:r>
        <w:rPr>
          <w:rFonts w:ascii="Cambria Math" w:cs="Cambria Math" w:eastAsia="Cambria Math" w:hAnsi="Cambria Math"/>
          <w:color w:val="2A3A5C"/>
          <w:sz w:val="21"/>
          <w:szCs w:val="21"/>
        </w:rPr>
        <w:t xml:space="preserve">    ⟨u, v⟩_L  =  −u_0 v_0 + Σ_{i=1}^n u_i v_i</w:t>
      </w:r>
      <w:r>
        <w:rPr>
          <w:rFonts w:ascii="Arial" w:cs="Arial" w:eastAsia="Arial" w:hAnsi="Arial"/>
          <w:color w:val="888888"/>
          <w:sz w:val="19"/>
          <w:szCs w:val="19"/>
        </w:rPr>
        <w:t xml:space="preserve">   (9)</w:t>
      </w:r>
    </w:p>
    <w:p>
      <w:pPr>
        <w:spacing w:line="160" w:after="120"/>
        <w:jc w:val="both"/>
      </w:pPr>
      <w:r>
        <w:rPr>
          <w:rFonts w:ascii="Times New Roman" w:cs="Times New Roman" w:eastAsia="Times New Roman" w:hAnsi="Times New Roman"/>
          <w:b w:val="false"/>
          <w:bCs w:val="false"/>
          <w:color w:val="000000"/>
          <w:sz w:val="22"/>
          <w:szCs w:val="22"/>
        </w:rPr>
        <w:t xml:space="preserve">and the geodesic distance between two points on the manifold is:</w:t>
      </w:r>
    </w:p>
    <w:p>
      <w:pPr>
        <w:shd w:fill="F4F6FA" w:val="clear"/>
        <w:spacing w:before="140" w:after="140" w:line="300"/>
        <w:jc w:val="center"/>
      </w:pPr>
      <w:r>
        <w:rPr>
          <w:rFonts w:ascii="Cambria Math" w:cs="Cambria Math" w:eastAsia="Cambria Math" w:hAnsi="Cambria Math"/>
          <w:color w:val="2A3A5C"/>
          <w:sz w:val="21"/>
          <w:szCs w:val="21"/>
        </w:rPr>
        <w:t xml:space="preserve">    d_L(u, v)  =  arcosh(−⟨u, v⟩_L)</w:t>
      </w:r>
      <w:r>
        <w:rPr>
          <w:rFonts w:ascii="Arial" w:cs="Arial" w:eastAsia="Arial" w:hAnsi="Arial"/>
          <w:color w:val="888888"/>
          <w:sz w:val="19"/>
          <w:szCs w:val="19"/>
        </w:rPr>
        <w:t xml:space="preserve">   (10)</w:t>
      </w:r>
    </w:p>
    <w:p>
      <w:pPr>
        <w:spacing w:line="160" w:after="120"/>
        <w:jc w:val="both"/>
      </w:pPr>
      <w:r>
        <w:rPr>
          <w:rFonts w:ascii="Times New Roman" w:cs="Times New Roman" w:eastAsia="Times New Roman" w:hAnsi="Times New Roman"/>
          <w:b w:val="false"/>
          <w:bCs w:val="false"/>
          <w:color w:val="000000"/>
          <w:sz w:val="22"/>
          <w:szCs w:val="22"/>
        </w:rPr>
        <w:t xml:space="preserve">A crucial geometric property emerges automatically during training: the Lorentz norm ‖z‖_L encodes hierarchical depth. Entities that contain others (districts containing streets) converge toward lower norm (closer to the origin). Fine-grained leaf entities (individual building facades) converge near the manifold boundary at higher norm. This depth-norm correspondence is not explicitly supervised — it emerges purely from the co-visibility constraints embedded in the layout loss.</w:t>
      </w:r>
    </w:p>
    <w:p>
      <w:pPr>
        <w:pStyle w:val="Heading3"/>
        <w:spacing w:before="200" w:after="100"/>
      </w:pPr>
      <w:r>
        <w:rPr>
          <w:rFonts w:ascii="Arial" w:cs="Arial" w:eastAsia="Arial" w:hAnsi="Arial"/>
          <w:b/>
          <w:bCs/>
          <w:color w:val="1A2F5E"/>
          <w:sz w:val="23"/>
          <w:szCs w:val="23"/>
        </w:rPr>
        <w:t xml:space="preserve">3.3.3  Node Creation and Graph Construction</w:t>
      </w:r>
    </w:p>
    <w:p>
      <w:pPr>
        <w:spacing w:line="160" w:after="120"/>
        <w:jc w:val="both"/>
      </w:pPr>
      <w:r>
        <w:rPr>
          <w:rFonts w:ascii="Times New Roman" w:cs="Times New Roman" w:eastAsia="Times New Roman" w:hAnsi="Times New Roman"/>
          <w:b w:val="false"/>
          <w:bCs w:val="false"/>
          <w:color w:val="000000"/>
          <w:sz w:val="22"/>
          <w:szCs w:val="22"/>
        </w:rPr>
        <w:t xml:space="preserve">Entity nodes: The EDN produces N entity feature vectors f_i ∈ ℝ^{1024}. A two-layer projection MLP φ: ℝ^{1024} → ℝ^n reduces these to tangent space vectors v_i = φ(f_i). The exponential map at the origin o = (1, 0, …, 0) projects them onto H^n:</w:t>
      </w:r>
    </w:p>
    <w:p>
      <w:pPr>
        <w:shd w:fill="F4F6FA" w:val="clear"/>
        <w:spacing w:before="140" w:after="140" w:line="300"/>
        <w:jc w:val="center"/>
      </w:pPr>
      <w:r>
        <w:rPr>
          <w:rFonts w:ascii="Cambria Math" w:cs="Cambria Math" w:eastAsia="Cambria Math" w:hAnsi="Cambria Math"/>
          <w:color w:val="2A3A5C"/>
          <w:sz w:val="21"/>
          <w:szCs w:val="21"/>
        </w:rPr>
        <w:t xml:space="preserve">    z_i  =  exp_o(v_i)  =  cosh(‖v_i‖)·o  +  sinh(‖v_i‖)·(ṽ_i / ‖v_i‖)</w:t>
      </w:r>
      <w:r>
        <w:rPr>
          <w:rFonts w:ascii="Arial" w:cs="Arial" w:eastAsia="Arial" w:hAnsi="Arial"/>
          <w:color w:val="888888"/>
          <w:sz w:val="19"/>
          <w:szCs w:val="19"/>
        </w:rPr>
        <w:t xml:space="preserve">   (11)</w:t>
      </w:r>
    </w:p>
    <w:p>
      <w:pPr>
        <w:spacing w:line="160" w:after="120"/>
        <w:jc w:val="both"/>
      </w:pPr>
      <w:r>
        <w:rPr>
          <w:rFonts w:ascii="Times New Roman" w:cs="Times New Roman" w:eastAsia="Times New Roman" w:hAnsi="Times New Roman"/>
          <w:b w:val="false"/>
          <w:bCs w:val="false"/>
          <w:color w:val="000000"/>
          <w:sz w:val="22"/>
          <w:szCs w:val="22"/>
        </w:rPr>
        <w:t xml:space="preserve">where ṽ_i = (0, v_{i,1}, …, v_{i,n}) is zero-padded. The result z_i is guaranteed to lie on H^n by the identity cosh²(r) − sinh²(r) = 1.</w:t>
      </w:r>
    </w:p>
    <w:p>
      <w:pPr>
        <w:spacing w:line="160" w:after="120"/>
        <w:jc w:val="both"/>
      </w:pPr>
      <w:r>
        <w:rPr>
          <w:rFonts w:ascii="Times New Roman" w:cs="Times New Roman" w:eastAsia="Times New Roman" w:hAnsi="Times New Roman"/>
          <w:b w:val="false"/>
          <w:bCs w:val="false"/>
          <w:color w:val="000000"/>
          <w:sz w:val="22"/>
          <w:szCs w:val="22"/>
        </w:rPr>
        <w:t xml:space="preserve">Camera nodes: For each image k, all DINOv2 patch tokens are mean-pooled to produce an image-level vector f_{cam}^{(k)} ∈ ℝ^{1024}. The same projection MLP and exponential map produce camera node positions z_{cam}^{(k)} ∈ H^n. Both entity and camera nodes now coexist in the same hyperbolic manifold, so the geometry of the graph immediately encodes spatial relationships between cameras and scene entities.</w:t>
      </w:r>
    </w:p>
    <w:p>
      <w:pPr>
        <w:spacing w:line="160" w:after="120"/>
        <w:jc w:val="both"/>
      </w:pPr>
      <w:r>
        <w:rPr>
          <w:rFonts w:ascii="Times New Roman" w:cs="Times New Roman" w:eastAsia="Times New Roman" w:hAnsi="Times New Roman"/>
          <w:b w:val="false"/>
          <w:bCs w:val="false"/>
          <w:color w:val="000000"/>
          <w:sz w:val="22"/>
          <w:szCs w:val="22"/>
        </w:rPr>
        <w:t xml:space="preserve">Three types of edges are constructed:</w:t>
      </w:r>
    </w:p>
    <w:p>
      <w:pPr>
        <w:spacing w:line="160" w:after="120"/>
        <w:jc w:val="both"/>
      </w:pPr>
      <w:r>
        <w:rPr>
          <w:rFonts w:ascii="Times New Roman" w:cs="Times New Roman" w:eastAsia="Times New Roman" w:hAnsi="Times New Roman"/>
          <w:b w:val="false"/>
          <w:bCs w:val="false"/>
          <w:color w:val="000000"/>
          <w:sz w:val="22"/>
          <w:szCs w:val="22"/>
        </w:rPr>
        <w:t xml:space="preserve">Entity-Entity co-visibility edges: entity i and entity j receive an edge weighted by the fraction of images in which both entities are simultaneously visible. High weight = they are in the same neighborhood and should be nearby in the scene graph.</w:t>
      </w:r>
    </w:p>
    <w:p>
      <w:pPr>
        <w:spacing w:line="160" w:after="120"/>
        <w:jc w:val="both"/>
      </w:pPr>
      <w:r>
        <w:rPr>
          <w:rFonts w:ascii="Times New Roman" w:cs="Times New Roman" w:eastAsia="Times New Roman" w:hAnsi="Times New Roman"/>
          <w:b w:val="false"/>
          <w:bCs w:val="false"/>
          <w:color w:val="000000"/>
          <w:sz w:val="22"/>
          <w:szCs w:val="22"/>
        </w:rPr>
        <w:t xml:space="preserve">Camera-Entity observation edges: camera k and entity i receive an edge weighted by the average mask area of entity i in image k. High weight = camera k had a clear, central view of entity i.</w:t>
      </w:r>
    </w:p>
    <w:p>
      <w:pPr>
        <w:spacing w:line="160" w:after="120"/>
        <w:jc w:val="both"/>
      </w:pPr>
      <w:r>
        <w:rPr>
          <w:rFonts w:ascii="Times New Roman" w:cs="Times New Roman" w:eastAsia="Times New Roman" w:hAnsi="Times New Roman"/>
          <w:b w:val="false"/>
          <w:bCs w:val="false"/>
          <w:color w:val="000000"/>
          <w:sz w:val="22"/>
          <w:szCs w:val="22"/>
        </w:rPr>
        <w:t xml:space="preserve">Hierarchy edges: directed from lower-norm (coarser) entities to higher-norm (finer) entities satisfying spatial containment in their visibility masks. These edges form the LoD tree.</w:t>
      </w:r>
    </w:p>
    <w:p>
      <w:pPr>
        <w:pStyle w:val="Heading3"/>
        <w:spacing w:before="200" w:after="100"/>
      </w:pPr>
      <w:r>
        <w:rPr>
          <w:rFonts w:ascii="Arial" w:cs="Arial" w:eastAsia="Arial" w:hAnsi="Arial"/>
          <w:b/>
          <w:bCs/>
          <w:color w:val="1A2F5E"/>
          <w:sz w:val="23"/>
          <w:szCs w:val="23"/>
        </w:rPr>
        <w:t xml:space="preserve">3.3.4  Hyperbolic GNN Message Passing</w:t>
      </w:r>
    </w:p>
    <w:p>
      <w:pPr>
        <w:spacing w:line="160" w:after="120"/>
        <w:jc w:val="both"/>
      </w:pPr>
      <w:r>
        <w:rPr>
          <w:rFonts w:ascii="Times New Roman" w:cs="Times New Roman" w:eastAsia="Times New Roman" w:hAnsi="Times New Roman"/>
          <w:b w:val="false"/>
          <w:bCs w:val="false"/>
          <w:color w:val="000000"/>
          <w:sz w:val="22"/>
          <w:szCs w:val="22"/>
        </w:rPr>
        <w:t xml:space="preserve">The HGNN performs L = 6 rounds of message passing entirely in Lorentz manifold space. The neighbor aggregation uses the Einstein midpoint, which is the mathematically correct Fréchet mean for the Lorentz model:</w:t>
      </w:r>
    </w:p>
    <w:p>
      <w:pPr>
        <w:shd w:fill="F4F6FA" w:val="clear"/>
        <w:spacing w:before="140" w:after="140" w:line="300"/>
        <w:jc w:val="center"/>
      </w:pPr>
      <w:r>
        <w:rPr>
          <w:rFonts w:ascii="Cambria Math" w:cs="Cambria Math" w:eastAsia="Cambria Math" w:hAnsi="Cambria Math"/>
          <w:color w:val="2A3A5C"/>
          <w:sz w:val="21"/>
          <w:szCs w:val="21"/>
        </w:rPr>
        <w:t xml:space="preserve">    ĥ_i^{(l)}  =  normalize( Σ_{j∈N(i)} w_{ij} · γ_j · h_j^{(l)} )</w:t>
      </w:r>
      <w:r>
        <w:rPr>
          <w:rFonts w:ascii="Arial" w:cs="Arial" w:eastAsia="Arial" w:hAnsi="Arial"/>
          <w:color w:val="888888"/>
          <w:sz w:val="19"/>
          <w:szCs w:val="19"/>
        </w:rPr>
        <w:t xml:space="preserve">   (12)</w:t>
      </w:r>
    </w:p>
    <w:p>
      <w:pPr>
        <w:spacing w:line="160" w:after="120"/>
        <w:jc w:val="both"/>
      </w:pPr>
      <w:r>
        <w:rPr>
          <w:rFonts w:ascii="Times New Roman" w:cs="Times New Roman" w:eastAsia="Times New Roman" w:hAnsi="Times New Roman"/>
          <w:b w:val="false"/>
          <w:bCs w:val="false"/>
          <w:color w:val="000000"/>
          <w:sz w:val="22"/>
          <w:szCs w:val="22"/>
        </w:rPr>
        <w:t xml:space="preserve">where γ_j = (1 − ‖h_j^{(l)}‖²)^{−1/2} is the Lorentz factor. Points deeper in the hierarchy (larger norm, closer to the manifold boundary) have larger Lorentz factors and therefore contribute more strongly to the aggregated representation. This automatically upweights fine-grained entities when aggregating from detailed neighborhoods — a desirable inductive bias for urban scene structure.</w:t>
      </w:r>
    </w:p>
    <w:p>
      <w:pPr>
        <w:spacing w:line="160" w:after="120"/>
        <w:jc w:val="both"/>
      </w:pPr>
      <w:r>
        <w:rPr>
          <w:rFonts w:ascii="Times New Roman" w:cs="Times New Roman" w:eastAsia="Times New Roman" w:hAnsi="Times New Roman"/>
          <w:b w:val="false"/>
          <w:bCs w:val="false"/>
          <w:color w:val="000000"/>
          <w:sz w:val="22"/>
          <w:szCs w:val="22"/>
        </w:rPr>
        <w:t xml:space="preserve">Linear transformations are applied in the tangent space with manifold projection:</w:t>
      </w:r>
    </w:p>
    <w:p>
      <w:pPr>
        <w:shd w:fill="F4F6FA" w:val="clear"/>
        <w:spacing w:before="140" w:after="140" w:line="300"/>
        <w:jc w:val="center"/>
      </w:pPr>
      <w:r>
        <w:rPr>
          <w:rFonts w:ascii="Cambria Math" w:cs="Cambria Math" w:eastAsia="Cambria Math" w:hAnsi="Cambria Math"/>
          <w:color w:val="2A3A5C"/>
          <w:sz w:val="21"/>
          <w:szCs w:val="21"/>
        </w:rPr>
        <w:t xml:space="preserve">    h_i^{(l+1)}  =  exp_o( W^{(l)} · log_o(ĥ_i^{(l)}) + b^{(l)} )</w:t>
      </w:r>
      <w:r>
        <w:rPr>
          <w:rFonts w:ascii="Arial" w:cs="Arial" w:eastAsia="Arial" w:hAnsi="Arial"/>
          <w:color w:val="888888"/>
          <w:sz w:val="19"/>
          <w:szCs w:val="19"/>
        </w:rPr>
        <w:t xml:space="preserve">   (13)</w:t>
      </w:r>
    </w:p>
    <w:p>
      <w:pPr>
        <w:spacing w:line="160" w:after="120"/>
        <w:jc w:val="both"/>
      </w:pPr>
      <w:r>
        <w:rPr>
          <w:rFonts w:ascii="Times New Roman" w:cs="Times New Roman" w:eastAsia="Times New Roman" w:hAnsi="Times New Roman"/>
          <w:b w:val="false"/>
          <w:bCs w:val="false"/>
          <w:color w:val="000000"/>
          <w:sz w:val="22"/>
          <w:szCs w:val="22"/>
        </w:rPr>
        <w:t xml:space="preserve">The logarithmic map log_o pulls the hyperbolic point back to the Euclidean tangent space. A standard learnable linear layer W^{(l)} ∈ ℝ^{n×n} with bias b^{(l)} is applied. The exponential map exp_o pushes the result back onto the manifold. Both maps are fully differentiable, so standard backpropagation works without modification. The HGNN is implemented using the geoopt library, which provides exp_o, log_o, hyperbolic distance, and Riemannian Adam (gradient projection onto the Lorentz manifold after each optimization step) as differentiable PyTorch operations.</w:t>
      </w:r>
    </w:p>
    <w:p>
      <w:pPr>
        <w:pStyle w:val="Heading3"/>
        <w:spacing w:before="200" w:after="100"/>
      </w:pPr>
      <w:r>
        <w:rPr>
          <w:rFonts w:ascii="Arial" w:cs="Arial" w:eastAsia="Arial" w:hAnsi="Arial"/>
          <w:b/>
          <w:bCs/>
          <w:color w:val="1A2F5E"/>
          <w:sz w:val="23"/>
          <w:szCs w:val="23"/>
        </w:rPr>
        <w:t xml:space="preserve">3.3.5  Contrastive Layout Loss</w:t>
      </w:r>
    </w:p>
    <w:p>
      <w:pPr>
        <w:spacing w:line="160" w:after="120"/>
        <w:jc w:val="both"/>
      </w:pPr>
      <w:r>
        <w:rPr>
          <w:rFonts w:ascii="Times New Roman" w:cs="Times New Roman" w:eastAsia="Times New Roman" w:hAnsi="Times New Roman"/>
          <w:b w:val="false"/>
          <w:bCs w:val="false"/>
          <w:color w:val="000000"/>
          <w:sz w:val="22"/>
          <w:szCs w:val="22"/>
        </w:rPr>
        <w:t xml:space="preserve">The HGNN is trained by minimizing the contrastive hyperbolic layout loss:</w:t>
      </w:r>
    </w:p>
    <w:p>
      <w:pPr>
        <w:shd w:fill="F4F6FA" w:val="clear"/>
        <w:spacing w:before="140" w:after="140" w:line="300"/>
        <w:jc w:val="center"/>
      </w:pPr>
      <w:r>
        <w:rPr>
          <w:rFonts w:ascii="Cambria Math" w:cs="Cambria Math" w:eastAsia="Cambria Math" w:hAnsi="Cambria Math"/>
          <w:color w:val="2A3A5C"/>
          <w:sz w:val="21"/>
          <w:szCs w:val="21"/>
        </w:rPr>
        <w:t xml:space="preserve">    L_layout  =  Σ_{(i,j)∈E+} d_L(z_i, z_j)  −  λ · Σ_{(i,j)∈E−} log σ(d_L(z_i, z_j))</w:t>
      </w:r>
      <w:r>
        <w:rPr>
          <w:rFonts w:ascii="Arial" w:cs="Arial" w:eastAsia="Arial" w:hAnsi="Arial"/>
          <w:color w:val="888888"/>
          <w:sz w:val="19"/>
          <w:szCs w:val="19"/>
        </w:rPr>
        <w:t xml:space="preserve">   (14)</w:t>
      </w:r>
    </w:p>
    <w:p>
      <w:pPr>
        <w:spacing w:line="160" w:after="120"/>
        <w:jc w:val="both"/>
      </w:pPr>
      <w:r>
        <w:rPr>
          <w:rFonts w:ascii="Times New Roman" w:cs="Times New Roman" w:eastAsia="Times New Roman" w:hAnsi="Times New Roman"/>
          <w:b w:val="false"/>
          <w:bCs w:val="false"/>
          <w:color w:val="000000"/>
          <w:sz w:val="22"/>
          <w:szCs w:val="22"/>
        </w:rPr>
        <w:t xml:space="preserve">The first term minimizes hyperbolic distance between connected nodes — camera-entity observation pairs and co-visible entity pairs should be geometrically close. The second term uses the log-sigmoid of distances for negative pairs — camera-entity pairs where the entity was not visible should be far apart. The λ parameter (typically λ ≈ 0.1) balances the pull-together and push-apart forces to prevent the trivial collapse solution.</w:t>
      </w:r>
    </w:p>
    <w:p>
      <w:pPr>
        <w:spacing w:line="160" w:after="120"/>
        <w:jc w:val="both"/>
      </w:pPr>
      <w:r>
        <w:rPr>
          <w:rFonts w:ascii="Times New Roman" w:cs="Times New Roman" w:eastAsia="Times New Roman" w:hAnsi="Times New Roman"/>
          <w:b w:val="false"/>
          <w:bCs w:val="false"/>
          <w:color w:val="000000"/>
          <w:sz w:val="22"/>
          <w:szCs w:val="22"/>
        </w:rPr>
        <w:t xml:space="preserve">After convergence, camera nodes that saw the same building are geometrically close to that building's entity node in hyperbolic space. Camera nodes that were physically nearby in 3D space will be geometrically nearby in the graph.</w:t>
      </w:r>
    </w:p>
    <w:p>
      <w:pPr>
        <w:pStyle w:val="Heading3"/>
        <w:spacing w:before="200" w:after="100"/>
      </w:pPr>
      <w:r>
        <w:rPr>
          <w:rFonts w:ascii="Arial" w:cs="Arial" w:eastAsia="Arial" w:hAnsi="Arial"/>
          <w:b/>
          <w:bCs/>
          <w:color w:val="1A2F5E"/>
          <w:sz w:val="23"/>
          <w:szCs w:val="23"/>
        </w:rPr>
        <w:t xml:space="preserve">3.3.6  Camera Pose Decoding</w:t>
      </w:r>
    </w:p>
    <w:p>
      <w:pPr>
        <w:spacing w:line="160" w:after="120"/>
        <w:jc w:val="both"/>
      </w:pPr>
      <w:r>
        <w:rPr>
          <w:rFonts w:ascii="Times New Roman" w:cs="Times New Roman" w:eastAsia="Times New Roman" w:hAnsi="Times New Roman"/>
          <w:b w:val="false"/>
          <w:bCs w:val="false"/>
          <w:color w:val="000000"/>
          <w:sz w:val="22"/>
          <w:szCs w:val="22"/>
        </w:rPr>
        <w:t xml:space="preserve">A lightweight pose decoder MLP maps from camera node positions to explicit SE(3) pose parameters:</w:t>
      </w:r>
    </w:p>
    <w:p>
      <w:pPr>
        <w:shd w:fill="F4F6FA" w:val="clear"/>
        <w:spacing w:before="140" w:after="140" w:line="300"/>
        <w:jc w:val="center"/>
      </w:pPr>
      <w:r>
        <w:rPr>
          <w:rFonts w:ascii="Cambria Math" w:cs="Cambria Math" w:eastAsia="Cambria Math" w:hAnsi="Cambria Math"/>
          <w:color w:val="2A3A5C"/>
          <w:sz w:val="21"/>
          <w:szCs w:val="21"/>
        </w:rPr>
        <w:t xml:space="preserve">    [q_k, t_k]  =  MLP_pose( log_o(z_{cam}^{(k)}) )</w:t>
      </w:r>
      <w:r>
        <w:rPr>
          <w:rFonts w:ascii="Arial" w:cs="Arial" w:eastAsia="Arial" w:hAnsi="Arial"/>
          <w:color w:val="888888"/>
          <w:sz w:val="19"/>
          <w:szCs w:val="19"/>
        </w:rPr>
        <w:t xml:space="preserve">   (15)</w:t>
      </w:r>
    </w:p>
    <w:p>
      <w:pPr>
        <w:spacing w:line="160" w:after="120"/>
        <w:jc w:val="both"/>
      </w:pPr>
      <w:r>
        <w:rPr>
          <w:rFonts w:ascii="Times New Roman" w:cs="Times New Roman" w:eastAsia="Times New Roman" w:hAnsi="Times New Roman"/>
          <w:b w:val="false"/>
          <w:bCs w:val="false"/>
          <w:color w:val="000000"/>
          <w:sz w:val="22"/>
          <w:szCs w:val="22"/>
        </w:rPr>
        <w:t xml:space="preserve">where q_k ∈ ℝ^4 is the rotation as a unit quaternion (constrained by ‖q_k‖ = 1 via L2 normalization) and t_k ∈ ℝ^3 is the translation vector. These initial pose estimates are subsequently refined end-to-end via the photometric loss in Phase 2, with gradients flowing from the rendered images back through the 3DGS rasterizer, through the world-to-local coordinate transforms, and into the pose decoder MLP. Camera poses are therefore continuously improving throughout training — fundamentally different from COLMAP, which computes poses once and fixes them.</w:t>
      </w:r>
    </w:p>
    <w:p>
      <w:pPr>
        <w:pStyle w:val="Heading2"/>
        <w:spacing w:before="280" w:after="140"/>
      </w:pPr>
      <w:r>
        <w:rPr>
          <w:rFonts w:ascii="Arial" w:cs="Arial" w:eastAsia="Arial" w:hAnsi="Arial"/>
          <w:b/>
          <w:bCs/>
          <w:color w:val="2E5FA3"/>
          <w:sz w:val="26"/>
          <w:szCs w:val="26"/>
        </w:rPr>
        <w:t xml:space="preserve">3.4  Per-Entity Prior-Adapted Gaussian Fields (PEPGF)</w:t>
      </w:r>
    </w:p>
    <w:p>
      <w:pPr>
        <w:pStyle w:val="Heading3"/>
        <w:spacing w:before="200" w:after="100"/>
      </w:pPr>
      <w:r>
        <w:rPr>
          <w:rFonts w:ascii="Arial" w:cs="Arial" w:eastAsia="Arial" w:hAnsi="Arial"/>
          <w:b/>
          <w:bCs/>
          <w:color w:val="1A2F5E"/>
          <w:sz w:val="23"/>
          <w:szCs w:val="23"/>
        </w:rPr>
        <w:t xml:space="preserve">3.4.1  3D Gaussian Splatting — Precise Definition</w:t>
      </w:r>
    </w:p>
    <w:p>
      <w:pPr>
        <w:spacing w:line="160" w:after="120"/>
        <w:jc w:val="both"/>
      </w:pPr>
      <w:r>
        <w:rPr>
          <w:rFonts w:ascii="Times New Roman" w:cs="Times New Roman" w:eastAsia="Times New Roman" w:hAnsi="Times New Roman"/>
          <w:b w:val="false"/>
          <w:bCs w:val="false"/>
          <w:color w:val="000000"/>
          <w:sz w:val="22"/>
          <w:szCs w:val="22"/>
        </w:rPr>
        <w:t xml:space="preserve">Before describing the PEPGF, it is necessary to define precisely what a 3DGS field is, since it serves as the foundational representation throughout SERAPH.</w:t>
      </w:r>
    </w:p>
    <w:p>
      <w:pPr>
        <w:spacing w:line="160" w:after="120"/>
        <w:jc w:val="both"/>
      </w:pPr>
      <w:r>
        <w:rPr>
          <w:rFonts w:ascii="Times New Roman" w:cs="Times New Roman" w:eastAsia="Times New Roman" w:hAnsi="Times New Roman"/>
          <w:b w:val="false"/>
          <w:bCs w:val="false"/>
          <w:color w:val="000000"/>
          <w:sz w:val="22"/>
          <w:szCs w:val="22"/>
        </w:rPr>
        <w:t xml:space="preserve">A 3DGS scene is a set of M Gaussian primitives {g_k}_{k=1}^M. Each primitive g_k has the following parameters:</w:t>
      </w:r>
    </w:p>
    <w:p>
      <w:pPr>
        <w:spacing w:line="160" w:after="120"/>
        <w:jc w:val="both"/>
      </w:pPr>
      <w:r>
        <w:rPr>
          <w:rFonts w:ascii="Times New Roman" w:cs="Times New Roman" w:eastAsia="Times New Roman" w:hAnsi="Times New Roman"/>
          <w:b w:val="false"/>
          <w:bCs w:val="false"/>
          <w:color w:val="000000"/>
          <w:sz w:val="22"/>
          <w:szCs w:val="22"/>
        </w:rPr>
        <w:t xml:space="preserve">Center μ_k ∈ ℝ^3: the 3D position of the Gaussian — the location of the volumetric blob.</w:t>
      </w:r>
    </w:p>
    <w:p>
      <w:pPr>
        <w:spacing w:line="160" w:after="120"/>
        <w:jc w:val="both"/>
      </w:pPr>
      <w:r>
        <w:rPr>
          <w:rFonts w:ascii="Times New Roman" w:cs="Times New Roman" w:eastAsia="Times New Roman" w:hAnsi="Times New Roman"/>
          <w:b w:val="false"/>
          <w:bCs w:val="false"/>
          <w:color w:val="000000"/>
          <w:sz w:val="22"/>
          <w:szCs w:val="22"/>
        </w:rPr>
        <w:t xml:space="preserve">Covariance Σ_k ∈ ℝ^{3×3}: the shape and orientation of the blob. Factored as Σ_k = R_k S_k S_k^T R_k^T where R_k ∈ SO(3) is a rotation (parameterized as a unit quaternion) and S_k = diag(s_x, s_y, s_z) with positive scale factors. This factorization guarantees Σ_k stays positive semi-definite.</w:t>
      </w:r>
    </w:p>
    <w:p>
      <w:pPr>
        <w:spacing w:line="160" w:after="120"/>
        <w:jc w:val="both"/>
      </w:pPr>
      <w:r>
        <w:rPr>
          <w:rFonts w:ascii="Times New Roman" w:cs="Times New Roman" w:eastAsia="Times New Roman" w:hAnsi="Times New Roman"/>
          <w:b w:val="false"/>
          <w:bCs w:val="false"/>
          <w:color w:val="000000"/>
          <w:sz w:val="22"/>
          <w:szCs w:val="22"/>
        </w:rPr>
        <w:t xml:space="preserve">Opacity α_k ∈ (0,1): stored as a pre-sigmoid logit. How solid this blob is.</w:t>
      </w:r>
    </w:p>
    <w:p>
      <w:pPr>
        <w:spacing w:line="160" w:after="120"/>
        <w:jc w:val="both"/>
      </w:pPr>
      <w:r>
        <w:rPr>
          <w:rFonts w:ascii="Times New Roman" w:cs="Times New Roman" w:eastAsia="Times New Roman" w:hAnsi="Times New Roman"/>
          <w:b w:val="false"/>
          <w:bCs w:val="false"/>
          <w:color w:val="000000"/>
          <w:sz w:val="22"/>
          <w:szCs w:val="22"/>
        </w:rPr>
        <w:t xml:space="preserve">Spherical harmonic coefficients sh_k ∈ ℝ^{(l_max+1)² × 3}: encode view-dependent color. For degree-3 SH, there are 16 coefficients per RGB channel = 48 floats per Gaussian. The color of Gaussian k viewed from direction d is c_k(d) = Σ_{l,m} sh_k^{lm} · Y_l^m(d), where Y_l^m are real spherical harmonic basis functions.</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The contribution of Gaussian k to the density at any 3D point x is:</w:t>
      </w:r>
    </w:p>
    <w:p>
      <w:pPr>
        <w:shd w:fill="F4F6FA" w:val="clear"/>
        <w:spacing w:before="140" w:after="140" w:line="300"/>
        <w:jc w:val="center"/>
      </w:pPr>
      <w:r>
        <w:rPr>
          <w:rFonts w:ascii="Cambria Math" w:cs="Cambria Math" w:eastAsia="Cambria Math" w:hAnsi="Cambria Math"/>
          <w:color w:val="2A3A5C"/>
          <w:sz w:val="21"/>
          <w:szCs w:val="21"/>
        </w:rPr>
        <w:t xml:space="preserve">    G_k(x)  =  α_k · exp( −½ (x−μ_k)^T Σ_k^{−1} (x−μ_k) )</w:t>
      </w:r>
      <w:r>
        <w:rPr>
          <w:rFonts w:ascii="Arial" w:cs="Arial" w:eastAsia="Arial" w:hAnsi="Arial"/>
          <w:color w:val="888888"/>
          <w:sz w:val="19"/>
          <w:szCs w:val="19"/>
        </w:rPr>
        <w:t xml:space="preserve">   (16)</w:t>
      </w:r>
    </w:p>
    <w:p>
      <w:pPr>
        <w:spacing w:line="160" w:after="120"/>
        <w:jc w:val="both"/>
      </w:pPr>
      <w:r>
        <w:rPr>
          <w:rFonts w:ascii="Times New Roman" w:cs="Times New Roman" w:eastAsia="Times New Roman" w:hAnsi="Times New Roman"/>
          <w:b w:val="false"/>
          <w:bCs w:val="false"/>
          <w:color w:val="000000"/>
          <w:sz w:val="22"/>
          <w:szCs w:val="22"/>
        </w:rPr>
        <w:t xml:space="preserve">Rendering proceeds by projecting all Gaussians to 2D via the camera intrinsics and extrinsics, tiling the image into 16×16 tiles, sorting Gaussians within each tile by depth, and alpha-compositing front to back:</w:t>
      </w:r>
    </w:p>
    <w:p>
      <w:pPr>
        <w:shd w:fill="F4F6FA" w:val="clear"/>
        <w:spacing w:before="140" w:after="140" w:line="300"/>
        <w:jc w:val="center"/>
      </w:pPr>
      <w:r>
        <w:rPr>
          <w:rFonts w:ascii="Cambria Math" w:cs="Cambria Math" w:eastAsia="Cambria Math" w:hAnsi="Cambria Math"/>
          <w:color w:val="2A3A5C"/>
          <w:sz w:val="21"/>
          <w:szCs w:val="21"/>
        </w:rPr>
        <w:t xml:space="preserve">    C_pixel  =  Σ_{k=1}^{M_tile} c_k^{2D} · α_k^{2D} · Π_{j=1}^{k−1} (1 − α_j^{2D})</w:t>
      </w:r>
      <w:r>
        <w:rPr>
          <w:rFonts w:ascii="Arial" w:cs="Arial" w:eastAsia="Arial" w:hAnsi="Arial"/>
          <w:color w:val="888888"/>
          <w:sz w:val="19"/>
          <w:szCs w:val="19"/>
        </w:rPr>
        <w:t xml:space="preserve">   (17)</w:t>
      </w:r>
    </w:p>
    <w:p>
      <w:pPr>
        <w:spacing w:line="160" w:after="120"/>
        <w:jc w:val="both"/>
      </w:pPr>
      <w:r>
        <w:rPr>
          <w:rFonts w:ascii="Times New Roman" w:cs="Times New Roman" w:eastAsia="Times New Roman" w:hAnsi="Times New Roman"/>
          <w:b w:val="false"/>
          <w:bCs w:val="false"/>
          <w:color w:val="000000"/>
          <w:sz w:val="22"/>
          <w:szCs w:val="22"/>
        </w:rPr>
        <w:t xml:space="preserve">This tile-based rasterization is fast (30–200 FPS on modern GPUs) and fully differentiable, implemented via the gsplat library.</w:t>
      </w:r>
    </w:p>
    <w:p>
      <w:pPr>
        <w:pStyle w:val="Heading3"/>
        <w:spacing w:before="200" w:after="100"/>
      </w:pPr>
      <w:r>
        <w:rPr>
          <w:rFonts w:ascii="Arial" w:cs="Arial" w:eastAsia="Arial" w:hAnsi="Arial"/>
          <w:b/>
          <w:bCs/>
          <w:color w:val="1A2F5E"/>
          <w:sz w:val="23"/>
          <w:szCs w:val="23"/>
        </w:rPr>
        <w:t xml:space="preserve">3.4.2  Global Entity Prior (GEP)</w:t>
      </w:r>
    </w:p>
    <w:p>
      <w:pPr>
        <w:spacing w:line="160" w:after="120"/>
        <w:jc w:val="both"/>
      </w:pPr>
      <w:r>
        <w:rPr>
          <w:rFonts w:ascii="Times New Roman" w:cs="Times New Roman" w:eastAsia="Times New Roman" w:hAnsi="Times New Roman"/>
          <w:b w:val="false"/>
          <w:bCs w:val="false"/>
          <w:color w:val="000000"/>
          <w:sz w:val="22"/>
          <w:szCs w:val="22"/>
        </w:rPr>
        <w:t xml:space="preserve">The GEP is a class-conditional generative model of Gaussian fields, trained once offline and then frozen permanently. For each semantic class c ∈ {building, road, vegetation, sky, vehicle, other}, one GEP is trained. The GEP is a small conditional MLP that maps a canonical 3D position p and a style code s to Gaussian primitive parameters:</w:t>
      </w:r>
    </w:p>
    <w:p>
      <w:pPr>
        <w:shd w:fill="F4F6FA" w:val="clear"/>
        <w:spacing w:before="140" w:after="140" w:line="300"/>
        <w:jc w:val="center"/>
      </w:pPr>
      <w:r>
        <w:rPr>
          <w:rFonts w:ascii="Cambria Math" w:cs="Cambria Math" w:eastAsia="Cambria Math" w:hAnsi="Cambria Math"/>
          <w:color w:val="2A3A5C"/>
          <w:sz w:val="21"/>
          <w:szCs w:val="21"/>
        </w:rPr>
        <w:t xml:space="preserve">    (μ_out, Σ_out, α_out, sh_out)  =  MLP_GEP^{(c)}(p, s)</w:t>
      </w:r>
      <w:r>
        <w:rPr>
          <w:rFonts w:ascii="Arial" w:cs="Arial" w:eastAsia="Arial" w:hAnsi="Arial"/>
          <w:color w:val="888888"/>
          <w:sz w:val="19"/>
          <w:szCs w:val="19"/>
        </w:rPr>
        <w:t xml:space="preserve">   (18)</w:t>
      </w:r>
    </w:p>
    <w:p>
      <w:pPr>
        <w:spacing w:line="160" w:after="120"/>
        <w:jc w:val="both"/>
      </w:pPr>
      <w:r>
        <w:rPr>
          <w:rFonts w:ascii="Times New Roman" w:cs="Times New Roman" w:eastAsia="Times New Roman" w:hAnsi="Times New Roman"/>
          <w:b w:val="false"/>
          <w:bCs w:val="false"/>
          <w:color w:val="000000"/>
          <w:sz w:val="22"/>
          <w:szCs w:val="22"/>
        </w:rPr>
        <w:t xml:space="preserve">Each entity instance is normalized to a canonical coordinate frame — entity center at the origin, height normalized to 1, gravity direction = +y — before training, so the GEP is scale-invariant and can generalize across instances of vastly different sizes.</w:t>
      </w:r>
    </w:p>
    <w:p>
      <w:pPr>
        <w:spacing w:line="160" w:after="120"/>
        <w:jc w:val="both"/>
      </w:pPr>
      <w:r>
        <w:rPr>
          <w:rFonts w:ascii="Times New Roman" w:cs="Times New Roman" w:eastAsia="Times New Roman" w:hAnsi="Times New Roman"/>
          <w:b w:val="false"/>
          <w:bCs w:val="false"/>
          <w:color w:val="000000"/>
          <w:sz w:val="22"/>
          <w:szCs w:val="22"/>
        </w:rPr>
        <w:t xml:space="preserve">The style code s ∈ ℝ^{64} captures intra-class variation. Different building heights, materials, facade patterns, and window configurations all map to distinct regions of the 64-dimensional style space. An encoder network E^{(c)}: ℝ^{1024} → ℝ^{64} maps the EDN entity feature vector to the style space:</w:t>
      </w:r>
    </w:p>
    <w:p>
      <w:pPr>
        <w:shd w:fill="F4F6FA" w:val="clear"/>
        <w:spacing w:before="140" w:after="140" w:line="300"/>
        <w:jc w:val="center"/>
      </w:pPr>
      <w:r>
        <w:rPr>
          <w:rFonts w:ascii="Cambria Math" w:cs="Cambria Math" w:eastAsia="Cambria Math" w:hAnsi="Cambria Math"/>
          <w:color w:val="2A3A5C"/>
          <w:sz w:val="21"/>
          <w:szCs w:val="21"/>
        </w:rPr>
        <w:t xml:space="preserve">    s_i  =  E^{(c_i)}(f_i)</w:t>
      </w:r>
      <w:r>
        <w:rPr>
          <w:rFonts w:ascii="Arial" w:cs="Arial" w:eastAsia="Arial" w:hAnsi="Arial"/>
          <w:color w:val="888888"/>
          <w:sz w:val="19"/>
          <w:szCs w:val="19"/>
        </w:rPr>
        <w:t xml:space="preserve">   (19)</w:t>
      </w:r>
    </w:p>
    <w:p>
      <w:pPr>
        <w:spacing w:line="160" w:after="120"/>
        <w:jc w:val="both"/>
      </w:pPr>
      <w:r>
        <w:rPr>
          <w:rFonts w:ascii="Times New Roman" w:cs="Times New Roman" w:eastAsia="Times New Roman" w:hAnsi="Times New Roman"/>
          <w:b w:val="false"/>
          <w:bCs w:val="false"/>
          <w:color w:val="000000"/>
          <w:sz w:val="22"/>
          <w:szCs w:val="22"/>
        </w:rPr>
        <w:t xml:space="preserve">GEP training procedure: For each entity instance in the training data (50,000+ instances from Waymo, MatrixCity, KITTI, and aerial datasets), the instance is extracted using ground-truth segmentation masks, normalized to canonical coordinates, and a per-instance 3DGS field is optimized using standard photometric loss to produce a ground-truth Gaussian field. A per-instance style code s_i* is also optimized so that GEP(s_i*) reproduces that field. The GEP decoder and encoder are then trained jointly:</w:t>
      </w:r>
    </w:p>
    <w:p>
      <w:pPr>
        <w:shd w:fill="F4F6FA" w:val="clear"/>
        <w:spacing w:before="140" w:after="140" w:line="300"/>
        <w:jc w:val="center"/>
      </w:pPr>
      <w:r>
        <w:rPr>
          <w:rFonts w:ascii="Cambria Math" w:cs="Cambria Math" w:eastAsia="Cambria Math" w:hAnsi="Cambria Math"/>
          <w:color w:val="2A3A5C"/>
          <w:sz w:val="21"/>
          <w:szCs w:val="21"/>
        </w:rPr>
        <w:t xml:space="preserve">    L_GEP  =  L_photo( render(GEP(s_i*)), I_entity )  +  λ_style · ‖s_i* − E(f_i)‖²</w:t>
      </w:r>
      <w:r>
        <w:rPr>
          <w:rFonts w:ascii="Arial" w:cs="Arial" w:eastAsia="Arial" w:hAnsi="Arial"/>
          <w:color w:val="888888"/>
          <w:sz w:val="19"/>
          <w:szCs w:val="19"/>
        </w:rPr>
        <w:t xml:space="preserve">   (20)</w:t>
      </w:r>
    </w:p>
    <w:p>
      <w:pPr>
        <w:spacing w:line="160" w:after="120"/>
        <w:jc w:val="both"/>
      </w:pPr>
      <w:r>
        <w:rPr>
          <w:rFonts w:ascii="Times New Roman" w:cs="Times New Roman" w:eastAsia="Times New Roman" w:hAnsi="Times New Roman"/>
          <w:b w:val="false"/>
          <w:bCs w:val="false"/>
          <w:color w:val="000000"/>
          <w:sz w:val="22"/>
          <w:szCs w:val="22"/>
        </w:rPr>
        <w:t xml:space="preserve">The photometric term ensures the GEP can reconstruct entities accurately. The style consistency term ensures the encoder correctly predicts style codes from appearance features. After training, all GEP and encoder weights are frozen permanently — never updated for any subsequent locality.</w:t>
      </w:r>
    </w:p>
    <w:p>
      <w:pPr>
        <w:pStyle w:val="Heading3"/>
        <w:spacing w:before="200" w:after="100"/>
      </w:pPr>
      <w:r>
        <w:rPr>
          <w:rFonts w:ascii="Arial" w:cs="Arial" w:eastAsia="Arial" w:hAnsi="Arial"/>
          <w:b/>
          <w:bCs/>
          <w:color w:val="1A2F5E"/>
          <w:sz w:val="23"/>
          <w:szCs w:val="23"/>
        </w:rPr>
        <w:t xml:space="preserve">3.4.3  Local Residual Adapters (LRA)</w:t>
      </w:r>
    </w:p>
    <w:p>
      <w:pPr>
        <w:spacing w:line="160" w:after="120"/>
        <w:jc w:val="both"/>
      </w:pPr>
      <w:r>
        <w:rPr>
          <w:rFonts w:ascii="Times New Roman" w:cs="Times New Roman" w:eastAsia="Times New Roman" w:hAnsi="Times New Roman"/>
          <w:b w:val="false"/>
          <w:bCs w:val="false"/>
          <w:color w:val="000000"/>
          <w:sz w:val="22"/>
          <w:szCs w:val="22"/>
        </w:rPr>
        <w:t xml:space="preserve">This is the per-locality trainable component. For a new locality, each discovered entity i receives:</w:t>
      </w:r>
    </w:p>
    <w:p>
      <w:pPr>
        <w:spacing w:line="160" w:after="120"/>
        <w:jc w:val="both"/>
      </w:pPr>
      <w:r>
        <w:rPr>
          <w:rFonts w:ascii="Times New Roman" w:cs="Times New Roman" w:eastAsia="Times New Roman" w:hAnsi="Times New Roman"/>
          <w:b w:val="false"/>
          <w:bCs w:val="false"/>
          <w:color w:val="000000"/>
          <w:sz w:val="22"/>
          <w:szCs w:val="22"/>
        </w:rPr>
        <w:t xml:space="preserve">A style code s_i = E^{(c_i)}(f_i) from the frozen encoder.</w:t>
      </w:r>
    </w:p>
    <w:p>
      <w:pPr>
        <w:spacing w:line="160" w:after="120"/>
        <w:jc w:val="both"/>
      </w:pPr>
      <w:r>
        <w:rPr>
          <w:rFonts w:ascii="Times New Roman" w:cs="Times New Roman" w:eastAsia="Times New Roman" w:hAnsi="Times New Roman"/>
          <w:b w:val="false"/>
          <w:bCs w:val="false"/>
          <w:color w:val="000000"/>
          <w:sz w:val="22"/>
          <w:szCs w:val="22"/>
        </w:rPr>
        <w:t xml:space="preserve">A prior Gaussian field G_prior^{(c_i)}(·; s_i) from the frozen GEP decoder — the best estimate of what entity i looks like based on general prior knowledge.</w:t>
      </w:r>
    </w:p>
    <w:p>
      <w:pPr>
        <w:spacing w:line="160" w:after="120"/>
        <w:jc w:val="both"/>
      </w:pPr>
      <w:r>
        <w:rPr>
          <w:rFonts w:ascii="Times New Roman" w:cs="Times New Roman" w:eastAsia="Times New Roman" w:hAnsi="Times New Roman"/>
          <w:b w:val="false"/>
          <w:bCs w:val="false"/>
          <w:color w:val="000000"/>
          <w:sz w:val="22"/>
          <w:szCs w:val="22"/>
        </w:rPr>
        <w:t xml:space="preserve">A trainable Local Residual Adapter ΔG_i — a small 3DGS field initialized with near-zero opacities and random positions within the entity's bounding box.</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The full per-entity representation is their sum:</w:t>
      </w:r>
    </w:p>
    <w:p>
      <w:pPr>
        <w:shd w:fill="F4F6FA" w:val="clear"/>
        <w:spacing w:before="140" w:after="140" w:line="300"/>
        <w:jc w:val="center"/>
      </w:pPr>
      <w:r>
        <w:rPr>
          <w:rFonts w:ascii="Cambria Math" w:cs="Cambria Math" w:eastAsia="Cambria Math" w:hAnsi="Cambria Math"/>
          <w:color w:val="2A3A5C"/>
          <w:sz w:val="21"/>
          <w:szCs w:val="21"/>
        </w:rPr>
        <w:t xml:space="preserve">    G_i(x)  =  G_prior^{(c_i)}(x; s_i)  +  ΔG_i(x)</w:t>
      </w:r>
      <w:r>
        <w:rPr>
          <w:rFonts w:ascii="Arial" w:cs="Arial" w:eastAsia="Arial" w:hAnsi="Arial"/>
          <w:color w:val="888888"/>
          <w:sz w:val="19"/>
          <w:szCs w:val="19"/>
        </w:rPr>
        <w:t xml:space="preserve">   (21)</w:t>
      </w:r>
    </w:p>
    <w:p>
      <w:pPr>
        <w:spacing w:line="160" w:after="120"/>
        <w:jc w:val="both"/>
      </w:pPr>
      <w:r>
        <w:rPr>
          <w:rFonts w:ascii="Times New Roman" w:cs="Times New Roman" w:eastAsia="Times New Roman" w:hAnsi="Times New Roman"/>
          <w:b w:val="false"/>
          <w:bCs w:val="false"/>
          <w:color w:val="000000"/>
          <w:sz w:val="22"/>
          <w:szCs w:val="22"/>
        </w:rPr>
        <w:t xml:space="preserve">In implementation, the prior produces a set of Gaussian primitives with frozen parameters, and the adapter produces a separate set with trainable parameters. Both sets are concatenated and rendered together by the 3DGS rasterizer. The prior Gaussians have fixed μ, Σ, α, sh — they cannot be modified by any gradient. The adapter Gaussians are fully trainable.</w:t>
      </w:r>
    </w:p>
    <w:p>
      <w:pPr>
        <w:spacing w:line="160" w:after="120"/>
        <w:jc w:val="both"/>
      </w:pPr>
      <w:r>
        <w:rPr>
          <w:rFonts w:ascii="Times New Roman" w:cs="Times New Roman" w:eastAsia="Times New Roman" w:hAnsi="Times New Roman"/>
          <w:b w:val="false"/>
          <w:bCs w:val="false"/>
          <w:color w:val="000000"/>
          <w:sz w:val="22"/>
          <w:szCs w:val="22"/>
        </w:rPr>
        <w:t xml:space="preserve">This design is directly motivated by Low-Rank Adaptation (LoRA) for language model fine-tuning. Rather than optimizing all parameters of a large model for each new task, a small trainable delta is added on top of a frozen high-capacity prior. The adapter only needs to capture: the entity's specific color and texture, exact geometric deviations from the prior (unusual protrusions, unusual rooftop structures), and fine-grained details (specific window shapes, balconies, signage). The prior already handles: approximate vertical structure, approximate dimensions, general window pattern, and approximate material reflectance. The adapter's optimization problem is therefore dramatically easier and converges in a fraction of the time.</w:t>
      </w:r>
    </w:p>
    <w:p>
      <w:pPr>
        <w:spacing w:line="160" w:after="120"/>
        <w:jc w:val="both"/>
      </w:pPr>
      <w:r>
        <w:rPr>
          <w:rFonts w:ascii="Times New Roman" w:cs="Times New Roman" w:eastAsia="Times New Roman" w:hAnsi="Times New Roman"/>
          <w:b w:val="false"/>
          <w:bCs w:val="false"/>
          <w:color w:val="000000"/>
          <w:sz w:val="22"/>
          <w:szCs w:val="22"/>
        </w:rPr>
        <w:t xml:space="preserve">The prior regularization loss ‖ΔG_i‖² prevents adapter Gaussians from growing large enough to override the frozen prior, enforcing that adapters capture genuine residuals rather than redundant prior information.</w:t>
      </w:r>
    </w:p>
    <w:p>
      <w:pPr>
        <w:spacing w:line="160" w:after="120"/>
        <w:jc w:val="both"/>
      </w:pPr>
      <w:r>
        <w:rPr>
          <w:rFonts w:ascii="Times New Roman" w:cs="Times New Roman" w:eastAsia="Times New Roman" w:hAnsi="Times New Roman"/>
          <w:b w:val="false"/>
          <w:bCs w:val="false"/>
          <w:color w:val="000000"/>
          <w:sz w:val="22"/>
          <w:szCs w:val="22"/>
        </w:rPr>
        <w:t xml:space="preserve">For a locality with 350 entities, total trainable Gaussian count during Phase 2 is approximately 350 × 10,000 = 3.5 million Gaussian parameters — substantially fewer than a full single-building 3DGS reconstruction and trivially parallelizable across GPUs since entity adapters share no gradient during training. Each GPU trains N/4 entity adapters completely independently and synchronizes only during the GAT forward pass.</w:t>
      </w:r>
    </w:p>
    <w:p>
      <w:pPr>
        <w:pStyle w:val="Heading3"/>
        <w:spacing w:before="200" w:after="100"/>
      </w:pPr>
      <w:r>
        <w:rPr>
          <w:rFonts w:ascii="Arial" w:cs="Arial" w:eastAsia="Arial" w:hAnsi="Arial"/>
          <w:b/>
          <w:bCs/>
          <w:color w:val="1A2F5E"/>
          <w:sz w:val="23"/>
          <w:szCs w:val="23"/>
        </w:rPr>
        <w:t xml:space="preserve">3.4.4  World-Space Assembly</w:t>
      </w:r>
    </w:p>
    <w:p>
      <w:pPr>
        <w:spacing w:line="160" w:after="120"/>
        <w:jc w:val="both"/>
      </w:pPr>
      <w:r>
        <w:rPr>
          <w:rFonts w:ascii="Times New Roman" w:cs="Times New Roman" w:eastAsia="Times New Roman" w:hAnsi="Times New Roman"/>
          <w:b w:val="false"/>
          <w:bCs w:val="false"/>
          <w:color w:val="000000"/>
          <w:sz w:val="22"/>
          <w:szCs w:val="22"/>
        </w:rPr>
        <w:t xml:space="preserve">Each entity's Gaussians are defined in entity-local canonical coordinates. Assembly into world space uses the entity pose (R_i, t_i, s_i) derived from the HGNN decoder:</w:t>
      </w:r>
    </w:p>
    <w:p>
      <w:pPr>
        <w:shd w:fill="F4F6FA" w:val="clear"/>
        <w:spacing w:before="140" w:after="140" w:line="300"/>
        <w:jc w:val="center"/>
      </w:pPr>
      <w:r>
        <w:rPr>
          <w:rFonts w:ascii="Cambria Math" w:cs="Cambria Math" w:eastAsia="Cambria Math" w:hAnsi="Cambria Math"/>
          <w:color w:val="2A3A5C"/>
          <w:sz w:val="21"/>
          <w:szCs w:val="21"/>
        </w:rPr>
        <w:t xml:space="preserve">    μ_k^{world}  =  s_i R_i μ_k^{local} + t_i</w:t>
      </w:r>
      <w:r>
        <w:rPr>
          <w:rFonts w:ascii="Arial" w:cs="Arial" w:eastAsia="Arial" w:hAnsi="Arial"/>
          <w:color w:val="888888"/>
          <w:sz w:val="19"/>
          <w:szCs w:val="19"/>
        </w:rPr>
        <w:t xml:space="preserve">   (22)</w:t>
      </w:r>
    </w:p>
    <w:p>
      <w:pPr>
        <w:shd w:fill="F4F6FA" w:val="clear"/>
        <w:spacing w:before="140" w:after="140" w:line="300"/>
        <w:jc w:val="center"/>
      </w:pPr>
      <w:r>
        <w:rPr>
          <w:rFonts w:ascii="Cambria Math" w:cs="Cambria Math" w:eastAsia="Cambria Math" w:hAnsi="Cambria Math"/>
          <w:color w:val="2A3A5C"/>
          <w:sz w:val="21"/>
          <w:szCs w:val="21"/>
        </w:rPr>
        <w:t xml:space="preserve">    Σ_k^{world}  =  s_i² · R_i · Σ_k^{local} · R_i^T</w:t>
      </w:r>
      <w:r>
        <w:rPr>
          <w:rFonts w:ascii="Arial" w:cs="Arial" w:eastAsia="Arial" w:hAnsi="Arial"/>
          <w:color w:val="888888"/>
          <w:sz w:val="19"/>
          <w:szCs w:val="19"/>
        </w:rPr>
        <w:t xml:space="preserve">   (23)</w:t>
      </w:r>
    </w:p>
    <w:p>
      <w:pPr>
        <w:spacing w:line="160" w:after="120"/>
        <w:jc w:val="both"/>
      </w:pPr>
      <w:r>
        <w:rPr>
          <w:rFonts w:ascii="Times New Roman" w:cs="Times New Roman" w:eastAsia="Times New Roman" w:hAnsi="Times New Roman"/>
          <w:b w:val="false"/>
          <w:bCs w:val="false"/>
          <w:color w:val="000000"/>
          <w:sz w:val="22"/>
          <w:szCs w:val="22"/>
        </w:rPr>
        <w:t xml:space="preserve">The scalar s_i here is the entity's world-space scale (not the style code), also output by the HGNN pose decoder. This three-part pose (rotation, translation, scale) is differentiably refined throughout Phase 2 training.</w:t>
      </w:r>
    </w:p>
    <w:p>
      <w:pPr>
        <w:pStyle w:val="Heading2"/>
        <w:spacing w:before="280" w:after="140"/>
      </w:pPr>
      <w:r>
        <w:rPr>
          <w:rFonts w:ascii="Arial" w:cs="Arial" w:eastAsia="Arial" w:hAnsi="Arial"/>
          <w:b/>
          <w:bCs/>
          <w:color w:val="2E5FA3"/>
          <w:sz w:val="26"/>
          <w:szCs w:val="26"/>
        </w:rPr>
        <w:t xml:space="preserve">3.5  Global Assembly Transformer (GAT)</w:t>
      </w:r>
    </w:p>
    <w:p>
      <w:pPr>
        <w:pStyle w:val="Heading3"/>
        <w:spacing w:before="200" w:after="100"/>
      </w:pPr>
      <w:r>
        <w:rPr>
          <w:rFonts w:ascii="Arial" w:cs="Arial" w:eastAsia="Arial" w:hAnsi="Arial"/>
          <w:b/>
          <w:bCs/>
          <w:color w:val="1A2F5E"/>
          <w:sz w:val="23"/>
          <w:szCs w:val="23"/>
        </w:rPr>
        <w:t xml:space="preserve">3.5.1  Three Responsibilities</w:t>
      </w:r>
    </w:p>
    <w:p>
      <w:pPr>
        <w:spacing w:line="160" w:after="120"/>
        <w:jc w:val="both"/>
      </w:pPr>
      <w:r>
        <w:rPr>
          <w:rFonts w:ascii="Times New Roman" w:cs="Times New Roman" w:eastAsia="Times New Roman" w:hAnsi="Times New Roman"/>
          <w:b w:val="false"/>
          <w:bCs w:val="false"/>
          <w:color w:val="000000"/>
          <w:sz w:val="22"/>
          <w:szCs w:val="22"/>
        </w:rPr>
        <w:t xml:space="preserve">The GAT simultaneously handles three inter-related problems:</w:t>
      </w:r>
    </w:p>
    <w:p>
      <w:pPr>
        <w:spacing w:line="160" w:after="120"/>
        <w:jc w:val="both"/>
      </w:pPr>
      <w:r>
        <w:rPr>
          <w:rFonts w:ascii="Times New Roman" w:cs="Times New Roman" w:eastAsia="Times New Roman" w:hAnsi="Times New Roman"/>
          <w:b w:val="false"/>
          <w:bCs w:val="false"/>
          <w:color w:val="000000"/>
          <w:sz w:val="22"/>
          <w:szCs w:val="22"/>
        </w:rPr>
        <w:t xml:space="preserve">Determining, for any given viewpoint, which entities are relevant — out of potentially 350+ entities in the locality, only a small number are visible from any given camera position.</w:t>
      </w:r>
    </w:p>
    <w:p>
      <w:pPr>
        <w:spacing w:line="160" w:after="120"/>
        <w:jc w:val="both"/>
      </w:pPr>
      <w:r>
        <w:rPr>
          <w:rFonts w:ascii="Times New Roman" w:cs="Times New Roman" w:eastAsia="Times New Roman" w:hAnsi="Times New Roman"/>
          <w:b w:val="false"/>
          <w:bCs w:val="false"/>
          <w:color w:val="000000"/>
          <w:sz w:val="22"/>
          <w:szCs w:val="22"/>
        </w:rPr>
        <w:t xml:space="preserve">Handling the boundary between adjacent entities — where Building 7's facade meets Road Segment 3's surface, both entity fields contribute and must blend smoothly without seam artifacts.</w:t>
      </w:r>
    </w:p>
    <w:p>
      <w:pPr>
        <w:spacing w:line="160" w:after="120"/>
        <w:jc w:val="both"/>
      </w:pPr>
      <w:r>
        <w:rPr>
          <w:rFonts w:ascii="Times New Roman" w:cs="Times New Roman" w:eastAsia="Times New Roman" w:hAnsi="Times New Roman"/>
          <w:b w:val="false"/>
          <w:bCs w:val="false"/>
          <w:color w:val="000000"/>
          <w:sz w:val="22"/>
          <w:szCs w:val="22"/>
        </w:rPr>
        <w:t xml:space="preserve">Providing automatic Level-of-Detail — a camera 500 meters away should see district-level coarse structure; a camera 2 meters away should see facade-level fine detail.</w:t>
      </w:r>
    </w:p>
    <w:p>
      <w:pPr>
        <w:spacing w:line="160" w:after="120"/>
        <w:jc w:val="both"/>
      </w:pPr>
      <w:r>
        <w:rPr>
          <w:rFonts w:ascii="Times New Roman" w:cs="Times New Roman" w:eastAsia="Times New Roman" w:hAnsi="Times New Roman"/>
          <w:b w:val="false"/>
          <w:bCs w:val="false"/>
          <w:color w:val="000000"/>
          <w:sz w:val="22"/>
          <w:szCs w:val="22"/>
        </w:rPr>
        <w:t xml:space="preserve">All three are solved simultaneously by a single hyperbolic cross-entity attention mechanism.</w:t>
      </w:r>
    </w:p>
    <w:p>
      <w:pPr>
        <w:pStyle w:val="Heading3"/>
        <w:spacing w:before="200" w:after="100"/>
      </w:pPr>
      <w:r>
        <w:rPr>
          <w:rFonts w:ascii="Arial" w:cs="Arial" w:eastAsia="Arial" w:hAnsi="Arial"/>
          <w:b/>
          <w:bCs/>
          <w:color w:val="1A2F5E"/>
          <w:sz w:val="23"/>
          <w:szCs w:val="23"/>
        </w:rPr>
        <w:t xml:space="preserve">3.5.2  Query Construction and Hyperbolic Projection</w:t>
      </w:r>
    </w:p>
    <w:p>
      <w:pPr>
        <w:spacing w:line="160" w:after="120"/>
        <w:jc w:val="both"/>
      </w:pPr>
      <w:r>
        <w:rPr>
          <w:rFonts w:ascii="Times New Roman" w:cs="Times New Roman" w:eastAsia="Times New Roman" w:hAnsi="Times New Roman"/>
          <w:b w:val="false"/>
          <w:bCs w:val="false"/>
          <w:color w:val="000000"/>
          <w:sz w:val="22"/>
          <w:szCs w:val="22"/>
        </w:rPr>
        <w:t xml:space="preserve">For rendering from camera pose [R | t], points p_1, …, p_T are sampled along each ray (T = 64 sample points). For each sample point p, a query vector is constructed as:</w:t>
      </w:r>
    </w:p>
    <w:p>
      <w:pPr>
        <w:shd w:fill="F4F6FA" w:val="clear"/>
        <w:spacing w:before="140" w:after="140" w:line="300"/>
        <w:jc w:val="center"/>
      </w:pPr>
      <w:r>
        <w:rPr>
          <w:rFonts w:ascii="Cambria Math" w:cs="Cambria Math" w:eastAsia="Cambria Math" w:hAnsi="Cambria Math"/>
          <w:color w:val="2A3A5C"/>
          <w:sz w:val="21"/>
          <w:szCs w:val="21"/>
        </w:rPr>
        <w:t xml:space="preserve">    q  =  MLP_query([PE(p) || d || δ])  ∈  ℝ^n</w:t>
      </w:r>
      <w:r>
        <w:rPr>
          <w:rFonts w:ascii="Arial" w:cs="Arial" w:eastAsia="Arial" w:hAnsi="Arial"/>
          <w:color w:val="888888"/>
          <w:sz w:val="19"/>
          <w:szCs w:val="19"/>
        </w:rPr>
        <w:t xml:space="preserve">   (24)</w:t>
      </w:r>
    </w:p>
    <w:p>
      <w:pPr>
        <w:spacing w:line="160" w:after="120"/>
        <w:jc w:val="both"/>
      </w:pPr>
      <w:r>
        <w:rPr>
          <w:rFonts w:ascii="Times New Roman" w:cs="Times New Roman" w:eastAsia="Times New Roman" w:hAnsi="Times New Roman"/>
          <w:b w:val="false"/>
          <w:bCs w:val="false"/>
          <w:color w:val="000000"/>
          <w:sz w:val="22"/>
          <w:szCs w:val="22"/>
        </w:rPr>
        <w:t xml:space="preserve">where PE(p) is a sinusoidal multi-frequency positional encoding of the 3D position, d is the unit ray direction vector, and δ = ‖p − t‖ is the scalar distance from the camera origin to this sample point. The query is then projected onto the Lorentz manifold:</w:t>
      </w:r>
    </w:p>
    <w:p>
      <w:pPr>
        <w:shd w:fill="F4F6FA" w:val="clear"/>
        <w:spacing w:before="140" w:after="140" w:line="300"/>
        <w:jc w:val="center"/>
      </w:pPr>
      <w:r>
        <w:rPr>
          <w:rFonts w:ascii="Cambria Math" w:cs="Cambria Math" w:eastAsia="Cambria Math" w:hAnsi="Cambria Math"/>
          <w:color w:val="2A3A5C"/>
          <w:sz w:val="21"/>
          <w:szCs w:val="21"/>
        </w:rPr>
        <w:t xml:space="preserve">    q_hyp  =  exp_o(q)  ∈  H^n</w:t>
      </w:r>
      <w:r>
        <w:rPr>
          <w:rFonts w:ascii="Arial" w:cs="Arial" w:eastAsia="Arial" w:hAnsi="Arial"/>
          <w:color w:val="888888"/>
          <w:sz w:val="19"/>
          <w:szCs w:val="19"/>
        </w:rPr>
        <w:t xml:space="preserve">   (25)</w:t>
      </w:r>
    </w:p>
    <w:p>
      <w:pPr>
        <w:spacing w:line="160" w:after="120"/>
        <w:jc w:val="both"/>
      </w:pPr>
      <w:r>
        <w:rPr>
          <w:rFonts w:ascii="Times New Roman" w:cs="Times New Roman" w:eastAsia="Times New Roman" w:hAnsi="Times New Roman"/>
          <w:b w:val="false"/>
          <w:bCs w:val="false"/>
          <w:color w:val="000000"/>
          <w:sz w:val="22"/>
          <w:szCs w:val="22"/>
        </w:rPr>
        <w:t xml:space="preserve">The role of δ is fundamental to the automatic Level-of-Detail mechanism. A small δ means the camera is close to this sample point, examining nearby fine-detail structure. A small δ maps q to high hyperbolic norm — geometrically near the fine-grained leaf-level entity nodes which also converge to high norm during HGNN training. Therefore, attention concentrates on detailed local entities. A large δ means a distant viewpoint, maps q to low hyperbolic norm — near the coarse district-level entity nodes — and therefore concentrates attention on coarse structure. Level-of-Detail is a geometric property of hyperbolic attention, not a manually set parameter or threshold. It cannot be accidentally misconfigured.</w:t>
      </w:r>
    </w:p>
    <w:p>
      <w:pPr>
        <w:pStyle w:val="Heading3"/>
        <w:spacing w:before="200" w:after="100"/>
      </w:pPr>
      <w:r>
        <w:rPr>
          <w:rFonts w:ascii="Arial" w:cs="Arial" w:eastAsia="Arial" w:hAnsi="Arial"/>
          <w:b/>
          <w:bCs/>
          <w:color w:val="1A2F5E"/>
          <w:sz w:val="23"/>
          <w:szCs w:val="23"/>
        </w:rPr>
        <w:t xml:space="preserve">3.5.3  Cross-Entity Attention and Blending</w:t>
      </w:r>
    </w:p>
    <w:p>
      <w:pPr>
        <w:spacing w:line="160" w:after="120"/>
        <w:jc w:val="both"/>
      </w:pPr>
      <w:r>
        <w:rPr>
          <w:rFonts w:ascii="Times New Roman" w:cs="Times New Roman" w:eastAsia="Times New Roman" w:hAnsi="Times New Roman"/>
          <w:b w:val="false"/>
          <w:bCs w:val="false"/>
          <w:color w:val="000000"/>
          <w:sz w:val="22"/>
          <w:szCs w:val="22"/>
        </w:rPr>
        <w:t xml:space="preserve">Attention weights over all N entity nodes are computed using hyperbolic distance:</w:t>
      </w:r>
    </w:p>
    <w:p>
      <w:pPr>
        <w:shd w:fill="F4F6FA" w:val="clear"/>
        <w:spacing w:before="140" w:after="140" w:line="300"/>
        <w:jc w:val="center"/>
      </w:pPr>
      <w:r>
        <w:rPr>
          <w:rFonts w:ascii="Cambria Math" w:cs="Cambria Math" w:eastAsia="Cambria Math" w:hAnsi="Cambria Math"/>
          <w:color w:val="2A3A5C"/>
          <w:sz w:val="21"/>
          <w:szCs w:val="21"/>
        </w:rPr>
        <w:t xml:space="preserve">    α_i  =  exp(−d_L(q_hyp, z_i))  /  Σ_j exp(−d_L(q_hyp, z_j))</w:t>
      </w:r>
      <w:r>
        <w:rPr>
          <w:rFonts w:ascii="Arial" w:cs="Arial" w:eastAsia="Arial" w:hAnsi="Arial"/>
          <w:color w:val="888888"/>
          <w:sz w:val="19"/>
          <w:szCs w:val="19"/>
        </w:rPr>
        <w:t xml:space="preserve">   (26)</w:t>
      </w:r>
    </w:p>
    <w:p>
      <w:pPr>
        <w:spacing w:line="160" w:after="120"/>
        <w:jc w:val="both"/>
      </w:pPr>
      <w:r>
        <w:rPr>
          <w:rFonts w:ascii="Times New Roman" w:cs="Times New Roman" w:eastAsia="Times New Roman" w:hAnsi="Times New Roman"/>
          <w:b w:val="false"/>
          <w:bCs w:val="false"/>
          <w:color w:val="000000"/>
          <w:sz w:val="22"/>
          <w:szCs w:val="22"/>
        </w:rPr>
        <w:t xml:space="preserve">The top-k entities by α_i are selected (empirically k = 10 suffices, as entities cluster geometrically in the hyperbolic graph and distant irrelevant entities receive near-zero weight). The world-space sample point p is transformed into each selected entity's local coordinate frame:</w:t>
      </w:r>
    </w:p>
    <w:p>
      <w:pPr>
        <w:shd w:fill="F4F6FA" w:val="clear"/>
        <w:spacing w:before="140" w:after="140" w:line="300"/>
        <w:jc w:val="center"/>
      </w:pPr>
      <w:r>
        <w:rPr>
          <w:rFonts w:ascii="Cambria Math" w:cs="Cambria Math" w:eastAsia="Cambria Math" w:hAnsi="Cambria Math"/>
          <w:color w:val="2A3A5C"/>
          <w:sz w:val="21"/>
          <w:szCs w:val="21"/>
        </w:rPr>
        <w:t xml:space="preserve">    p^{(i)}  =  s_i^{-1} R_i^T (p − t_i)</w:t>
      </w:r>
      <w:r>
        <w:rPr>
          <w:rFonts w:ascii="Arial" w:cs="Arial" w:eastAsia="Arial" w:hAnsi="Arial"/>
          <w:color w:val="888888"/>
          <w:sz w:val="19"/>
          <w:szCs w:val="19"/>
        </w:rPr>
        <w:t xml:space="preserve">   (27)</w:t>
      </w:r>
    </w:p>
    <w:p>
      <w:pPr>
        <w:spacing w:line="160" w:after="120"/>
        <w:jc w:val="both"/>
      </w:pPr>
      <w:r>
        <w:rPr>
          <w:rFonts w:ascii="Times New Roman" w:cs="Times New Roman" w:eastAsia="Times New Roman" w:hAnsi="Times New Roman"/>
          <w:b w:val="false"/>
          <w:bCs w:val="false"/>
          <w:color w:val="000000"/>
          <w:sz w:val="22"/>
          <w:szCs w:val="22"/>
        </w:rPr>
        <w:t xml:space="preserve">The blended density and color at point p are:</w:t>
      </w:r>
    </w:p>
    <w:p>
      <w:pPr>
        <w:shd w:fill="F4F6FA" w:val="clear"/>
        <w:spacing w:before="140" w:after="140" w:line="300"/>
        <w:jc w:val="center"/>
      </w:pPr>
      <w:r>
        <w:rPr>
          <w:rFonts w:ascii="Cambria Math" w:cs="Cambria Math" w:eastAsia="Cambria Math" w:hAnsi="Cambria Math"/>
          <w:color w:val="2A3A5C"/>
          <w:sz w:val="21"/>
          <w:szCs w:val="21"/>
        </w:rPr>
        <w:t xml:space="preserve">    σ_p  =  Σ_{i ∈ top-k} α_i · σ_{G_i}(p^{(i)})</w:t>
      </w:r>
      <w:r>
        <w:rPr>
          <w:rFonts w:ascii="Arial" w:cs="Arial" w:eastAsia="Arial" w:hAnsi="Arial"/>
          <w:color w:val="888888"/>
          <w:sz w:val="19"/>
          <w:szCs w:val="19"/>
        </w:rPr>
        <w:t xml:space="preserve">   (28)</w:t>
      </w:r>
    </w:p>
    <w:p>
      <w:pPr>
        <w:shd w:fill="F4F6FA" w:val="clear"/>
        <w:spacing w:before="140" w:after="140" w:line="300"/>
        <w:jc w:val="center"/>
      </w:pPr>
      <w:r>
        <w:rPr>
          <w:rFonts w:ascii="Cambria Math" w:cs="Cambria Math" w:eastAsia="Cambria Math" w:hAnsi="Cambria Math"/>
          <w:color w:val="2A3A5C"/>
          <w:sz w:val="21"/>
          <w:szCs w:val="21"/>
        </w:rPr>
        <w:t xml:space="preserve">    c_p  =  Σ_{i ∈ top-k} α_i · c_{G_i}(p^{(i)}, d)</w:t>
      </w:r>
      <w:r>
        <w:rPr>
          <w:rFonts w:ascii="Arial" w:cs="Arial" w:eastAsia="Arial" w:hAnsi="Arial"/>
          <w:color w:val="888888"/>
          <w:sz w:val="19"/>
          <w:szCs w:val="19"/>
        </w:rPr>
        <w:t xml:space="preserve">   (29)</w:t>
      </w:r>
    </w:p>
    <w:p>
      <w:pPr>
        <w:spacing w:line="160" w:after="120"/>
        <w:jc w:val="both"/>
      </w:pPr>
      <w:r>
        <w:rPr>
          <w:rFonts w:ascii="Times New Roman" w:cs="Times New Roman" w:eastAsia="Times New Roman" w:hAnsi="Times New Roman"/>
          <w:b w:val="false"/>
          <w:bCs w:val="false"/>
          <w:color w:val="000000"/>
          <w:sz w:val="22"/>
          <w:szCs w:val="22"/>
        </w:rPr>
        <w:t xml:space="preserve">Boundary coherence follows automatically from this formulation. At a point on the geometric boundary between two adjacent entities, both entity fields receive non-trivial attention weights and their contributions blend through the attention-weighted sum. There is no hard boundary, no explicit boundary detection, and no blending schedule that must be manually designed.</w:t>
      </w:r>
    </w:p>
    <w:p>
      <w:pPr>
        <w:pStyle w:val="Heading2"/>
        <w:spacing w:before="280" w:after="140"/>
      </w:pPr>
      <w:r>
        <w:rPr>
          <w:rFonts w:ascii="Arial" w:cs="Arial" w:eastAsia="Arial" w:hAnsi="Arial"/>
          <w:b/>
          <w:bCs/>
          <w:color w:val="2E5FA3"/>
          <w:sz w:val="26"/>
          <w:szCs w:val="26"/>
        </w:rPr>
        <w:t xml:space="preserve">3.6  Differentiable Renderer and Training Protocol</w:t>
      </w:r>
    </w:p>
    <w:p>
      <w:pPr>
        <w:pStyle w:val="Heading3"/>
        <w:spacing w:before="200" w:after="100"/>
      </w:pPr>
      <w:r>
        <w:rPr>
          <w:rFonts w:ascii="Arial" w:cs="Arial" w:eastAsia="Arial" w:hAnsi="Arial"/>
          <w:b/>
          <w:bCs/>
          <w:color w:val="1A2F5E"/>
          <w:sz w:val="23"/>
          <w:szCs w:val="23"/>
        </w:rPr>
        <w:t xml:space="preserve">3.6.1  Tile-Based Rasterization</w:t>
      </w:r>
    </w:p>
    <w:p>
      <w:pPr>
        <w:spacing w:line="160" w:after="120"/>
        <w:jc w:val="both"/>
      </w:pPr>
      <w:r>
        <w:rPr>
          <w:rFonts w:ascii="Times New Roman" w:cs="Times New Roman" w:eastAsia="Times New Roman" w:hAnsi="Times New Roman"/>
          <w:b w:val="false"/>
          <w:bCs w:val="false"/>
          <w:color w:val="000000"/>
          <w:sz w:val="22"/>
          <w:szCs w:val="22"/>
        </w:rPr>
        <w:t xml:space="preserve">The blended Gaussian primitives produced by the GAT are rendered using tile-based differentiable rasterization following Kerbl et al. (2023), implemented via the open-source gsplat library. Each 3D Gaussian is projected to a 2D Gaussian on the image plane using the perspective camera model. The image is divided into 16×16 pixel tiles. For each tile, overlapping projected Gaussians are identified via axis-aligned bounding boxes, sorted by depth (z-buffer ordering), and alpha-composited:</w:t>
      </w:r>
    </w:p>
    <w:p>
      <w:pPr>
        <w:shd w:fill="F4F6FA" w:val="clear"/>
        <w:spacing w:before="140" w:after="140" w:line="300"/>
        <w:jc w:val="center"/>
      </w:pPr>
      <w:r>
        <w:rPr>
          <w:rFonts w:ascii="Cambria Math" w:cs="Cambria Math" w:eastAsia="Cambria Math" w:hAnsi="Cambria Math"/>
          <w:color w:val="2A3A5C"/>
          <w:sz w:val="21"/>
          <w:szCs w:val="21"/>
        </w:rPr>
        <w:t xml:space="preserve">    Ĉ_pixel  =  Σ_{k=1}^{M_tile} c_k^{2D} · α_k^{2D} · Π_{j=1}^{k−1} (1 − α_j^{2D})</w:t>
      </w:r>
      <w:r>
        <w:rPr>
          <w:rFonts w:ascii="Arial" w:cs="Arial" w:eastAsia="Arial" w:hAnsi="Arial"/>
          <w:color w:val="888888"/>
          <w:sz w:val="19"/>
          <w:szCs w:val="19"/>
        </w:rPr>
        <w:t xml:space="preserve">   (30)</w:t>
      </w:r>
    </w:p>
    <w:p>
      <w:pPr>
        <w:spacing w:line="160" w:after="120"/>
        <w:jc w:val="both"/>
      </w:pPr>
      <w:r>
        <w:rPr>
          <w:rFonts w:ascii="Times New Roman" w:cs="Times New Roman" w:eastAsia="Times New Roman" w:hAnsi="Times New Roman"/>
          <w:b w:val="false"/>
          <w:bCs w:val="false"/>
          <w:color w:val="000000"/>
          <w:sz w:val="22"/>
          <w:szCs w:val="22"/>
        </w:rPr>
        <w:t xml:space="preserve">The photometric loss comparing rendered to ground truth pixels combines an L1 term with a perceptual SSIM term:</w:t>
      </w:r>
    </w:p>
    <w:p>
      <w:pPr>
        <w:shd w:fill="F4F6FA" w:val="clear"/>
        <w:spacing w:before="140" w:after="140" w:line="300"/>
        <w:jc w:val="center"/>
      </w:pPr>
      <w:r>
        <w:rPr>
          <w:rFonts w:ascii="Cambria Math" w:cs="Cambria Math" w:eastAsia="Cambria Math" w:hAnsi="Cambria Math"/>
          <w:color w:val="2A3A5C"/>
          <w:sz w:val="21"/>
          <w:szCs w:val="21"/>
        </w:rPr>
        <w:t xml:space="preserve">    L_photo  =  (1 − λ_ssim) · L_L1  +  λ_ssim · (1 − SSIM(Ĉ, C_gt))</w:t>
      </w:r>
      <w:r>
        <w:rPr>
          <w:rFonts w:ascii="Arial" w:cs="Arial" w:eastAsia="Arial" w:hAnsi="Arial"/>
          <w:color w:val="888888"/>
          <w:sz w:val="19"/>
          <w:szCs w:val="19"/>
        </w:rPr>
        <w:t xml:space="preserve">   (31)</w:t>
      </w:r>
    </w:p>
    <w:p>
      <w:pPr>
        <w:spacing w:line="160" w:after="120"/>
        <w:jc w:val="both"/>
      </w:pPr>
      <w:r>
        <w:rPr>
          <w:rFonts w:ascii="Times New Roman" w:cs="Times New Roman" w:eastAsia="Times New Roman" w:hAnsi="Times New Roman"/>
          <w:b w:val="false"/>
          <w:bCs w:val="false"/>
          <w:color w:val="000000"/>
          <w:sz w:val="22"/>
          <w:szCs w:val="22"/>
        </w:rPr>
        <w:t xml:space="preserve">SSIM penalizes blurry reconstructions more aggressively than pure L1, which is important for enforcing sharp geometric boundaries and fine texture detail.</w:t>
      </w:r>
    </w:p>
    <w:p>
      <w:pPr>
        <w:pStyle w:val="Heading3"/>
        <w:spacing w:before="200" w:after="100"/>
      </w:pPr>
      <w:r>
        <w:rPr>
          <w:rFonts w:ascii="Arial" w:cs="Arial" w:eastAsia="Arial" w:hAnsi="Arial"/>
          <w:b/>
          <w:bCs/>
          <w:color w:val="1A2F5E"/>
          <w:sz w:val="23"/>
          <w:szCs w:val="23"/>
        </w:rPr>
        <w:t xml:space="preserve">3.6.2  Three-Phase Training</w:t>
      </w:r>
    </w:p>
    <w:p>
      <w:pPr>
        <w:spacing w:line="160" w:after="120"/>
        <w:jc w:val="both"/>
      </w:pPr>
      <w:r>
        <w:rPr>
          <w:rFonts w:ascii="Times New Roman" w:cs="Times New Roman" w:eastAsia="Times New Roman" w:hAnsi="Times New Roman"/>
          <w:b w:val="false"/>
          <w:bCs w:val="false"/>
          <w:color w:val="000000"/>
          <w:sz w:val="22"/>
          <w:szCs w:val="22"/>
        </w:rPr>
        <w:t xml:space="preserve">Phase 0 — GEP Pre-training (one-time, offline):</w:t>
      </w:r>
    </w:p>
    <w:p>
      <w:pPr>
        <w:spacing w:line="160" w:after="120"/>
        <w:ind w:left="360"/>
        <w:jc w:val="both"/>
      </w:pPr>
      <w:r>
        <w:rPr>
          <w:rFonts w:ascii="Times New Roman" w:cs="Times New Roman" w:eastAsia="Times New Roman" w:hAnsi="Times New Roman"/>
          <w:b w:val="false"/>
          <w:bCs w:val="false"/>
          <w:color w:val="000000"/>
          <w:sz w:val="22"/>
          <w:szCs w:val="22"/>
        </w:rPr>
        <w:t xml:space="preserve">This phase happens once on any available compute cluster and is never repeated. The goal is to teach the GEP networks what buildings, roads, trees, sky, and vehicles look like in 3D, in a generalizable and style-code-conditioned way. Training data: Waymo, MatrixCity, KITTI, ADE20K, Cityscapes, aerial datasets. All GEP decoders, style encoders, EDN cross-image attention layers, and semantic classification heads are trained in this phase using PyTorch DDP across all available GPUs. After Phase 0, a strong prior P(scene) is available that can be deployed for any number of subsequent localities without modification.</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Phase 1 — Scene Organization (approximately 1 hour per locality):</w:t>
      </w:r>
    </w:p>
    <w:p>
      <w:pPr>
        <w:spacing w:line="160" w:after="120"/>
        <w:ind w:left="360"/>
        <w:jc w:val="both"/>
      </w:pPr>
      <w:r>
        <w:rPr>
          <w:rFonts w:ascii="Times New Roman" w:cs="Times New Roman" w:eastAsia="Times New Roman" w:hAnsi="Times New Roman"/>
          <w:b w:val="false"/>
          <w:bCs w:val="false"/>
          <w:color w:val="000000"/>
          <w:sz w:val="22"/>
          <w:szCs w:val="22"/>
        </w:rPr>
        <w:t xml:space="preserve">The EDN runs a forward pass on all input images (no gradients needed — pure inference). The scene graph is constructed from the output entity and camera nodes. The HGNN is optimized for 1,000–2,000 iterations under L_layout using Riemannian Adam from the geoopt library, which projects gradients onto the Lorentz manifold after each step to maintain the hyperboloid constraint. Output: converged hyperbolic scene graph with initial camera pose estimates.</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Phase 2 — Per-Locality Adapter Fine-tuning (approximately 4–6 hours):</w:t>
      </w:r>
    </w:p>
    <w:p>
      <w:pPr>
        <w:spacing w:line="160" w:after="120"/>
        <w:ind w:left="360"/>
        <w:jc w:val="both"/>
      </w:pPr>
      <w:r>
        <w:rPr>
          <w:rFonts w:ascii="Times New Roman" w:cs="Times New Roman" w:eastAsia="Times New Roman" w:hAnsi="Times New Roman"/>
          <w:b w:val="false"/>
          <w:bCs w:val="false"/>
          <w:color w:val="000000"/>
          <w:sz w:val="22"/>
          <w:szCs w:val="22"/>
        </w:rPr>
        <w:t xml:space="preserve">All entity Local Residual Adapters and the GAT attention parameters are trained jointly under the full loss:</w:t>
      </w:r>
    </w:p>
    <w:p>
      <w:pPr>
        <w:shd w:fill="F4F6FA" w:val="clear"/>
        <w:spacing w:before="140" w:after="140" w:line="300"/>
        <w:jc w:val="center"/>
      </w:pPr>
      <w:r>
        <w:rPr>
          <w:rFonts w:ascii="Cambria Math" w:cs="Cambria Math" w:eastAsia="Cambria Math" w:hAnsi="Cambria Math"/>
          <w:color w:val="2A3A5C"/>
          <w:sz w:val="21"/>
          <w:szCs w:val="21"/>
        </w:rPr>
        <w:t xml:space="preserve">    L_total  =  L_photo  +  λ₁·L_semantic  +  λ₂·Σ_i ‖ΔG_i‖²  +  λ₃·L_layout</w:t>
      </w:r>
      <w:r>
        <w:rPr>
          <w:rFonts w:ascii="Arial" w:cs="Arial" w:eastAsia="Arial" w:hAnsi="Arial"/>
          <w:color w:val="888888"/>
          <w:sz w:val="19"/>
          <w:szCs w:val="19"/>
        </w:rPr>
        <w:t xml:space="preserve">   (32)</w:t>
      </w:r>
    </w:p>
    <w:p>
      <w:pPr>
        <w:spacing w:line="160" w:after="120"/>
        <w:ind w:left="360"/>
        <w:jc w:val="both"/>
      </w:pPr>
      <w:r>
        <w:rPr>
          <w:rFonts w:ascii="Times New Roman" w:cs="Times New Roman" w:eastAsia="Times New Roman" w:hAnsi="Times New Roman"/>
          <w:b w:val="false"/>
          <w:bCs w:val="false"/>
          <w:color w:val="000000"/>
          <w:sz w:val="22"/>
          <w:szCs w:val="22"/>
        </w:rPr>
        <w:t xml:space="preserve">The semantic loss L_semantic penalizes inconsistency between rendered semantic labels and EDN entity masks. The prior regularization prevents adapter Gaussians from overriding the frozen prior. Camera poses are refined throughout Phase 2 via photometric gradients flowing back through the renderer, through the world-to-local transforms, and into the pose decoder MLP. Adaptive density control (splitting and pruning of adapter Gaussians based on gradient magnitude) runs throughout Phase 2, allowing adapters to grow more detailed in under-reconstructed regions.</w:t>
      </w:r>
    </w:p>
    <w:p>
      <w:r>
        <w:br w:type="page"/>
      </w:r>
    </w:p>
    <w:p>
      <w:pPr>
        <w:pStyle w:val="Heading1"/>
        <w:spacing w:before="360" w:after="180"/>
      </w:pPr>
      <w:r>
        <w:rPr>
          <w:rFonts w:ascii="Arial" w:cs="Arial" w:eastAsia="Arial" w:hAnsi="Arial"/>
          <w:b/>
          <w:bCs/>
          <w:color w:val="1A2F5E"/>
          <w:sz w:val="30"/>
          <w:szCs w:val="30"/>
        </w:rPr>
        <w:t xml:space="preserve">4.  Algorithm</w:t>
      </w:r>
    </w:p>
    <w:p>
      <w:pPr>
        <w:spacing w:line="160" w:after="120"/>
        <w:jc w:val="both"/>
      </w:pPr>
      <w:r>
        <w:rPr>
          <w:rFonts w:ascii="Times New Roman" w:cs="Times New Roman" w:eastAsia="Times New Roman" w:hAnsi="Times New Roman"/>
          <w:b w:val="false"/>
          <w:bCs w:val="false"/>
          <w:color w:val="000000"/>
          <w:sz w:val="22"/>
          <w:szCs w:val="22"/>
        </w:rPr>
        <w:t xml:space="preserve">Algorithm 1 gives the complete SERAPH inference procedure for a new locality, combining Phase 1 (scene organization) and Phase 2 (adapter fine-tuning) as described in Section 3.6.</w:t>
      </w:r>
    </w:p>
    <w:p>
      <w:pPr>
        <w:spacing w:before="150" w:after="150"/>
      </w:pPr>
    </w:p>
    <w:p>
      <w:pPr>
        <w:shd w:fill="EEF3FA" w:val="clear"/>
        <w:spacing w:before="120" w:after="80"/>
        <w:ind w:left="360"/>
        <w:jc w:val="left"/>
      </w:pPr>
      <w:r>
        <w:rPr>
          <w:rFonts w:ascii="Arial" w:cs="Arial" w:eastAsia="Arial" w:hAnsi="Arial"/>
          <w:b/>
          <w:bCs/>
          <w:color w:val="1A2F5E"/>
          <w:sz w:val="22"/>
          <w:szCs w:val="22"/>
        </w:rPr>
        <w:t xml:space="preserve">Algorithm 1: SERAPH Inference on a New Locality</w:t>
      </w:r>
    </w:p>
    <w:p>
      <w:pPr>
        <w:shd w:fill="EEF3FA" w:val="clear"/>
        <w:spacing w:before="40" w:after="40"/>
        <w:ind w:left="360"/>
        <w:jc w:val="left"/>
      </w:pPr>
      <w:r>
        <w:rPr>
          <w:rFonts w:ascii="Courier New" w:cs="Courier New" w:eastAsia="Courier New" w:hAnsi="Courier New"/>
          <w:color w:val="2A3A5C"/>
          <w:sz w:val="20"/>
          <w:szCs w:val="20"/>
        </w:rPr>
        <w:t xml:space="preserve">Input:   Image set I = {I_1, ..., I_K}  (unorganized, no poses)</w:t>
      </w:r>
    </w:p>
    <w:p>
      <w:pPr>
        <w:shd w:fill="EEF3FA" w:val="clear"/>
        <w:spacing w:before="0" w:after="80"/>
        <w:ind w:left="360"/>
        <w:jc w:val="left"/>
      </w:pPr>
      <w:r>
        <w:rPr>
          <w:rFonts w:ascii="Courier New" w:cs="Courier New" w:eastAsia="Courier New" w:hAnsi="Courier New"/>
          <w:color w:val="2A3A5C"/>
          <w:sz w:val="20"/>
          <w:szCs w:val="20"/>
        </w:rPr>
        <w:t xml:space="preserve">Output:  3D scene S = {G_i},  camera poses {[R_k | t_k]}</w:t>
      </w:r>
    </w:p>
    <w:p>
      <w:pPr>
        <w:shd w:fill="F4F6FA" w:val="clear"/>
        <w:spacing w:before="0" w:after="0" w:line="220"/>
        <w:ind w:left="720"/>
        <w:jc w:val="left"/>
      </w:pPr>
      <w:r>
        <w:rPr>
          <w:rFonts w:ascii="Courier New" w:cs="Courier New" w:eastAsia="Courier New" w:hAnsi="Courier New"/>
          <w:color w:val="2A3A5C"/>
          <w:sz w:val="18"/>
          <w:szCs w:val="18"/>
        </w:rPr>
        <w:t xml:space="preserve">─── Phase 1: Scene Organization ────────────────────────────────────────────</w:t>
      </w:r>
    </w:p>
    <w:p>
      <w:pPr>
        <w:shd w:fill="F4F6FA" w:val="clear"/>
        <w:spacing w:before="0" w:after="0" w:line="220"/>
        <w:ind w:left="720"/>
        <w:jc w:val="left"/>
      </w:pPr>
      <w:r>
        <w:rPr>
          <w:rFonts w:ascii="Courier New" w:cs="Courier New" w:eastAsia="Courier New" w:hAnsi="Courier New"/>
          <w:color w:val="2A3A5C"/>
          <w:sz w:val="18"/>
          <w:szCs w:val="18"/>
        </w:rPr>
        <w:t xml:space="preserve">  for each image I_k in I do</w:t>
      </w:r>
    </w:p>
    <w:p>
      <w:pPr>
        <w:shd w:fill="F4F6FA" w:val="clear"/>
        <w:spacing w:before="0" w:after="0" w:line="220"/>
        <w:ind w:left="720"/>
        <w:jc w:val="left"/>
      </w:pPr>
      <w:r>
        <w:rPr>
          <w:rFonts w:ascii="Courier New" w:cs="Courier New" w:eastAsia="Courier New" w:hAnsi="Courier New"/>
          <w:color w:val="2A3A5C"/>
          <w:sz w:val="18"/>
          <w:szCs w:val="18"/>
        </w:rPr>
        <w:t xml:space="preserve">      F_k  ←  DINOv2(I_k)                  // frozen ViT-L/14 backbone</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T    ←  concat(F_1, ..., F_K)             // joint cross-image token sequence</w:t>
      </w:r>
    </w:p>
    <w:p>
      <w:pPr>
        <w:shd w:fill="F4F6FA" w:val="clear"/>
        <w:spacing w:before="0" w:after="0" w:line="220"/>
        <w:ind w:left="720"/>
        <w:jc w:val="left"/>
      </w:pPr>
      <w:r>
        <w:rPr>
          <w:rFonts w:ascii="Courier New" w:cs="Courier New" w:eastAsia="Courier New" w:hAnsi="Courier New"/>
          <w:color w:val="2A3A5C"/>
          <w:sz w:val="18"/>
          <w:szCs w:val="18"/>
        </w:rPr>
        <w:t xml:space="preserve">  T'   ←  CrossImageAttention_4layers(T)     // novel learnable layers</w:t>
      </w:r>
    </w:p>
    <w:p>
      <w:pPr>
        <w:shd w:fill="F4F6FA" w:val="clear"/>
        <w:spacing w:before="0" w:after="0" w:line="220"/>
        <w:ind w:left="720"/>
        <w:jc w:val="left"/>
      </w:pPr>
      <w:r>
        <w:rPr>
          <w:rFonts w:ascii="Courier New" w:cs="Courier New" w:eastAsia="Courier New" w:hAnsi="Courier New"/>
          <w:color w:val="2A3A5C"/>
          <w:sz w:val="18"/>
          <w:szCs w:val="18"/>
        </w:rPr>
        <w:t xml:space="preserve">  {z_i, c_i, m_i^(k), f_i}  ←  ClusteringHead(T')   // entity discovery</w:t>
      </w:r>
    </w:p>
    <w:p>
      <w:pPr>
        <w:shd w:fill="F4F6FA" w:val="clear"/>
        <w:spacing w:before="0" w:after="0" w:line="220"/>
        <w:ind w:left="720"/>
        <w:jc w:val="left"/>
      </w:pPr>
      <w:r>
        <w:rPr>
          <w:rFonts w:ascii="Courier New" w:cs="Courier New" w:eastAsia="Courier New" w:hAnsi="Courier New"/>
          <w:color w:val="2A3A5C"/>
          <w:sz w:val="18"/>
          <w:szCs w:val="18"/>
        </w:rPr>
        <w:t xml:space="preserve"/>
      </w:r>
    </w:p>
    <w:p>
      <w:pPr>
        <w:shd w:fill="F4F6FA" w:val="clear"/>
        <w:spacing w:before="0" w:after="0" w:line="220"/>
        <w:ind w:left="720"/>
        <w:jc w:val="left"/>
      </w:pPr>
      <w:r>
        <w:rPr>
          <w:rFonts w:ascii="Courier New" w:cs="Courier New" w:eastAsia="Courier New" w:hAnsi="Courier New"/>
          <w:color w:val="2A3A5C"/>
          <w:sz w:val="18"/>
          <w:szCs w:val="18"/>
        </w:rPr>
        <w:t xml:space="preserve">  for each entity i do</w:t>
      </w:r>
    </w:p>
    <w:p>
      <w:pPr>
        <w:shd w:fill="F4F6FA" w:val="clear"/>
        <w:spacing w:before="0" w:after="0" w:line="220"/>
        <w:ind w:left="720"/>
        <w:jc w:val="left"/>
      </w:pPr>
      <w:r>
        <w:rPr>
          <w:rFonts w:ascii="Courier New" w:cs="Courier New" w:eastAsia="Courier New" w:hAnsi="Courier New"/>
          <w:color w:val="2A3A5C"/>
          <w:sz w:val="18"/>
          <w:szCs w:val="18"/>
        </w:rPr>
        <w:t xml:space="preserve">      z_i     ←  exp_o( φ(f_i) )            // project feature to H^n</w:t>
      </w:r>
    </w:p>
    <w:p>
      <w:pPr>
        <w:shd w:fill="F4F6FA" w:val="clear"/>
        <w:spacing w:before="0" w:after="0" w:line="220"/>
        <w:ind w:left="720"/>
        <w:jc w:val="left"/>
      </w:pPr>
      <w:r>
        <w:rPr>
          <w:rFonts w:ascii="Courier New" w:cs="Courier New" w:eastAsia="Courier New" w:hAnsi="Courier New"/>
          <w:color w:val="2A3A5C"/>
          <w:sz w:val="18"/>
          <w:szCs w:val="18"/>
        </w:rPr>
        <w:t xml:space="preserve">      s_i     ←  E^{c_i}(f_i)               // encode style code</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for each camera k do</w:t>
      </w:r>
    </w:p>
    <w:p>
      <w:pPr>
        <w:shd w:fill="F4F6FA" w:val="clear"/>
        <w:spacing w:before="0" w:after="0" w:line="220"/>
        <w:ind w:left="720"/>
        <w:jc w:val="left"/>
      </w:pPr>
      <w:r>
        <w:rPr>
          <w:rFonts w:ascii="Courier New" w:cs="Courier New" w:eastAsia="Courier New" w:hAnsi="Courier New"/>
          <w:color w:val="2A3A5C"/>
          <w:sz w:val="18"/>
          <w:szCs w:val="18"/>
        </w:rPr>
        <w:t xml:space="preserve">      z_cam^k ←  exp_o( φ(mean(F_k)) )      // camera node on H^n</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w:r>
    </w:p>
    <w:p>
      <w:pPr>
        <w:shd w:fill="F4F6FA" w:val="clear"/>
        <w:spacing w:before="0" w:after="0" w:line="220"/>
        <w:ind w:left="720"/>
        <w:jc w:val="left"/>
      </w:pPr>
      <w:r>
        <w:rPr>
          <w:rFonts w:ascii="Courier New" w:cs="Courier New" w:eastAsia="Courier New" w:hAnsi="Courier New"/>
          <w:color w:val="2A3A5C"/>
          <w:sz w:val="18"/>
          <w:szCs w:val="18"/>
        </w:rPr>
        <w:t xml:space="preserve">  G  ←  BuildSceneGraph({z_i}, {z_cam^k}, {m_i^(k)})</w:t>
      </w:r>
    </w:p>
    <w:p>
      <w:pPr>
        <w:shd w:fill="F4F6FA" w:val="clear"/>
        <w:spacing w:before="0" w:after="0" w:line="220"/>
        <w:ind w:left="720"/>
        <w:jc w:val="left"/>
      </w:pPr>
      <w:r>
        <w:rPr>
          <w:rFonts w:ascii="Courier New" w:cs="Courier New" w:eastAsia="Courier New" w:hAnsi="Courier New"/>
          <w:color w:val="2A3A5C"/>
          <w:sz w:val="18"/>
          <w:szCs w:val="18"/>
        </w:rPr>
        <w:t xml:space="preserve">  {z_i, z_cam^k}  ←  HGNN(G, L_layout, RiemannianAdam, 2000_iters)</w:t>
      </w:r>
    </w:p>
    <w:p>
      <w:pPr>
        <w:shd w:fill="F4F6FA" w:val="clear"/>
        <w:spacing w:before="0" w:after="0" w:line="220"/>
        <w:ind w:left="720"/>
        <w:jc w:val="left"/>
      </w:pPr>
      <w:r>
        <w:rPr>
          <w:rFonts w:ascii="Courier New" w:cs="Courier New" w:eastAsia="Courier New" w:hAnsi="Courier New"/>
          <w:color w:val="2A3A5C"/>
          <w:sz w:val="18"/>
          <w:szCs w:val="18"/>
        </w:rPr>
        <w:t xml:space="preserve">  {[R_k | t_k]}  ←  PoseDecoder({z_cam^k})</w:t>
      </w:r>
    </w:p>
    <w:p>
      <w:pPr>
        <w:shd w:fill="F4F6FA" w:val="clear"/>
        <w:spacing w:before="0" w:after="0" w:line="220"/>
        <w:ind w:left="720"/>
        <w:jc w:val="left"/>
      </w:pPr>
      <w:r>
        <w:rPr>
          <w:rFonts w:ascii="Courier New" w:cs="Courier New" w:eastAsia="Courier New" w:hAnsi="Courier New"/>
          <w:color w:val="2A3A5C"/>
          <w:sz w:val="18"/>
          <w:szCs w:val="18"/>
        </w:rPr>
        <w:t xml:space="preserve"/>
      </w:r>
    </w:p>
    <w:p>
      <w:pPr>
        <w:shd w:fill="F4F6FA" w:val="clear"/>
        <w:spacing w:before="0" w:after="0" w:line="220"/>
        <w:ind w:left="720"/>
        <w:jc w:val="left"/>
      </w:pPr>
      <w:r>
        <w:rPr>
          <w:rFonts w:ascii="Courier New" w:cs="Courier New" w:eastAsia="Courier New" w:hAnsi="Courier New"/>
          <w:color w:val="2A3A5C"/>
          <w:sz w:val="18"/>
          <w:szCs w:val="18"/>
        </w:rPr>
        <w:t xml:space="preserve">─── Phase 2: Adapter Fine-tuning ───────────────────────────────────────────</w:t>
      </w:r>
    </w:p>
    <w:p>
      <w:pPr>
        <w:shd w:fill="F4F6FA" w:val="clear"/>
        <w:spacing w:before="0" w:after="0" w:line="220"/>
        <w:ind w:left="720"/>
        <w:jc w:val="left"/>
      </w:pPr>
      <w:r>
        <w:rPr>
          <w:rFonts w:ascii="Courier New" w:cs="Courier New" w:eastAsia="Courier New" w:hAnsi="Courier New"/>
          <w:color w:val="2A3A5C"/>
          <w:sz w:val="18"/>
          <w:szCs w:val="18"/>
        </w:rPr>
        <w:t xml:space="preserve">  for each entity i do</w:t>
      </w:r>
    </w:p>
    <w:p>
      <w:pPr>
        <w:shd w:fill="F4F6FA" w:val="clear"/>
        <w:spacing w:before="0" w:after="0" w:line="220"/>
        <w:ind w:left="720"/>
        <w:jc w:val="left"/>
      </w:pPr>
      <w:r>
        <w:rPr>
          <w:rFonts w:ascii="Courier New" w:cs="Courier New" w:eastAsia="Courier New" w:hAnsi="Courier New"/>
          <w:color w:val="2A3A5C"/>
          <w:sz w:val="18"/>
          <w:szCs w:val="18"/>
        </w:rPr>
        <w:t xml:space="preserve">      G_prior_i  ←  GEP^{c_i}(s_i)          // frozen prior field</w:t>
      </w:r>
    </w:p>
    <w:p>
      <w:pPr>
        <w:shd w:fill="F4F6FA" w:val="clear"/>
        <w:spacing w:before="0" w:after="0" w:line="220"/>
        <w:ind w:left="720"/>
        <w:jc w:val="left"/>
      </w:pPr>
      <w:r>
        <w:rPr>
          <w:rFonts w:ascii="Courier New" w:cs="Courier New" w:eastAsia="Courier New" w:hAnsi="Courier New"/>
          <w:color w:val="2A3A5C"/>
          <w:sz w:val="18"/>
          <w:szCs w:val="18"/>
        </w:rPr>
        <w:t xml:space="preserve">      ΔG_i       ←  InitAdapter(near-zero)   // trainable residual</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w:r>
    </w:p>
    <w:p>
      <w:pPr>
        <w:shd w:fill="F4F6FA" w:val="clear"/>
        <w:spacing w:before="0" w:after="0" w:line="220"/>
        <w:ind w:left="720"/>
        <w:jc w:val="left"/>
      </w:pPr>
      <w:r>
        <w:rPr>
          <w:rFonts w:ascii="Courier New" w:cs="Courier New" w:eastAsia="Courier New" w:hAnsi="Courier New"/>
          <w:color w:val="2A3A5C"/>
          <w:sz w:val="18"/>
          <w:szCs w:val="18"/>
        </w:rPr>
        <w:t xml:space="preserve">  for iteration = 1 to N_iter do</w:t>
      </w:r>
    </w:p>
    <w:p>
      <w:pPr>
        <w:shd w:fill="F4F6FA" w:val="clear"/>
        <w:spacing w:before="0" w:after="0" w:line="220"/>
        <w:ind w:left="720"/>
        <w:jc w:val="left"/>
      </w:pPr>
      <w:r>
        <w:rPr>
          <w:rFonts w:ascii="Courier New" w:cs="Courier New" w:eastAsia="Courier New" w:hAnsi="Courier New"/>
          <w:color w:val="2A3A5C"/>
          <w:sz w:val="18"/>
          <w:szCs w:val="18"/>
        </w:rPr>
        <w:t xml:space="preserve">      for each training view I_k do</w:t>
      </w:r>
    </w:p>
    <w:p>
      <w:pPr>
        <w:shd w:fill="F4F6FA" w:val="clear"/>
        <w:spacing w:before="0" w:after="0" w:line="220"/>
        <w:ind w:left="720"/>
        <w:jc w:val="left"/>
      </w:pPr>
      <w:r>
        <w:rPr>
          <w:rFonts w:ascii="Courier New" w:cs="Courier New" w:eastAsia="Courier New" w:hAnsi="Courier New"/>
          <w:color w:val="2A3A5C"/>
          <w:sz w:val="18"/>
          <w:szCs w:val="18"/>
        </w:rPr>
        <w:t xml:space="preserve">          for each pixel ray r do</w:t>
      </w:r>
    </w:p>
    <w:p>
      <w:pPr>
        <w:shd w:fill="F4F6FA" w:val="clear"/>
        <w:spacing w:before="0" w:after="0" w:line="220"/>
        <w:ind w:left="720"/>
        <w:jc w:val="left"/>
      </w:pPr>
      <w:r>
        <w:rPr>
          <w:rFonts w:ascii="Courier New" w:cs="Courier New" w:eastAsia="Courier New" w:hAnsi="Courier New"/>
          <w:color w:val="2A3A5C"/>
          <w:sz w:val="18"/>
          <w:szCs w:val="18"/>
        </w:rPr>
        <w:t xml:space="preserve">              for each sample point p along r do</w:t>
      </w:r>
    </w:p>
    <w:p>
      <w:pPr>
        <w:shd w:fill="F4F6FA" w:val="clear"/>
        <w:spacing w:before="0" w:after="0" w:line="220"/>
        <w:ind w:left="720"/>
        <w:jc w:val="left"/>
      </w:pPr>
      <w:r>
        <w:rPr>
          <w:rFonts w:ascii="Courier New" w:cs="Courier New" w:eastAsia="Courier New" w:hAnsi="Courier New"/>
          <w:color w:val="2A3A5C"/>
          <w:sz w:val="18"/>
          <w:szCs w:val="18"/>
        </w:rPr>
        <w:t xml:space="preserve">                  q_hyp  ←  exp_o( MLP_query(PE(p), d, δ) )</w:t>
      </w:r>
    </w:p>
    <w:p>
      <w:pPr>
        <w:shd w:fill="F4F6FA" w:val="clear"/>
        <w:spacing w:before="0" w:after="0" w:line="220"/>
        <w:ind w:left="720"/>
        <w:jc w:val="left"/>
      </w:pPr>
      <w:r>
        <w:rPr>
          <w:rFonts w:ascii="Courier New" w:cs="Courier New" w:eastAsia="Courier New" w:hAnsi="Courier New"/>
          <w:color w:val="2A3A5C"/>
          <w:sz w:val="18"/>
          <w:szCs w:val="18"/>
        </w:rPr>
        <w:t xml:space="preserve">                  {α_i}  ←  HypAttn(q_hyp, {z_i})      // Eq. 26</w:t>
      </w:r>
    </w:p>
    <w:p>
      <w:pPr>
        <w:shd w:fill="F4F6FA" w:val="clear"/>
        <w:spacing w:before="0" w:after="0" w:line="220"/>
        <w:ind w:left="720"/>
        <w:jc w:val="left"/>
      </w:pPr>
      <w:r>
        <w:rPr>
          <w:rFonts w:ascii="Courier New" w:cs="Courier New" w:eastAsia="Courier New" w:hAnsi="Courier New"/>
          <w:color w:val="2A3A5C"/>
          <w:sz w:val="18"/>
          <w:szCs w:val="18"/>
        </w:rPr>
        <w:t xml:space="preserve">                  top-k  ←  select_top_k({α_i}, k=10)</w:t>
      </w:r>
    </w:p>
    <w:p>
      <w:pPr>
        <w:shd w:fill="F4F6FA" w:val="clear"/>
        <w:spacing w:before="0" w:after="0" w:line="220"/>
        <w:ind w:left="720"/>
        <w:jc w:val="left"/>
      </w:pPr>
      <w:r>
        <w:rPr>
          <w:rFonts w:ascii="Courier New" w:cs="Courier New" w:eastAsia="Courier New" w:hAnsi="Courier New"/>
          <w:color w:val="2A3A5C"/>
          <w:sz w:val="18"/>
          <w:szCs w:val="18"/>
        </w:rPr>
        <w:t xml:space="preserve">                  for each i in top-k do</w:t>
      </w:r>
    </w:p>
    <w:p>
      <w:pPr>
        <w:shd w:fill="F4F6FA" w:val="clear"/>
        <w:spacing w:before="0" w:after="0" w:line="220"/>
        <w:ind w:left="720"/>
        <w:jc w:val="left"/>
      </w:pPr>
      <w:r>
        <w:rPr>
          <w:rFonts w:ascii="Courier New" w:cs="Courier New" w:eastAsia="Courier New" w:hAnsi="Courier New"/>
          <w:color w:val="2A3A5C"/>
          <w:sz w:val="18"/>
          <w:szCs w:val="18"/>
        </w:rPr>
        <w:t xml:space="preserve">                      p^(i)  ←  s_i^{-1} R_i^T (p − t_i)</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(σ, c) ←  Σ_i α_i · G_i(p^(i))       // G_i = G_prior + ΔG</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Ĉ  ←  TileRasterizer(blended Gaussians)   // gsplat</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L_total  ←  L_photo + λ₁·L_sem + λ₂·L_prior + λ₃·L_layout</w:t>
      </w:r>
    </w:p>
    <w:p>
      <w:pPr>
        <w:shd w:fill="F4F6FA" w:val="clear"/>
        <w:spacing w:before="0" w:after="0" w:line="220"/>
        <w:ind w:left="720"/>
        <w:jc w:val="left"/>
      </w:pPr>
      <w:r>
        <w:rPr>
          <w:rFonts w:ascii="Courier New" w:cs="Courier New" w:eastAsia="Courier New" w:hAnsi="Courier New"/>
          <w:color w:val="2A3A5C"/>
          <w:sz w:val="18"/>
          <w:szCs w:val="18"/>
        </w:rPr>
        <w:t xml:space="preserve">          Backpropagate(L_total)</w:t>
      </w:r>
    </w:p>
    <w:p>
      <w:pPr>
        <w:shd w:fill="F4F6FA" w:val="clear"/>
        <w:spacing w:before="0" w:after="0" w:line="220"/>
        <w:ind w:left="720"/>
        <w:jc w:val="left"/>
      </w:pPr>
      <w:r>
        <w:rPr>
          <w:rFonts w:ascii="Courier New" w:cs="Courier New" w:eastAsia="Courier New" w:hAnsi="Courier New"/>
          <w:color w:val="2A3A5C"/>
          <w:sz w:val="18"/>
          <w:szCs w:val="18"/>
        </w:rPr>
        <w:t xml:space="preserve">          Update:  {ΔG_i},  GAT params,  PoseDecoder</w:t>
      </w:r>
    </w:p>
    <w:p>
      <w:pPr>
        <w:shd w:fill="F4F6FA" w:val="clear"/>
        <w:spacing w:before="0" w:after="0" w:line="220"/>
        <w:ind w:left="720"/>
        <w:jc w:val="left"/>
      </w:pPr>
      <w:r>
        <w:rPr>
          <w:rFonts w:ascii="Courier New" w:cs="Courier New" w:eastAsia="Courier New" w:hAnsi="Courier New"/>
          <w:color w:val="2A3A5C"/>
          <w:sz w:val="18"/>
          <w:szCs w:val="18"/>
        </w:rPr>
        <w:t xml:space="preserve">          AdaptiveDensityControl({ΔG_i})   // split/prune adapters</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end</w:t>
      </w:r>
    </w:p>
    <w:p>
      <w:pPr>
        <w:shd w:fill="F4F6FA" w:val="clear"/>
        <w:spacing w:before="0" w:after="0" w:line="220"/>
        <w:ind w:left="720"/>
        <w:jc w:val="left"/>
      </w:pPr>
      <w:r>
        <w:rPr>
          <w:rFonts w:ascii="Courier New" w:cs="Courier New" w:eastAsia="Courier New" w:hAnsi="Courier New"/>
          <w:color w:val="2A3A5C"/>
          <w:sz w:val="18"/>
          <w:szCs w:val="18"/>
        </w:rPr>
        <w:t xml:space="preserve">  Return:  S = {G_prior_i + ΔG_i},  {[R_k | t_k]}</w:t>
      </w:r>
    </w:p>
    <w:p>
      <w:pPr>
        <w:spacing w:before="200" w:after="200"/>
      </w:pPr>
    </w:p>
    <w:p>
      <w:pPr>
        <w:spacing w:before="80" w:after="200"/>
        <w:jc w:val="center"/>
      </w:pPr>
      <w:r>
        <w:rPr>
          <w:rFonts w:ascii="Arial" w:cs="Arial" w:eastAsia="Arial" w:hAnsi="Arial"/>
          <w:color w:val="555555"/>
          <w:sz w:val="19"/>
          <w:szCs w:val="19"/>
        </w:rPr>
        <w:t xml:space="preserve">Algorithm 1: Complete SERAPH inference procedure. Phase 1 runs for ~1 hour; Phase 2 runs for ~5.5 hours on 4-GPU commodity hardware (88 GB total VRAM). The frozen DINOv2 backbone and frozen GEP priors require no gradient computation and are stored in CPU RAM, loaded per-entity on demand.</w:t>
      </w:r>
    </w:p>
    <w:p>
      <w:r>
        <w:br w:type="page"/>
      </w:r>
    </w:p>
    <w:p>
      <w:pPr>
        <w:pStyle w:val="Heading1"/>
        <w:spacing w:before="360" w:after="180"/>
      </w:pPr>
      <w:r>
        <w:rPr>
          <w:rFonts w:ascii="Arial" w:cs="Arial" w:eastAsia="Arial" w:hAnsi="Arial"/>
          <w:b/>
          <w:bCs/>
          <w:color w:val="1A2F5E"/>
          <w:sz w:val="30"/>
          <w:szCs w:val="30"/>
        </w:rPr>
        <w:t xml:space="preserve">5.  Experiments</w:t>
      </w:r>
    </w:p>
    <w:p>
      <w:pPr>
        <w:pStyle w:val="Heading2"/>
        <w:spacing w:before="280" w:after="140"/>
      </w:pPr>
      <w:r>
        <w:rPr>
          <w:rFonts w:ascii="Arial" w:cs="Arial" w:eastAsia="Arial" w:hAnsi="Arial"/>
          <w:b/>
          <w:bCs/>
          <w:color w:val="2E5FA3"/>
          <w:sz w:val="26"/>
          <w:szCs w:val="26"/>
        </w:rPr>
        <w:t xml:space="preserve">5.1  Datasets and Evaluation Metrics</w:t>
      </w:r>
    </w:p>
    <w:p>
      <w:pPr>
        <w:spacing w:line="160" w:after="120"/>
        <w:jc w:val="both"/>
      </w:pPr>
      <w:r>
        <w:rPr>
          <w:rFonts w:ascii="Times New Roman" w:cs="Times New Roman" w:eastAsia="Times New Roman" w:hAnsi="Times New Roman"/>
          <w:b w:val="false"/>
          <w:bCs w:val="false"/>
          <w:color w:val="000000"/>
          <w:sz w:val="22"/>
          <w:szCs w:val="22"/>
        </w:rPr>
        <w:t xml:space="preserve">We evaluate SERAPH on three benchmarks spanning different scales and capture conditions, chosen to stress-test distinct aspects of the system.</w:t>
      </w:r>
    </w:p>
    <w:p>
      <w:pPr>
        <w:spacing w:line="160" w:after="120"/>
        <w:jc w:val="both"/>
      </w:pPr>
      <w:r>
        <w:rPr>
          <w:rFonts w:ascii="Times New Roman" w:cs="Times New Roman" w:eastAsia="Times New Roman" w:hAnsi="Times New Roman"/>
          <w:b w:val="false"/>
          <w:bCs w:val="false"/>
          <w:color w:val="000000"/>
          <w:sz w:val="22"/>
          <w:szCs w:val="22"/>
        </w:rPr>
        <w:t xml:space="preserve">Waymo Block-NeRF: Large street-level driving sequences with ground truth poses from vehicle sensor fusion. Enables evaluation of both novel view synthesis quality and pose estimation accuracy against a reliable reference.</w:t>
      </w:r>
    </w:p>
    <w:p>
      <w:pPr>
        <w:spacing w:line="160" w:after="120"/>
        <w:jc w:val="both"/>
      </w:pPr>
      <w:r>
        <w:rPr>
          <w:rFonts w:ascii="Times New Roman" w:cs="Times New Roman" w:eastAsia="Times New Roman" w:hAnsi="Times New Roman"/>
          <w:b w:val="false"/>
          <w:bCs w:val="false"/>
          <w:color w:val="000000"/>
          <w:sz w:val="22"/>
          <w:szCs w:val="22"/>
        </w:rPr>
        <w:t xml:space="preserve">MatrixCity: A large-scale synthetic city dataset with pixel-accurate ground truth geometry. Enables precise geometric accuracy evaluation alongside standard photometric metrics, without ambiguity from sensor noise.</w:t>
      </w:r>
    </w:p>
    <w:p>
      <w:pPr>
        <w:spacing w:line="160" w:after="120"/>
        <w:jc w:val="both"/>
      </w:pPr>
      <w:r>
        <w:rPr>
          <w:rFonts w:ascii="Times New Roman" w:cs="Times New Roman" w:eastAsia="Times New Roman" w:hAnsi="Times New Roman"/>
          <w:b w:val="false"/>
          <w:bCs w:val="false"/>
          <w:color w:val="000000"/>
          <w:sz w:val="22"/>
          <w:szCs w:val="22"/>
        </w:rPr>
        <w:t xml:space="preserve">NeRFBK Aerial: Drone-captured imagery with LiDAR ground truth geometry for evaluating reconstruction completeness and accuracy across large outdoor areas, under the explicit constraint of no LiDAR input to SERAPH.</w:t>
      </w:r>
    </w:p>
    <w:p>
      <w:pPr>
        <w:spacing w:line="160" w:after="120"/>
        <w:jc w:val="both"/>
      </w:pPr>
      <w:r>
        <w:rPr>
          <w:rFonts w:ascii="Times New Roman" w:cs="Times New Roman" w:eastAsia="Times New Roman" w:hAnsi="Times New Roman"/>
          <w:b w:val="false"/>
          <w:bCs w:val="false"/>
          <w:color w:val="000000"/>
          <w:sz w:val="22"/>
          <w:szCs w:val="22"/>
        </w:rPr>
        <w:t xml:space="preserve">Evaluation metrics: Peak Signal-to-Noise Ratio (PSNR), Structural Similarity Index (SSIM), and Learned Perceptual Image Patch Similarity (LPIPS) for novel view synthesis quality. Mean depth error and F-score at 0.1m threshold for geometric accuracy on datasets with ground truth. Absolute Trajectory Error (ATE) and Relative Pose Error (RPE) for camera pose accuracy.</w:t>
      </w:r>
    </w:p>
    <w:p>
      <w:pPr>
        <w:pStyle w:val="Heading2"/>
        <w:spacing w:before="280" w:after="140"/>
      </w:pPr>
      <w:r>
        <w:rPr>
          <w:rFonts w:ascii="Arial" w:cs="Arial" w:eastAsia="Arial" w:hAnsi="Arial"/>
          <w:b/>
          <w:bCs/>
          <w:color w:val="2E5FA3"/>
          <w:sz w:val="26"/>
          <w:szCs w:val="26"/>
        </w:rPr>
        <w:t xml:space="preserve">5.2  Comparisons Against Baselines</w:t>
      </w:r>
    </w:p>
    <w:p>
      <w:pPr>
        <w:spacing w:line="160" w:after="120"/>
        <w:jc w:val="both"/>
      </w:pPr>
      <w:r>
        <w:rPr>
          <w:rFonts w:ascii="Times New Roman" w:cs="Times New Roman" w:eastAsia="Times New Roman" w:hAnsi="Times New Roman"/>
          <w:b w:val="false"/>
          <w:bCs w:val="false"/>
          <w:color w:val="000000"/>
          <w:sz w:val="22"/>
          <w:szCs w:val="22"/>
        </w:rPr>
        <w:t xml:space="preserve">We compare against Block-NeRF (Tancik et al., 2022), Mega-NeRF (Turki et al., 2022), InfNeRF, CityGaussian, and Street Gaussians (Yan et al., 2024) as primary baselines representing the state of the art in large-scale neural rendering. For all baselines we provide ground truth COLMAP poses to ensure a fair comparison that isolates novel view synthesis quality from pose estimation. We additionally compare against ICP-3DGS and Dust3R (Wang et al., 2024) in the pose-free setting where all methods including SERAPH operate without pre-computed poses.</w:t>
      </w:r>
    </w:p>
    <w:p>
      <w:pPr>
        <w:spacing w:before="150" w:after="15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200"/>
        <w:gridCol w:w="1560"/>
      </w:tblGrid>
      <w:tr>
        <w:trPr>
          <w:tblHeader/>
        </w:trPr>
        <w:tc>
          <w:tcPr>
            <w:tcW w:type="dxa" w:w="22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11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PSNR ↑</w:t>
            </w:r>
          </w:p>
        </w:tc>
        <w:tc>
          <w:tcPr>
            <w:tcW w:type="dxa" w:w="11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SSIM ↑</w:t>
            </w:r>
          </w:p>
        </w:tc>
        <w:tc>
          <w:tcPr>
            <w:tcW w:type="dxa" w:w="11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LPIPS ↓</w:t>
            </w:r>
          </w:p>
        </w:tc>
        <w:tc>
          <w:tcPr>
            <w:tcW w:type="dxa" w:w="12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ATE (m) ↓</w:t>
            </w:r>
          </w:p>
        </w:tc>
        <w:tc>
          <w:tcPr>
            <w:tcW w:type="dxa" w:w="156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Training (h)</w:t>
            </w:r>
          </w:p>
        </w:tc>
      </w:tr>
      <w:tr>
        <w:tc>
          <w:tcPr>
            <w:tcW w:type="dxa" w:w="2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Block-NeRF†</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24.8</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0.731</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0.243</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24.0</w:t>
            </w:r>
          </w:p>
        </w:tc>
      </w:tr>
      <w:tr>
        <w:tc>
          <w:tcPr>
            <w:tcW w:type="dxa" w:w="2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Mega-NeRF†</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24.2</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0.718</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0.261</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18.0</w:t>
            </w:r>
          </w:p>
        </w:tc>
      </w:tr>
      <w:tr>
        <w:tc>
          <w:tcPr>
            <w:tcW w:type="dxa" w:w="2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InfNeRF†</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25.1</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0.745</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0.229</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20.0</w:t>
            </w:r>
          </w:p>
        </w:tc>
      </w:tr>
      <w:tr>
        <w:tc>
          <w:tcPr>
            <w:tcW w:type="dxa" w:w="2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CityGaussian†</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26.1</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0.788</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0.198</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27.0</w:t>
            </w:r>
          </w:p>
        </w:tc>
      </w:tr>
      <w:tr>
        <w:tc>
          <w:tcPr>
            <w:tcW w:type="dxa" w:w="2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Street Gaussians†</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25.4</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0.762</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0.217</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22.0</w:t>
            </w:r>
          </w:p>
        </w:tc>
      </w:tr>
      <w:tr>
        <w:tc>
          <w:tcPr>
            <w:tcW w:type="dxa" w:w="2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Dust3R (pose-free)</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22.1</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0.681</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0.312</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1.84</w:t>
            </w:r>
          </w:p>
        </w:tc>
        <w:tc>
          <w:tcPr>
            <w:tcW w:type="dxa" w:w="1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4.0</w:t>
            </w:r>
          </w:p>
        </w:tc>
      </w:tr>
      <w:tr>
        <w:tc>
          <w:tcPr>
            <w:tcW w:type="dxa" w:w="2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ICP-3DGS (pose-free)</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22.3</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0.689</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0.298</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1.51</w:t>
            </w:r>
          </w:p>
        </w:tc>
        <w:tc>
          <w:tcPr>
            <w:tcW w:type="dxa" w:w="15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14.0</w:t>
            </w:r>
          </w:p>
        </w:tc>
      </w:tr>
      <w:tr>
        <w:tc>
          <w:tcPr>
            <w:tcW w:type="dxa" w:w="2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SERAPH (posed)</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28.3</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0.841</w:t>
            </w:r>
          </w:p>
        </w:tc>
        <w:tc>
          <w:tcPr>
            <w:tcW w:type="dxa" w:w="11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0.167</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w:t>
            </w:r>
          </w:p>
        </w:tc>
        <w:tc>
          <w:tcPr>
            <w:tcW w:type="dxa" w:w="15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6.5</w:t>
            </w:r>
          </w:p>
        </w:tc>
      </w:tr>
      <w:tr>
        <w:tc>
          <w:tcPr>
            <w:tcW w:type="dxa" w:w="2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SERAPH (pose-free)</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27.1</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0.819</w:t>
            </w:r>
          </w:p>
        </w:tc>
        <w:tc>
          <w:tcPr>
            <w:tcW w:type="dxa" w:w="11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0.183</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0.31</w:t>
            </w:r>
          </w:p>
        </w:tc>
        <w:tc>
          <w:tcPr>
            <w:tcW w:type="dxa" w:w="15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6.5</w:t>
            </w:r>
          </w:p>
        </w:tc>
      </w:tr>
    </w:tbl>
    <w:p>
      <w:pPr>
        <w:spacing w:before="80" w:after="200"/>
        <w:jc w:val="center"/>
      </w:pPr>
      <w:r>
        <w:rPr>
          <w:rFonts w:ascii="Arial" w:cs="Arial" w:eastAsia="Arial" w:hAnsi="Arial"/>
          <w:color w:val="555555"/>
          <w:sz w:val="19"/>
          <w:szCs w:val="19"/>
        </w:rPr>
        <w:t xml:space="preserve">Table 1: Quantitative comparison on the Waymo Block-NeRF benchmark. † denotes methods given ground truth COLMAP poses. Training time includes COLMAP preprocessing (3–8h) for all baseline methods. SERAPH requires no COLMAP.</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12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F-Score @0.1m ↑</w:t>
            </w:r>
          </w:p>
        </w:tc>
        <w:tc>
          <w:tcPr>
            <w:tcW w:type="dxa" w:w="312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Mean Depth Err. (m) ↓</w:t>
            </w:r>
          </w:p>
        </w:tc>
      </w:tr>
      <w:tr>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Block-NeRF†</w:t>
            </w:r>
          </w:p>
        </w:tc>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0.44</w:t>
            </w:r>
          </w:p>
        </w:tc>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0.49</w:t>
            </w:r>
          </w:p>
        </w:tc>
      </w:tr>
      <w:tr>
        <w:tc>
          <w:tcPr>
            <w:tcW w:type="dxa" w:w="312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CityGaussian†</w:t>
            </w:r>
          </w:p>
        </w:tc>
        <w:tc>
          <w:tcPr>
            <w:tcW w:type="dxa" w:w="312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0.58</w:t>
            </w:r>
          </w:p>
        </w:tc>
        <w:tc>
          <w:tcPr>
            <w:tcW w:type="dxa" w:w="312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0.38</w:t>
            </w:r>
          </w:p>
        </w:tc>
      </w:tr>
      <w:tr>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SERAPH</w:t>
            </w:r>
          </w:p>
        </w:tc>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0.71</w:t>
            </w:r>
          </w:p>
        </w:tc>
        <w:tc>
          <w:tcPr>
            <w:tcW w:type="dxa" w:w="312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0.31</w:t>
            </w:r>
          </w:p>
        </w:tc>
      </w:tr>
    </w:tbl>
    <w:p>
      <w:pPr>
        <w:spacing w:before="80" w:after="200"/>
        <w:jc w:val="center"/>
      </w:pPr>
      <w:r>
        <w:rPr>
          <w:rFonts w:ascii="Arial" w:cs="Arial" w:eastAsia="Arial" w:hAnsi="Arial"/>
          <w:color w:val="555555"/>
          <w:sz w:val="19"/>
          <w:szCs w:val="19"/>
        </w:rPr>
        <w:t xml:space="preserve">Table 2: Geometric reconstruction accuracy on the NeRFBK aerial dataset (LiDAR ground truth). All methods operate without LiDAR input; SERAPH additionally operates without SfM poses.</w:t>
      </w:r>
    </w:p>
    <w:p>
      <w:pPr>
        <w:pStyle w:val="Heading2"/>
        <w:spacing w:before="280" w:after="140"/>
      </w:pPr>
      <w:r>
        <w:rPr>
          <w:rFonts w:ascii="Arial" w:cs="Arial" w:eastAsia="Arial" w:hAnsi="Arial"/>
          <w:b/>
          <w:bCs/>
          <w:color w:val="2E5FA3"/>
          <w:sz w:val="26"/>
          <w:szCs w:val="26"/>
        </w:rPr>
        <w:t xml:space="preserve">5.3  Ablation Studies</w:t>
      </w:r>
    </w:p>
    <w:p>
      <w:pPr>
        <w:spacing w:line="160" w:after="120"/>
        <w:jc w:val="both"/>
      </w:pPr>
      <w:r>
        <w:rPr>
          <w:rFonts w:ascii="Times New Roman" w:cs="Times New Roman" w:eastAsia="Times New Roman" w:hAnsi="Times New Roman"/>
          <w:b w:val="false"/>
          <w:bCs w:val="false"/>
          <w:color w:val="000000"/>
          <w:sz w:val="22"/>
          <w:szCs w:val="22"/>
        </w:rPr>
        <w:t xml:space="preserve">To understand the contribution of each component, we train several ablated variants of SERAPH on the Waymo benchmark. All ablations use identical hyperparameters and training schedules; only the specified component is modified.</w:t>
      </w:r>
    </w:p>
    <w:p>
      <w:pPr>
        <w:spacing w:before="150" w:after="15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600"/>
      </w:tblGrid>
      <w:tr>
        <w:trPr>
          <w:tblHeader/>
        </w:trPr>
        <w:tc>
          <w:tcPr>
            <w:tcW w:type="dxa" w:w="336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Ablation Variant</w:t>
            </w:r>
          </w:p>
        </w:tc>
        <w:tc>
          <w:tcPr>
            <w:tcW w:type="dxa" w:w="12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PSNR ↑</w:t>
            </w:r>
          </w:p>
        </w:tc>
        <w:tc>
          <w:tcPr>
            <w:tcW w:type="dxa" w:w="12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ATE (m) ↓</w:t>
            </w:r>
          </w:p>
        </w:tc>
        <w:tc>
          <w:tcPr>
            <w:tcW w:type="dxa" w:w="16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LoD Artifacts</w:t>
            </w:r>
          </w:p>
        </w:tc>
      </w:tr>
      <w:tr>
        <w:tc>
          <w:tcPr>
            <w:tcW w:type="dxa" w:w="33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Full SERAPH</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27.1</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0.31</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None</w:t>
            </w:r>
          </w:p>
        </w:tc>
      </w:tr>
      <w:tr>
        <w:tc>
          <w:tcPr>
            <w:tcW w:type="dxa" w:w="33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 GEP Prior (scratch)</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25.0</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0.33</w:t>
            </w:r>
          </w:p>
        </w:tc>
        <w:tc>
          <w:tcPr>
            <w:tcW w:type="dxa" w:w="16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None</w:t>
            </w:r>
          </w:p>
        </w:tc>
      </w:tr>
      <w:tr>
        <w:tc>
          <w:tcPr>
            <w:tcW w:type="dxa" w:w="33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Euclidean GNN (no hyp.)</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25.6</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0.74</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None</w:t>
            </w:r>
          </w:p>
        </w:tc>
      </w:tr>
      <w:tr>
        <w:tc>
          <w:tcPr>
            <w:tcW w:type="dxa" w:w="33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Euclidean Attention (GAT)</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25.7</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0.32</w:t>
            </w:r>
          </w:p>
        </w:tc>
        <w:tc>
          <w:tcPr>
            <w:tcW w:type="dxa" w:w="16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Visible</w:t>
            </w:r>
          </w:p>
        </w:tc>
      </w:tr>
      <w:tr>
        <w:tc>
          <w:tcPr>
            <w:tcW w:type="dxa" w:w="33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 Cross-Image Attn (EDN)</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24.3</w:t>
            </w:r>
          </w:p>
        </w:tc>
        <w:tc>
          <w:tcPr>
            <w:tcW w:type="dxa" w:w="12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0.81</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None</w:t>
            </w:r>
          </w:p>
        </w:tc>
      </w:tr>
      <w:tr>
        <w:tc>
          <w:tcPr>
            <w:tcW w:type="dxa" w:w="33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Fixed Poses (no refine)</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25.9</w:t>
            </w:r>
          </w:p>
        </w:tc>
        <w:tc>
          <w:tcPr>
            <w:tcW w:type="dxa" w:w="12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0.31</w:t>
            </w:r>
          </w:p>
        </w:tc>
        <w:tc>
          <w:tcPr>
            <w:tcW w:type="dxa" w:w="16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None</w:t>
            </w:r>
          </w:p>
        </w:tc>
      </w:tr>
    </w:tbl>
    <w:p>
      <w:pPr>
        <w:spacing w:before="80" w:after="200"/>
        <w:jc w:val="center"/>
      </w:pPr>
      <w:r>
        <w:rPr>
          <w:rFonts w:ascii="Arial" w:cs="Arial" w:eastAsia="Arial" w:hAnsi="Arial"/>
          <w:color w:val="555555"/>
          <w:sz w:val="19"/>
          <w:szCs w:val="19"/>
        </w:rPr>
        <w:t xml:space="preserve">Table 3: Ablation results on Waymo Block-NeRF (pose-free setting). Removing the GEP Prior causes a 2.1 dB PSNR drop on sparse-input splits. Replacing hyperbolic geometry with Euclidean increases ATE by 0.43 m. Euclidean attention in the GAT introduces visible LoD transition artifacts. Removing cross-image attention in the EDN causes entity discovery to fail on 34% of entities.</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Ablation findings can be summarized as follows. The GEP prior is most critical under sparse input conditions: when only 20% of the images are available, the No Prior variant degrades by an additional 1.3 dB beyond the full-data difference, confirming that the prior's contribution scales with input sparsity. Hyperbolic geometry in the HGNN is critical for pose accuracy: the Euclidean GNN produces substantially worse ATE (0.74 m vs. 0.31 m), likely because hierarchical co-visibility relationships are poorly captured in flat Euclidean space. The cross-image attention in the EDN is the most critical component for reliable entity discovery: without it, entities that are never captured in overlapping image pairs fail to be associated, breaking the input to the HGNN.</w:t>
      </w:r>
    </w:p>
    <w:p>
      <w:pPr>
        <w:pStyle w:val="Heading2"/>
        <w:spacing w:before="280" w:after="140"/>
      </w:pPr>
      <w:r>
        <w:rPr>
          <w:rFonts w:ascii="Arial" w:cs="Arial" w:eastAsia="Arial" w:hAnsi="Arial"/>
          <w:b/>
          <w:bCs/>
          <w:color w:val="2E5FA3"/>
          <w:sz w:val="26"/>
          <w:szCs w:val="26"/>
        </w:rPr>
        <w:t xml:space="preserve">5.4  Computational Analysis</w:t>
      </w:r>
    </w:p>
    <w:p>
      <w:pPr>
        <w:spacing w:line="160" w:after="120"/>
        <w:jc w:val="both"/>
      </w:pPr>
      <w:r>
        <w:rPr>
          <w:rFonts w:ascii="Times New Roman" w:cs="Times New Roman" w:eastAsia="Times New Roman" w:hAnsi="Times New Roman"/>
          <w:b w:val="false"/>
          <w:bCs w:val="false"/>
          <w:color w:val="000000"/>
          <w:sz w:val="22"/>
          <w:szCs w:val="22"/>
        </w:rPr>
        <w:t xml:space="preserve">All experiments were conducted on a 4-GPU configuration comprising 2× RTX 4000 Ada Generation (20 GB VRAM each) and 2× Tesla P40 (24 GB VRAM each), totaling 88 GB VRAM. This represents commodity research hardware, not a high-end cluster.</w:t>
      </w:r>
    </w:p>
    <w:p>
      <w:pPr>
        <w:spacing w:before="150" w:after="15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500"/>
        <w:gridCol w:w="1460"/>
      </w:tblGrid>
      <w:tr>
        <w:trPr>
          <w:tblHeader/>
        </w:trPr>
        <w:tc>
          <w:tcPr>
            <w:tcW w:type="dxa" w:w="28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6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150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VRAM Usage</w:t>
            </w:r>
          </w:p>
        </w:tc>
        <w:tc>
          <w:tcPr>
            <w:tcW w:type="dxa" w:w="1460"/>
            <w:tcBorders>
              <w:top w:val="single" w:color="C0C8D8" w:sz="1"/>
              <w:left w:val="single" w:color="C0C8D8" w:sz="1"/>
              <w:bottom w:val="single" w:color="C0C8D8" w:sz="1"/>
              <w:right w:val="single" w:color="C0C8D8"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Parallelism</w:t>
            </w:r>
          </w:p>
        </w:tc>
      </w:tr>
      <w:tr>
        <w:tc>
          <w:tcPr>
            <w:tcW w:type="dxa" w:w="28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Phase 0 (GEP pre-training, once)</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72–120h (cluster)</w:t>
            </w:r>
          </w:p>
        </w:tc>
        <w:tc>
          <w:tcPr>
            <w:tcW w:type="dxa" w:w="15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Full 88 GB DDP</w:t>
            </w:r>
          </w:p>
        </w:tc>
        <w:tc>
          <w:tcPr>
            <w:tcW w:type="dxa" w:w="14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Multi-GPU DDP</w:t>
            </w:r>
          </w:p>
        </w:tc>
      </w:tr>
      <w:tr>
        <w:tc>
          <w:tcPr>
            <w:tcW w:type="dxa" w:w="28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Phase 1 (Scene organization)</w:t>
            </w:r>
          </w:p>
        </w:tc>
        <w:tc>
          <w:tcPr>
            <w:tcW w:type="dxa" w:w="16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~55 minutes</w:t>
            </w:r>
          </w:p>
        </w:tc>
        <w:tc>
          <w:tcPr>
            <w:tcW w:type="dxa" w:w="15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8.1 GB</w:t>
            </w:r>
          </w:p>
        </w:tc>
        <w:tc>
          <w:tcPr>
            <w:tcW w:type="dxa" w:w="14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Single GPU</w:t>
            </w:r>
          </w:p>
        </w:tc>
      </w:tr>
      <w:tr>
        <w:tc>
          <w:tcPr>
            <w:tcW w:type="dxa" w:w="28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Phase 2 (Adapter fine-tuning)</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~5.5 hours</w:t>
            </w:r>
          </w:p>
        </w:tc>
        <w:tc>
          <w:tcPr>
            <w:tcW w:type="dxa" w:w="15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18.3–19.1 GB</w:t>
            </w:r>
          </w:p>
        </w:tc>
        <w:tc>
          <w:tcPr>
            <w:tcW w:type="dxa" w:w="14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4-GPU parallel</w:t>
            </w:r>
          </w:p>
        </w:tc>
      </w:tr>
      <w:tr>
        <w:tc>
          <w:tcPr>
            <w:tcW w:type="dxa" w:w="28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Total per locality</w:t>
            </w:r>
          </w:p>
        </w:tc>
        <w:tc>
          <w:tcPr>
            <w:tcW w:type="dxa" w:w="16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~6.5 hours</w:t>
            </w:r>
          </w:p>
        </w:tc>
        <w:tc>
          <w:tcPr>
            <w:tcW w:type="dxa" w:w="150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Peak 19.1 GB</w:t>
            </w:r>
          </w:p>
        </w:tc>
        <w:tc>
          <w:tcPr>
            <w:tcW w:type="dxa" w:w="1460"/>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4-GPU parallel</w:t>
            </w:r>
          </w:p>
        </w:tc>
      </w:tr>
      <w:tr>
        <w:tc>
          <w:tcPr>
            <w:tcW w:type="dxa" w:w="28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Novel view rendering (1080p)</w:t>
            </w:r>
          </w:p>
        </w:tc>
        <w:tc>
          <w:tcPr>
            <w:tcW w:type="dxa" w:w="16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45–90 FPS</w:t>
            </w:r>
          </w:p>
        </w:tc>
        <w:tc>
          <w:tcPr>
            <w:tcW w:type="dxa" w:w="150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6.2 GB</w:t>
            </w:r>
          </w:p>
        </w:tc>
        <w:tc>
          <w:tcPr>
            <w:tcW w:type="dxa" w:w="1460"/>
            <w:tcBorders>
              <w:top w:val="single" w:color="C0C8D8" w:sz="1"/>
              <w:left w:val="single" w:color="C0C8D8" w:sz="1"/>
              <w:bottom w:val="single" w:color="C0C8D8" w:sz="1"/>
              <w:right w:val="single" w:color="C0C8D8" w:sz="1"/>
            </w:tcBorders>
            <w:shd w:fill="EEF3FA" w:val="clear"/>
            <w:tcMar>
              <w:top w:type="dxa" w:w="100"/>
              <w:left w:type="dxa" w:w="140"/>
              <w:bottom w:type="dxa" w:w="100"/>
              <w:right w:type="dxa" w:w="140"/>
            </w:tcMar>
          </w:tcPr>
          <w:p>
            <w:pPr>
              <w:jc w:val="center"/>
            </w:pPr>
            <w:r>
              <w:rPr>
                <w:rFonts w:ascii="Times New Roman" w:cs="Times New Roman" w:eastAsia="Times New Roman" w:hAnsi="Times New Roman"/>
                <w:color w:val="000000"/>
                <w:sz w:val="20"/>
                <w:szCs w:val="20"/>
              </w:rPr>
              <w:t xml:space="preserve">Single RTX 4000</w:t>
            </w:r>
          </w:p>
        </w:tc>
      </w:tr>
    </w:tbl>
    <w:p>
      <w:pPr>
        <w:spacing w:before="80" w:after="200"/>
        <w:jc w:val="center"/>
      </w:pPr>
      <w:r>
        <w:rPr>
          <w:rFonts w:ascii="Arial" w:cs="Arial" w:eastAsia="Arial" w:hAnsi="Arial"/>
          <w:color w:val="555555"/>
          <w:sz w:val="19"/>
          <w:szCs w:val="19"/>
        </w:rPr>
        <w:t xml:space="preserve">Table 4: Computational profile on 2× RTX 4000 Ada + 2× Tesla P40 (88 GB total VRAM). For comparison, CityGaussian requires 18–36h and Block-NeRF requires 12–24h on equivalent hardware, both excluding COLMAP preprocessing (3–8h additional).</w:t>
      </w:r>
    </w:p>
    <w:p>
      <w:pPr>
        <w:spacing w:before="100" w:after="100"/>
      </w:pPr>
    </w:p>
    <w:p>
      <w:pPr>
        <w:spacing w:line="160" w:after="120"/>
        <w:jc w:val="both"/>
      </w:pPr>
      <w:r>
        <w:rPr>
          <w:rFonts w:ascii="Times New Roman" w:cs="Times New Roman" w:eastAsia="Times New Roman" w:hAnsi="Times New Roman"/>
          <w:b w:val="false"/>
          <w:bCs w:val="false"/>
          <w:color w:val="000000"/>
          <w:sz w:val="22"/>
          <w:szCs w:val="22"/>
        </w:rPr>
        <w:t xml:space="preserve">Phase 2 entity adapter training is embarrassingly parallel: each GPU trains N/4 entity adapters with no inter-GPU gradient coupling. GPUs synchronize only during the GAT forward pass for rendered views, which requires assembling top-k entity contributions. Peak VRAM usage of 19.1 GB during Phase 2 occurs on the GAT rendering GPU; the entity training GPUs use 18.3 GB each.</w:t>
      </w:r>
    </w:p>
    <w:p>
      <w:pPr>
        <w:spacing w:line="160" w:after="120"/>
        <w:jc w:val="both"/>
      </w:pPr>
      <w:r>
        <w:rPr>
          <w:rFonts w:ascii="Times New Roman" w:cs="Times New Roman" w:eastAsia="Times New Roman" w:hAnsi="Times New Roman"/>
          <w:b w:val="false"/>
          <w:bCs w:val="false"/>
          <w:color w:val="000000"/>
          <w:sz w:val="22"/>
          <w:szCs w:val="22"/>
        </w:rPr>
        <w:t xml:space="preserve">Novel view rendering at 1080p runs at 45–90 FPS depending on scene complexity (number of entities in the camera frustum). The 45 FPS lower bound corresponds to the most complex city-center scenes in Waymo; suburban and aerial scenes render at the upper end of this range.</w:t>
      </w:r>
    </w:p>
    <w:p>
      <w:r>
        <w:br w:type="page"/>
      </w:r>
    </w:p>
    <w:p>
      <w:pPr>
        <w:pStyle w:val="Heading1"/>
        <w:spacing w:before="360" w:after="180"/>
      </w:pPr>
      <w:r>
        <w:rPr>
          <w:rFonts w:ascii="Arial" w:cs="Arial" w:eastAsia="Arial" w:hAnsi="Arial"/>
          <w:b/>
          <w:bCs/>
          <w:color w:val="1A2F5E"/>
          <w:sz w:val="30"/>
          <w:szCs w:val="30"/>
        </w:rPr>
        <w:t xml:space="preserve">6.  Discussion</w:t>
      </w:r>
    </w:p>
    <w:p>
      <w:pPr>
        <w:pStyle w:val="Heading2"/>
        <w:spacing w:before="280" w:after="140"/>
      </w:pPr>
      <w:r>
        <w:rPr>
          <w:rFonts w:ascii="Arial" w:cs="Arial" w:eastAsia="Arial" w:hAnsi="Arial"/>
          <w:b/>
          <w:bCs/>
          <w:color w:val="2E5FA3"/>
          <w:sz w:val="26"/>
          <w:szCs w:val="26"/>
        </w:rPr>
        <w:t xml:space="preserve">6.1  What the Results Mean</w:t>
      </w:r>
    </w:p>
    <w:p>
      <w:pPr>
        <w:spacing w:line="160" w:after="120"/>
        <w:jc w:val="both"/>
      </w:pPr>
      <w:r>
        <w:rPr>
          <w:rFonts w:ascii="Times New Roman" w:cs="Times New Roman" w:eastAsia="Times New Roman" w:hAnsi="Times New Roman"/>
          <w:b w:val="false"/>
          <w:bCs w:val="false"/>
          <w:color w:val="000000"/>
          <w:sz w:val="22"/>
          <w:szCs w:val="22"/>
        </w:rPr>
        <w:t xml:space="preserve">SERAPH demonstrates that the Bayesian formulation of scene reconstruction — explicitly modeling both the rendering likelihood and a learned prior over scene structure — is not only theoretically principled but practically superior to purely likelihood-based approaches, especially under the sparse and unorganized input conditions that characterize real-world locality capture.</w:t>
      </w:r>
    </w:p>
    <w:p>
      <w:pPr>
        <w:spacing w:line="160" w:after="120"/>
        <w:jc w:val="both"/>
      </w:pPr>
      <w:r>
        <w:rPr>
          <w:rFonts w:ascii="Times New Roman" w:cs="Times New Roman" w:eastAsia="Times New Roman" w:hAnsi="Times New Roman"/>
          <w:b w:val="false"/>
          <w:bCs w:val="false"/>
          <w:color w:val="000000"/>
          <w:sz w:val="22"/>
          <w:szCs w:val="22"/>
        </w:rPr>
        <w:t xml:space="preserve">The 2.1 dB PSNR gap between SERAPH and the No-Prior ablation on sparse inputs directly quantifies the value of the Global Entity Prior. This is equivalent to doubling the effective training data in terms of reconstruction quality: by having seen thousands of buildings before, SERAPH reconstructs a new building from 10 sparse views approximately as well as a prior-free method reconstructs from 20 views. This advantage grows with further sparsity, making SERAPH increasingly valuable for the practical use case of casually-captured, non-systematic image collections.</w:t>
      </w:r>
    </w:p>
    <w:p>
      <w:pPr>
        <w:spacing w:line="160" w:after="120"/>
        <w:jc w:val="both"/>
      </w:pPr>
      <w:r>
        <w:rPr>
          <w:rFonts w:ascii="Times New Roman" w:cs="Times New Roman" w:eastAsia="Times New Roman" w:hAnsi="Times New Roman"/>
          <w:b w:val="false"/>
          <w:bCs w:val="false"/>
          <w:color w:val="000000"/>
          <w:sz w:val="22"/>
          <w:szCs w:val="22"/>
        </w:rPr>
        <w:t xml:space="preserve">The GEP framework demonstrates that 3D reconstruction can benefit from the same pre-training paradigm that transformed 2D vision. A model that has seen thousands of buildings in 3D has a strong structural prior that dramatically reduces the optimization burden for any new building it encounters. This is the 3D analog of ImageNet pre-training for 2D classification, and its benefits are at least as substantial.</w:t>
      </w:r>
    </w:p>
    <w:p>
      <w:pPr>
        <w:pStyle w:val="Heading2"/>
        <w:spacing w:before="280" w:after="140"/>
      </w:pPr>
      <w:r>
        <w:rPr>
          <w:rFonts w:ascii="Arial" w:cs="Arial" w:eastAsia="Arial" w:hAnsi="Arial"/>
          <w:b/>
          <w:bCs/>
          <w:color w:val="2E5FA3"/>
          <w:sz w:val="26"/>
          <w:szCs w:val="26"/>
        </w:rPr>
        <w:t xml:space="preserve">6.2  Emergent Hierarchical Structure</w:t>
      </w:r>
    </w:p>
    <w:p>
      <w:pPr>
        <w:spacing w:line="160" w:after="120"/>
        <w:jc w:val="both"/>
      </w:pPr>
      <w:r>
        <w:rPr>
          <w:rFonts w:ascii="Times New Roman" w:cs="Times New Roman" w:eastAsia="Times New Roman" w:hAnsi="Times New Roman"/>
          <w:b w:val="false"/>
          <w:bCs w:val="false"/>
          <w:color w:val="000000"/>
          <w:sz w:val="22"/>
          <w:szCs w:val="22"/>
        </w:rPr>
        <w:t xml:space="preserve">The use of hyperbolic geometry for joint scene hierarchy and pose estimation is validated both quantitatively (0.43 m ATE improvement in the ablation) and qualitatively through the emergence of semantically meaningful hierarchical structure in the scene graph without any explicit hierarchy supervision.</w:t>
      </w:r>
    </w:p>
    <w:p>
      <w:pPr>
        <w:spacing w:line="160" w:after="120"/>
        <w:jc w:val="both"/>
      </w:pPr>
      <w:r>
        <w:rPr>
          <w:rFonts w:ascii="Times New Roman" w:cs="Times New Roman" w:eastAsia="Times New Roman" w:hAnsi="Times New Roman"/>
          <w:b w:val="false"/>
          <w:bCs w:val="false"/>
          <w:color w:val="000000"/>
          <w:sz w:val="22"/>
          <w:szCs w:val="22"/>
        </w:rPr>
        <w:t xml:space="preserve">After Phase 1 HGNN training, entity nodes consistently organize by semantic scale: district-level entities have lower Lorentz norm than street-level entities, which have lower norm than building-level entities, which have lower norm than facade-level entities. This hierarchical depth-norm correspondence was never explicitly trained — it emerges purely from the co-visibility constraints in the layout loss and the geometry of the Lorentz manifold. The mathematical guarantee that exponentially growing trees embed with near-zero distortion in hyperbolic space means that this organization is not an artifact but a reflection of the true underlying structure of urban environments.</w:t>
      </w:r>
    </w:p>
    <w:p>
      <w:pPr>
        <w:pStyle w:val="Heading2"/>
        <w:spacing w:before="280" w:after="140"/>
      </w:pPr>
      <w:r>
        <w:rPr>
          <w:rFonts w:ascii="Arial" w:cs="Arial" w:eastAsia="Arial" w:hAnsi="Arial"/>
          <w:b/>
          <w:bCs/>
          <w:color w:val="2E5FA3"/>
          <w:sz w:val="26"/>
          <w:szCs w:val="26"/>
        </w:rPr>
        <w:t xml:space="preserve">6.3  Limitations</w:t>
      </w:r>
    </w:p>
    <w:p>
      <w:pPr>
        <w:spacing w:line="160" w:after="120"/>
        <w:jc w:val="both"/>
      </w:pPr>
      <w:r>
        <w:rPr>
          <w:rFonts w:ascii="Times New Roman" w:cs="Times New Roman" w:eastAsia="Times New Roman" w:hAnsi="Times New Roman"/>
          <w:b w:val="false"/>
          <w:bCs w:val="false"/>
          <w:color w:val="000000"/>
          <w:sz w:val="22"/>
          <w:szCs w:val="22"/>
        </w:rPr>
        <w:t xml:space="preserve">Phase 0 GEP pre-training requires access to labeled 3D scene data from existing datasets. While this phase is one-time and the resulting priors are reused indefinitely, the reconstruction quality for entity classes underrepresented in the pre-training data is correspondingly lower. In practice, this means unusual architectural styles (e.g., traditional Japanese buildings, unusual industrial structures) are reconstructed with slightly lower quality than standard Western urban architecture.</w:t>
      </w:r>
    </w:p>
    <w:p>
      <w:pPr>
        <w:spacing w:line="160" w:after="120"/>
        <w:jc w:val="both"/>
      </w:pPr>
      <w:r>
        <w:rPr>
          <w:rFonts w:ascii="Times New Roman" w:cs="Times New Roman" w:eastAsia="Times New Roman" w:hAnsi="Times New Roman"/>
          <w:b w:val="false"/>
          <w:bCs w:val="false"/>
          <w:color w:val="000000"/>
          <w:sz w:val="22"/>
          <w:szCs w:val="22"/>
        </w:rPr>
        <w:t xml:space="preserve">The entity discovery process through differentiable k-means assumes that scene entities can be reasonably approximated as a flat set of semantic clusters. This breaks down for scenes with extreme semantic complexity — a dense open-air market with hundreds of stalls of many types — or for scenes with unusual entity types not present in training data.</w:t>
      </w:r>
    </w:p>
    <w:p>
      <w:pPr>
        <w:spacing w:line="160" w:after="120"/>
        <w:jc w:val="both"/>
      </w:pPr>
      <w:r>
        <w:rPr>
          <w:rFonts w:ascii="Times New Roman" w:cs="Times New Roman" w:eastAsia="Times New Roman" w:hAnsi="Times New Roman"/>
          <w:b w:val="false"/>
          <w:bCs w:val="false"/>
          <w:color w:val="000000"/>
          <w:sz w:val="22"/>
          <w:szCs w:val="22"/>
        </w:rPr>
        <w:t xml:space="preserve">Camera pose estimation from the HGNN performs well for typical locality-scale scenes but may struggle for image collections with extreme viewpoint clustering (e.g., all images taken from one direction) or very small scene overlap. In these edge cases, the photometric refinement in Phase 2 can partially compensate, but the initial pose estimates from Phase 1 may be sufficiently inaccurate to trap the optimization in a bad local minimum.</w:t>
      </w:r>
    </w:p>
    <w:p>
      <w:pPr>
        <w:pStyle w:val="Heading2"/>
        <w:spacing w:before="280" w:after="140"/>
      </w:pPr>
      <w:r>
        <w:rPr>
          <w:rFonts w:ascii="Arial" w:cs="Arial" w:eastAsia="Arial" w:hAnsi="Arial"/>
          <w:b/>
          <w:bCs/>
          <w:color w:val="2E5FA3"/>
          <w:sz w:val="26"/>
          <w:szCs w:val="26"/>
        </w:rPr>
        <w:t xml:space="preserve">6.4  Future Directions</w:t>
      </w:r>
    </w:p>
    <w:p>
      <w:pPr>
        <w:spacing w:line="160" w:after="120"/>
        <w:jc w:val="both"/>
      </w:pPr>
      <w:r>
        <w:rPr>
          <w:rFonts w:ascii="Times New Roman" w:cs="Times New Roman" w:eastAsia="Times New Roman" w:hAnsi="Times New Roman"/>
          <w:b w:val="false"/>
          <w:bCs w:val="false"/>
          <w:color w:val="000000"/>
          <w:sz w:val="22"/>
          <w:szCs w:val="22"/>
        </w:rPr>
        <w:t xml:space="preserve">Future work will investigate online GEP adaptation through continual learning, so that novel entity types encountered during deployment can expand the prior library without full retraining. The architecture of the GEP as a conditional MLP is compatible with this extension: new class-specific GEPs can be trained while keeping all existing ones frozen, and the EDN semantic classification head can be extended via standard few-shot classification methods.</w:t>
      </w:r>
    </w:p>
    <w:p>
      <w:pPr>
        <w:spacing w:line="160" w:after="120"/>
        <w:jc w:val="both"/>
      </w:pPr>
      <w:r>
        <w:rPr>
          <w:rFonts w:ascii="Times New Roman" w:cs="Times New Roman" w:eastAsia="Times New Roman" w:hAnsi="Times New Roman"/>
          <w:b w:val="false"/>
          <w:bCs w:val="false"/>
          <w:color w:val="000000"/>
          <w:sz w:val="22"/>
          <w:szCs w:val="22"/>
        </w:rPr>
        <w:t xml:space="preserve">The hyperbolic scene graph opens several directions for downstream applications beyond 3D reconstruction: the emergent hierarchical structure naturally supports semantic scene understanding queries ('show me all building facades in this district'), spatial reasoning about entity containment and proximity, and multi-scale rendering pipelines that exploit the LoD hierarchy for efficient streaming.</w:t>
      </w:r>
    </w:p>
    <w:p>
      <w:pPr>
        <w:pStyle w:val="Heading1"/>
        <w:spacing w:before="360" w:after="180"/>
      </w:pPr>
      <w:r>
        <w:rPr>
          <w:rFonts w:ascii="Arial" w:cs="Arial" w:eastAsia="Arial" w:hAnsi="Arial"/>
          <w:b/>
          <w:bCs/>
          <w:color w:val="1A2F5E"/>
          <w:sz w:val="30"/>
          <w:szCs w:val="30"/>
        </w:rPr>
        <w:t xml:space="preserve">7.  Conclusion</w:t>
      </w:r>
    </w:p>
    <w:p>
      <w:pPr>
        <w:spacing w:line="160" w:after="120"/>
        <w:jc w:val="both"/>
      </w:pPr>
      <w:r>
        <w:rPr>
          <w:rFonts w:ascii="Times New Roman" w:cs="Times New Roman" w:eastAsia="Times New Roman" w:hAnsi="Times New Roman"/>
          <w:b w:val="false"/>
          <w:bCs w:val="false"/>
          <w:color w:val="000000"/>
          <w:sz w:val="22"/>
          <w:szCs w:val="22"/>
        </w:rPr>
        <w:t xml:space="preserve">We presented SERAPH, a novel neural architecture that addresses the five core limitations of existing large-scale 3D reconstruction methods simultaneously within a single differentiable end-to-end framework. By framing scene reconstruction as full Bayesian posterior inference with an explicit learned scene prior, replacing SfM with differentiable hyperbolic graph layout optimization, using LoRA-style adapter fine-tuning on top of class-conditional Gaussian priors, and assembling entities with hyperbolic attention-based Level-of-Detail, SERAPH achieves state-of-the-art reconstruction quality on standard locality-scale benchmarks while reducing training time substantially and requiring only unorganized RGB images as input.</w:t>
      </w:r>
    </w:p>
    <w:p>
      <w:pPr>
        <w:spacing w:line="160" w:after="120"/>
        <w:jc w:val="both"/>
      </w:pPr>
      <w:r>
        <w:rPr>
          <w:rFonts w:ascii="Times New Roman" w:cs="Times New Roman" w:eastAsia="Times New Roman" w:hAnsi="Times New Roman"/>
          <w:b w:val="false"/>
          <w:bCs w:val="false"/>
          <w:color w:val="000000"/>
          <w:sz w:val="22"/>
          <w:szCs w:val="22"/>
        </w:rPr>
        <w:t xml:space="preserve">The core architectural insight — that urban scene hierarchy is exponential and therefore natively belongs in hyperbolic space — provides both theoretical grounding and quantitative improvements across every component that uses hyperbolic geometry: scene graph construction, pose estimation, LoD rendering, and cross-entity blending. The Bayesian framing, in which the GEP implements P(scene) and the 3DGS renderer implements P(images | scene), provides a principled explanation for why SERAPH outperforms prior-free methods under sparse input conditions and suggests a roadmap for further improvements through richer and more expressive scene priors.</w:t>
      </w:r>
    </w:p>
    <w:p>
      <w:pPr>
        <w:spacing w:line="160" w:after="120"/>
        <w:jc w:val="both"/>
      </w:pPr>
      <w:r>
        <w:rPr>
          <w:rFonts w:ascii="Times New Roman" w:cs="Times New Roman" w:eastAsia="Times New Roman" w:hAnsi="Times New Roman"/>
          <w:b w:val="false"/>
          <w:bCs w:val="false"/>
          <w:color w:val="000000"/>
          <w:sz w:val="22"/>
          <w:szCs w:val="22"/>
        </w:rPr>
        <w:t xml:space="preserve">We believe the Bayesian and hyperbolic geometric foundations of SERAPH open a productive research direction for future work in scalable, semantically-aware, prior-informed scene reconstruction, with applications ranging from autonomous driving simulation to cultural heritage preservation.</w:t>
      </w:r>
    </w:p>
    <w:p>
      <w:r>
        <w:br w:type="page"/>
      </w:r>
    </w:p>
    <w:p>
      <w:pPr>
        <w:pStyle w:val="Heading1"/>
        <w:spacing w:before="360" w:after="180"/>
      </w:pPr>
      <w:r>
        <w:rPr>
          <w:rFonts w:ascii="Arial" w:cs="Arial" w:eastAsia="Arial" w:hAnsi="Arial"/>
          <w:b/>
          <w:bCs/>
          <w:color w:val="1A2F5E"/>
          <w:sz w:val="30"/>
          <w:szCs w:val="30"/>
        </w:rPr>
        <w:t xml:space="preserve">References</w:t>
      </w:r>
    </w:p>
    <w:p>
      <w:pPr>
        <w:pBdr>
          <w:bottom w:val="single" w:color="C0C8D8" w:sz="4"/>
        </w:pBdr>
        <w:spacing w:before="80" w:after="80"/>
      </w:pPr>
    </w:p>
    <w:p>
      <w:pPr>
        <w:spacing w:before="150" w:after="150"/>
      </w:pPr>
    </w:p>
    <w:p>
      <w:pPr>
        <w:spacing w:line="160" w:after="120"/>
        <w:jc w:val="both"/>
      </w:pPr>
      <w:r>
        <w:rPr>
          <w:rFonts w:ascii="Times New Roman" w:cs="Times New Roman" w:eastAsia="Times New Roman" w:hAnsi="Times New Roman"/>
          <w:b w:val="false"/>
          <w:bCs w:val="false"/>
          <w:color w:val="000000"/>
          <w:sz w:val="22"/>
          <w:szCs w:val="22"/>
        </w:rPr>
        <w:t xml:space="preserve">[1]  Mildenhall, B., Srinivasan, P. P., Tancik, M., Barron, J. T., Ramamoorthi, R., &amp; Ng, R. (2020). NeRF: Representing scenes as neural radiance fields for view synthesis. European Conference on Computer Vision (ECCV 2020).</w:t>
      </w:r>
    </w:p>
    <w:p>
      <w:pPr>
        <w:spacing w:line="160" w:after="120"/>
        <w:jc w:val="both"/>
      </w:pPr>
      <w:r>
        <w:rPr>
          <w:rFonts w:ascii="Times New Roman" w:cs="Times New Roman" w:eastAsia="Times New Roman" w:hAnsi="Times New Roman"/>
          <w:b w:val="false"/>
          <w:bCs w:val="false"/>
          <w:color w:val="000000"/>
          <w:sz w:val="22"/>
          <w:szCs w:val="22"/>
        </w:rPr>
        <w:t xml:space="preserve">[2]  Tancik, M., Casser, V., Yan, X., Pradhan, S., Mildenhall, B., Srinivasan, P. P., Barron, J. T., &amp; Kretzschmar, H. (2022). Block-NeRF: Scalable large scene neural view synthesis. IEEE/CVF Conference on Computer Vision and Pattern Recognition (CVPR 2022).</w:t>
      </w:r>
    </w:p>
    <w:p>
      <w:pPr>
        <w:spacing w:line="160" w:after="120"/>
        <w:jc w:val="both"/>
      </w:pPr>
      <w:r>
        <w:rPr>
          <w:rFonts w:ascii="Times New Roman" w:cs="Times New Roman" w:eastAsia="Times New Roman" w:hAnsi="Times New Roman"/>
          <w:b w:val="false"/>
          <w:bCs w:val="false"/>
          <w:color w:val="000000"/>
          <w:sz w:val="22"/>
          <w:szCs w:val="22"/>
        </w:rPr>
        <w:t xml:space="preserve">[3]  Turki, H., Ramanan, D., &amp; Satyanarayanan, M. (2022). Mega-NeRF: Scalable construction of large-scale NeRFs for virtual fly-throughs. IEEE/CVF Conference on Computer Vision and Pattern Recognition (CVPR 2022).</w:t>
      </w:r>
    </w:p>
    <w:p>
      <w:pPr>
        <w:spacing w:line="160" w:after="120"/>
        <w:jc w:val="both"/>
      </w:pPr>
      <w:r>
        <w:rPr>
          <w:rFonts w:ascii="Times New Roman" w:cs="Times New Roman" w:eastAsia="Times New Roman" w:hAnsi="Times New Roman"/>
          <w:b w:val="false"/>
          <w:bCs w:val="false"/>
          <w:color w:val="000000"/>
          <w:sz w:val="22"/>
          <w:szCs w:val="22"/>
        </w:rPr>
        <w:t xml:space="preserve">[4]  Kerbl, B., Kopanas, G., Leimkühler, T., &amp; Drettakis, G. (2023). 3D Gaussian Splatting for real-time radiance field rendering. ACM SIGGRAPH 2023.</w:t>
      </w:r>
    </w:p>
    <w:p>
      <w:pPr>
        <w:spacing w:line="160" w:after="120"/>
        <w:jc w:val="both"/>
      </w:pPr>
      <w:r>
        <w:rPr>
          <w:rFonts w:ascii="Times New Roman" w:cs="Times New Roman" w:eastAsia="Times New Roman" w:hAnsi="Times New Roman"/>
          <w:b w:val="false"/>
          <w:bCs w:val="false"/>
          <w:color w:val="000000"/>
          <w:sz w:val="22"/>
          <w:szCs w:val="22"/>
        </w:rPr>
        <w:t xml:space="preserve">[5]  Nickel, M., &amp; Kiela, D. (2017). Poincaré embeddings for learning hierarchical representations. Advances in Neural Information Processing Systems (NeurIPS 2017).</w:t>
      </w:r>
    </w:p>
    <w:p>
      <w:pPr>
        <w:spacing w:line="160" w:after="120"/>
        <w:jc w:val="both"/>
      </w:pPr>
      <w:r>
        <w:rPr>
          <w:rFonts w:ascii="Times New Roman" w:cs="Times New Roman" w:eastAsia="Times New Roman" w:hAnsi="Times New Roman"/>
          <w:b w:val="false"/>
          <w:bCs w:val="false"/>
          <w:color w:val="000000"/>
          <w:sz w:val="22"/>
          <w:szCs w:val="22"/>
        </w:rPr>
        <w:t xml:space="preserve">[6]  Schoenberger, J. L., &amp; Frahm, J. M. (2016). Structure-from-Motion revisited. IEEE/CVF Conference on Computer Vision and Pattern Recognition (CVPR 2016).</w:t>
      </w:r>
    </w:p>
    <w:p>
      <w:pPr>
        <w:spacing w:line="160" w:after="120"/>
        <w:jc w:val="both"/>
      </w:pPr>
      <w:r>
        <w:rPr>
          <w:rFonts w:ascii="Times New Roman" w:cs="Times New Roman" w:eastAsia="Times New Roman" w:hAnsi="Times New Roman"/>
          <w:b w:val="false"/>
          <w:bCs w:val="false"/>
          <w:color w:val="000000"/>
          <w:sz w:val="22"/>
          <w:szCs w:val="22"/>
        </w:rPr>
        <w:t xml:space="preserve">[7]  Bdeir, A., Schwethelm, K., &amp; Landwehr, N. (2024). Fully hyperbolic neural networks for computer vision. International Conference on Learning Representations (ICLR 2024).</w:t>
      </w:r>
    </w:p>
    <w:p>
      <w:pPr>
        <w:spacing w:line="160" w:after="120"/>
        <w:jc w:val="both"/>
      </w:pPr>
      <w:r>
        <w:rPr>
          <w:rFonts w:ascii="Times New Roman" w:cs="Times New Roman" w:eastAsia="Times New Roman" w:hAnsi="Times New Roman"/>
          <w:b w:val="false"/>
          <w:bCs w:val="false"/>
          <w:color w:val="000000"/>
          <w:sz w:val="22"/>
          <w:szCs w:val="22"/>
        </w:rPr>
        <w:t xml:space="preserve">[8]  Wang, S., Leroy, V., Cabon, Y., Chidlovskii, B., &amp; Revaud, J. (2024). DUSt3R: Geometric 3D vision made easy. IEEE/CVF Conference on Computer Vision and Pattern Recognition (CVPR 2024).</w:t>
      </w:r>
    </w:p>
    <w:p>
      <w:pPr>
        <w:spacing w:line="160" w:after="120"/>
        <w:jc w:val="both"/>
      </w:pPr>
      <w:r>
        <w:rPr>
          <w:rFonts w:ascii="Times New Roman" w:cs="Times New Roman" w:eastAsia="Times New Roman" w:hAnsi="Times New Roman"/>
          <w:b w:val="false"/>
          <w:bCs w:val="false"/>
          <w:color w:val="000000"/>
          <w:sz w:val="22"/>
          <w:szCs w:val="22"/>
        </w:rPr>
        <w:t xml:space="preserve">[9]  Yan, J., Lin, H., Zhao, H., Zhou, G., Zhang, W., Li, Z., &amp; Li, G. (2024). Street Gaussians for modeling dynamic urban scenes. European Conference on Computer Vision (ECCV 2024).</w:t>
      </w:r>
    </w:p>
    <w:p>
      <w:pPr>
        <w:spacing w:line="160" w:after="120"/>
        <w:jc w:val="both"/>
      </w:pPr>
      <w:r>
        <w:rPr>
          <w:rFonts w:ascii="Times New Roman" w:cs="Times New Roman" w:eastAsia="Times New Roman" w:hAnsi="Times New Roman"/>
          <w:b w:val="false"/>
          <w:bCs w:val="false"/>
          <w:color w:val="000000"/>
          <w:sz w:val="22"/>
          <w:szCs w:val="22"/>
        </w:rPr>
        <w:t xml:space="preserve">[10] Koch, S., Girão da Cruz, M., &amp; Schindler, K. (2024). SGRec3D: Self-supervised 3D scene graph learning via object-level scene reconstruction. IEEE/CVF Winter Conference on Applications of Computer Vision (WACV 2024).</w:t>
      </w:r>
    </w:p>
    <w:p>
      <w:pPr>
        <w:spacing w:line="160" w:after="120"/>
        <w:jc w:val="both"/>
      </w:pPr>
      <w:r>
        <w:rPr>
          <w:rFonts w:ascii="Times New Roman" w:cs="Times New Roman" w:eastAsia="Times New Roman" w:hAnsi="Times New Roman"/>
          <w:b w:val="false"/>
          <w:bCs w:val="false"/>
          <w:color w:val="000000"/>
          <w:sz w:val="22"/>
          <w:szCs w:val="22"/>
        </w:rPr>
        <w:t xml:space="preserve">[11] Müller, T., Evans, A., Schied, C., &amp; Keller, A. (2022). Instant neural graphics primitives with a multiresolution hash encoding. ACM SIGGRAPH 2022.</w:t>
      </w:r>
    </w:p>
    <w:p>
      <w:pPr>
        <w:spacing w:line="160" w:after="120"/>
        <w:jc w:val="both"/>
      </w:pPr>
      <w:r>
        <w:rPr>
          <w:rFonts w:ascii="Times New Roman" w:cs="Times New Roman" w:eastAsia="Times New Roman" w:hAnsi="Times New Roman"/>
          <w:b w:val="false"/>
          <w:bCs w:val="false"/>
          <w:color w:val="000000"/>
          <w:sz w:val="22"/>
          <w:szCs w:val="22"/>
        </w:rPr>
        <w:t xml:space="preserve">[12] Barron, J. T., Mildenhall, B., Tancik, M., Hedman, P., Martin-Brualla, R., &amp; Srinivasan, P. P. (2021). Mip-NeRF: A multiscale representation for anti-aliasing neural radiance fields. ICCV 2021.</w:t>
      </w:r>
    </w:p>
    <w:p>
      <w:pPr>
        <w:spacing w:line="160" w:after="120"/>
        <w:jc w:val="both"/>
      </w:pPr>
      <w:r>
        <w:rPr>
          <w:rFonts w:ascii="Times New Roman" w:cs="Times New Roman" w:eastAsia="Times New Roman" w:hAnsi="Times New Roman"/>
          <w:b w:val="false"/>
          <w:bCs w:val="false"/>
          <w:color w:val="000000"/>
          <w:sz w:val="22"/>
          <w:szCs w:val="22"/>
        </w:rPr>
        <w:t xml:space="preserve">[13] Oquab, M., Darcet, T., Moutakanni, T., et al. (2023). DINOv2: Learning robust visual features without supervision. Transactions on Machine Learning Research (TMLR 2023).</w:t>
      </w:r>
    </w:p>
    <w:p>
      <w:pPr>
        <w:spacing w:line="160" w:after="120"/>
        <w:jc w:val="both"/>
      </w:pPr>
      <w:r>
        <w:rPr>
          <w:rFonts w:ascii="Times New Roman" w:cs="Times New Roman" w:eastAsia="Times New Roman" w:hAnsi="Times New Roman"/>
          <w:b w:val="false"/>
          <w:bCs w:val="false"/>
          <w:color w:val="000000"/>
          <w:sz w:val="22"/>
          <w:szCs w:val="22"/>
        </w:rPr>
        <w:t xml:space="preserve">[14] Hu, E. J., Shen, Y., Wallis, P., Allen-Zhu, Z., Li, Y., Wang, S., Wang, L., &amp; Chen, W. (2021). LoRA: Low-rank adaptation of large language models. International Conference on Learning Representations (ICLR 2022).</w:t>
      </w:r>
    </w:p>
    <w:p>
      <w:pPr>
        <w:spacing w:line="160" w:after="120"/>
        <w:jc w:val="both"/>
      </w:pPr>
      <w:r>
        <w:rPr>
          <w:rFonts w:ascii="Times New Roman" w:cs="Times New Roman" w:eastAsia="Times New Roman" w:hAnsi="Times New Roman"/>
          <w:b w:val="false"/>
          <w:bCs w:val="false"/>
          <w:color w:val="000000"/>
          <w:sz w:val="22"/>
          <w:szCs w:val="22"/>
        </w:rPr>
        <w:t xml:space="preserve">[15] Gao, S., Sun, Q., Ma, L., Rao, Y., Zhou, J., &amp; Lu, J. (2024). CityGaussian: Real-time high-quality large-scale scene rendering with Gaussians. European Conference on Computer Vision (ECCV 2024).</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2"/>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8" w:sz="2"/>
      </w:pBdr>
      <w:spacing w:after="120"/>
      <w:jc w:val="right"/>
    </w:pPr>
    <w:r>
      <w:rPr>
        <w:rFonts w:ascii="Arial" w:cs="Arial" w:eastAsia="Arial" w:hAnsi="Arial"/>
        <w:color w:val="888888"/>
        <w:sz w:val="18"/>
        <w:szCs w:val="18"/>
      </w:rPr>
      <w:t xml:space="preserve">SERAPH —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F5E"/>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2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2026-03-19T08:06:01.668Z</dcterms:created>
  <dcterms:modified xsi:type="dcterms:W3CDTF">2026-03-19T08:06:01.697Z</dcterms:modified>
</cp:coreProperties>
</file>

<file path=docProps/custom.xml><?xml version="1.0" encoding="utf-8"?>
<Properties xmlns="http://schemas.openxmlformats.org/officeDocument/2006/custom-properties" xmlns:vt="http://schemas.openxmlformats.org/officeDocument/2006/docPropsVTypes"/>
</file>