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COMMENT ON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HHS HEALTH SECTOR AI RFI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for Information</w:t>
      </w:r>
      <w:r w:rsidDel="00000000" w:rsidR="00000000" w:rsidRPr="00000000">
        <w:rPr>
          <w:rtl w:val="0"/>
        </w:rPr>
        <w:t xml:space="preserve">: Accelerating the Adoption and Use of Artificial Intelligence as Part of Clinical Care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Submitted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David Condrey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Affiliation: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Founder &amp; CEO, WritersLogic,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  <w:t xml:space="preserve">February 19, 2026</w:t>
      </w:r>
    </w:p>
    <w:p w:rsidR="00000000" w:rsidDel="00000000" w:rsidP="00000000" w:rsidRDefault="00000000" w:rsidRPr="00000000" w14:paraId="00000007">
      <w:pP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david@writerslogic.com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HHS has correctly identified that public trust is a precondition for AI adoption in clinical care.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This comment addresses a specific and underexamined barrier to that trust: the inability to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verify who produced a clinical document after the fact.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When AI-assisted documentation becomes indistinguishable from documentation produced by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a licensed clinician, accountability collapses. Malpractice attribution becomes probabilistic.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Informed consent records become unverifiable. The physician signature at the bottom of a note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attests presence but not authorship. Under current conditions, no technical mechanism exists to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answer the question a court, a regulator, or a patient’s family will eventually ask: did a human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clinician actually compose this, or did they ratify output they did not write?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This is not a future problem. It is a present one that will intensify as AI-assisted documentation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tools become standard across clinical settings.</w:t>
      </w:r>
    </w:p>
    <w:p w:rsidR="00000000" w:rsidDel="00000000" w:rsidP="00000000" w:rsidRDefault="00000000" w:rsidRPr="00000000" w14:paraId="0000001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Provenance Gap in Clinical AI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HHS’s RFI frames accountability and transparency as central values for AI adoption in clinical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care. Current AI governance frameworks address accountability at the model level, through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audits, validation studies, and performance benchmarks. These are necessary. They are not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Sufficient.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What they do not address is accountability at the document level: the chain of evidence linking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specific clinical record to the specific human who produced it, in real time, during the act of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Composition.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Existing attribution methods work backward from a finished document. Statistical classifiers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attempt to distinguish AI-generated text from human-generated text based on patterns in the output. These methods produce approximations. They are inadmissible as evidence of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authorship. They cannot establish, with cryptographic certainty, that a licensed clinician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composed a document rather than reviewed or edited AI-generated text.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practical consequences for HHS’s stated goals are direct. Without verifiable authorship at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document level, the following cannot be reliably established: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Whether a clinical note was authored by a licensed professional or generated by an AI system and co-signed without material human contribution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Whether documentation submitted for Medicare or Medicaid reimbursement reflects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genuine clinical judgment or automated output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Whether a patient’s informed consent record was produced through authentic human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engagement or AI-assisted templating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Each of these is a liability exposure, a fraud vector, and a trust erosion point that AI adoption at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scale will amplify.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20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</w:t>
      </w:r>
      <w:r w:rsidDel="00000000" w:rsidR="00000000" w:rsidRPr="00000000">
        <w:rPr>
          <w:rtl w:val="0"/>
        </w:rPr>
        <w:t xml:space="preserve"> Existing Technical Infrastructure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 am the developer of witnessd, an open-source cryptographic protocol for proving human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authorship through keystroke dynamics and process evidence. The protocol operates at the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moment of composition, not after the fact. It captures cryptographically signed evidence of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human keystrokes, timing patterns, and compositional sequence in real time, producing 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verifiable record that a human was present and active during the creation of a document.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distinction that matters for HHS’s framework is between forensic inference and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prospective proof. Every current attribution method is forensic: it examines a finished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 and infers probable authorship. witnessd is prospective: it captures evidence during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composition that can be verified independently of the document’s content.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Applied in clinical documentation contexts, this means a clinician using a witnessd-enabled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documentation environment produces not just a signed note but a cryptographic record of the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human compositional process behind it. That record is auditable, tamper-evident, and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verifiable by regulators, payers, or legal parties without requiring access to AI detection tools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whose reliability remains contested.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protocol is open-source and has Internet-Drafts currently under review by the IETF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SECDISPATCH working group: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draft-condrey-rats-pop-protocol-06 — Proof of Process (PoP): Architecture and Evidence Format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draft-condrey-rats-pop-appraisal-04 — Proof of Process (PoP): Forensic Appraisal and Security Model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Both drafts are profiled against the IETF Remote Attestation Procedures (RATS) architecture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(RFC 9334). The companion reference implementation, witnessd, is written in Rust with SLSA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Level 3 reproducible builds (https://github.com/writerslogic/witnessd). My published research,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On the Insecurity of Keystroke-Based AI Authorship Detection: Timing-Forgery Attacks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Against Motor-Signal Verification (arXiv:2601.17280), examines the adversarial threat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landscape for authorship verification systems. I also submitted technical comments 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NIST-2025-0035 this month, positioning unverified AI output as an agent security threat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within the federal AI security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20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rtl w:val="0"/>
        </w:rPr>
        <w:t xml:space="preserve">Recommendations to HHS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HHS has three levers available: regulation, reimbursement, and research and development.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This comment addresses each.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Regulation.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 xml:space="preserve">HHS should consider requiring that AI-assisted clinical documentation tools deployed in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regulated care settings provide verifiable evidence of human authorship at the document level,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not merely a clinician signature or attestation. The distinction between a signature and a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cryptographic authorship record is the difference between assertion and evidence. Regulatory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  <w:t xml:space="preserve">guidance that draws this distinction would incentivize the development and adoption of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  <w:t xml:space="preserve">prospective authorship verification infrastructure.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Reimbursement.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CMS reimbursement policy already conditions payment on documentation requirements. HHS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  <w:t xml:space="preserve">should evaluate whether existing documentation standards are adequate to distinguish</w:t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  <w:t xml:space="preserve">AI-generated output from clinician-authored records, and whether reimbursement criteria</w:t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  <w:t xml:space="preserve">should require verifiable evidence of human authorship for high-stakes clinical documentation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  <w:t xml:space="preserve">categories. The absence of such standards creates a fraud vector that will grow as AI</w:t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  <w:t xml:space="preserve">documentation tools proliferate.</w:t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and Development.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  <w:t xml:space="preserve">HHS and NIH should fund development of open standards for clinical authorship verification,</w:t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  <w:t xml:space="preserve">with particular attention to interoperability with existing EHR systems. The technical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  <w:t xml:space="preserve">infrastructure described here is nascent but deployable. Federal investment in this area would</w:t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  <w:t xml:space="preserve">produce durable public infrastructure rather than proprietary solutions that fragment the market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  <w:t xml:space="preserve">and create interoperability failures.</w:t>
      </w:r>
    </w:p>
    <w:p w:rsidR="00000000" w:rsidDel="00000000" w:rsidP="00000000" w:rsidRDefault="00000000" w:rsidRPr="00000000" w14:paraId="0000006A">
      <w:pPr>
        <w:spacing w:after="20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20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AI adoption in clinical care will accelerate regardless of regulatory posture. The question HHS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can answer now is whether that acceleration happens with or without verifiable human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accountability at the document level. The technical infrastructure to answer this question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prospectively, at the moment of composition, rather than forensically after the fact, exists and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 available for federal engagement.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 welcome the opportunity to provide additional technical detail, demonstrate the reference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implementation, or discuss these considerations further.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David Condrey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Founder &amp; CEO, WritersLogic, Inc.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david@writerslogic.com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https://writerslogic.com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[PoP-Protocol] </w:t>
      </w:r>
      <w:r w:rsidDel="00000000" w:rsidR="00000000" w:rsidRPr="00000000">
        <w:rPr>
          <w:rtl w:val="0"/>
        </w:rPr>
        <w:t xml:space="preserve">D. Condrey, “Proof of Process (PoP): Architecture and Evidence Format,”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left"/>
        <w:rPr/>
      </w:pPr>
      <w:r w:rsidDel="00000000" w:rsidR="00000000" w:rsidRPr="00000000">
        <w:rPr>
          <w:rtl w:val="0"/>
        </w:rPr>
        <w:t xml:space="preserve">Internet-Draft draft-condrey-rats-pop-protocol-06, IETF, 2026.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left"/>
        <w:rPr/>
      </w:pPr>
      <w:r w:rsidDel="00000000" w:rsidR="00000000" w:rsidRPr="00000000">
        <w:rPr>
          <w:rtl w:val="0"/>
        </w:rPr>
        <w:t xml:space="preserve">https://datatracker.ietf.org/doc/draft-condrey-rats-pop-protocol/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[PoP-Appraisal] </w:t>
      </w:r>
      <w:r w:rsidDel="00000000" w:rsidR="00000000" w:rsidRPr="00000000">
        <w:rPr>
          <w:rtl w:val="0"/>
        </w:rPr>
        <w:t xml:space="preserve">D. Condrey, “Proof of Process (PoP): Forensic Appraisal and Security Model,”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left"/>
        <w:rPr/>
      </w:pPr>
      <w:r w:rsidDel="00000000" w:rsidR="00000000" w:rsidRPr="00000000">
        <w:rPr>
          <w:rtl w:val="0"/>
        </w:rPr>
        <w:t xml:space="preserve">Internet-Draft draft-condrey-rats-pop-appraisal-04, IETF, 2026.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left"/>
        <w:rPr/>
      </w:pPr>
      <w:r w:rsidDel="00000000" w:rsidR="00000000" w:rsidRPr="00000000">
        <w:rPr>
          <w:rtl w:val="0"/>
        </w:rPr>
        <w:t xml:space="preserve">https://datatracker.ietf.org/doc/draft-condrey-rats-pop-appraisal/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[RFC 9334] </w:t>
      </w:r>
      <w:r w:rsidDel="00000000" w:rsidR="00000000" w:rsidRPr="00000000">
        <w:rPr>
          <w:rtl w:val="0"/>
        </w:rPr>
        <w:t xml:space="preserve">H. Birkholz, D. Thaler, M. Richardson, N. Smith, W. Pan, “Remote ATtestation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left"/>
        <w:rPr/>
      </w:pPr>
      <w:r w:rsidDel="00000000" w:rsidR="00000000" w:rsidRPr="00000000">
        <w:rPr>
          <w:rtl w:val="0"/>
        </w:rPr>
        <w:t xml:space="preserve">procedureS (RATS) Architecture,” RFC 9334, IETF, January 2023.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63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[witnessd] </w:t>
      </w:r>
      <w:r w:rsidDel="00000000" w:rsidR="00000000" w:rsidRPr="00000000">
        <w:rPr>
          <w:rtl w:val="0"/>
        </w:rPr>
        <w:t xml:space="preserve">Writerslogic, Inc., “witnessd: Cryptographic Authorship Witnessing System,”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540"/>
        <w:jc w:val="left"/>
        <w:rPr/>
      </w:pPr>
      <w:r w:rsidDel="00000000" w:rsidR="00000000" w:rsidRPr="00000000">
        <w:rPr>
          <w:rtl w:val="0"/>
        </w:rPr>
        <w:t xml:space="preserve">Open-source implementation(Rust, SLSA Lvl 3). https://github.com/writerslogic/witnessd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[Condrey-2025] </w:t>
      </w:r>
      <w:r w:rsidDel="00000000" w:rsidR="00000000" w:rsidRPr="00000000">
        <w:rPr>
          <w:rtl w:val="0"/>
        </w:rPr>
        <w:t xml:space="preserve">D. Condrey, “On the Insecurity of Keystroke-Based AI Authorship Detection: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Timing-Forgery Attacks Against Motor-Signal Verification,” arXiv:2601.17280, 2025.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[NIST AI 100-2e2025] </w:t>
      </w:r>
      <w:r w:rsidDel="00000000" w:rsidR="00000000" w:rsidRPr="00000000">
        <w:rPr>
          <w:rtl w:val="0"/>
        </w:rPr>
        <w:t xml:space="preserve">NIST, “Adversarial Machine Learning: A Taxonomy and Terminology of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Attacks and Mitigations.”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[C2PA]</w:t>
      </w:r>
      <w:r w:rsidDel="00000000" w:rsidR="00000000" w:rsidRPr="00000000">
        <w:rPr>
          <w:rtl w:val="0"/>
        </w:rPr>
        <w:t xml:space="preserve"> Coalition for Content Provenance and Authenticity, C2PA Technical Specification, v2.2.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https://c2pa.org/specifications/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