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2123" w14:textId="77777777" w:rsidR="00DA6F1E" w:rsidRDefault="00DA6F1E" w:rsidP="00DA6F1E">
      <w:pPr>
        <w:spacing w:after="80"/>
      </w:pPr>
      <w:r>
        <w:rPr>
          <w:b/>
          <w:bCs/>
          <w:sz w:val="28"/>
          <w:szCs w:val="28"/>
        </w:rPr>
        <w:t>PUBLIC COMMENT</w:t>
      </w:r>
    </w:p>
    <w:p w14:paraId="3E0A34CD" w14:textId="77777777" w:rsidR="00DA6F1E" w:rsidRDefault="00DA6F1E" w:rsidP="00DA6F1E">
      <w:pPr>
        <w:spacing w:after="160"/>
      </w:pPr>
      <w:r>
        <w:t>RE: RIN 0955–AA13, Request for Information: Accelerating the Adoption and Use of Artificial Intelligence as Part of Clinical Care (FR Doc. 2025–23641)</w:t>
      </w:r>
    </w:p>
    <w:p w14:paraId="794DCBC5" w14:textId="2471E4E8" w:rsidR="00DA6F1E" w:rsidRDefault="00DA6F1E" w:rsidP="00ED2C0D">
      <w:pPr>
        <w:spacing w:after="160"/>
      </w:pPr>
      <w:r>
        <w:t>Submitted via: Regulations.gov</w:t>
      </w:r>
    </w:p>
    <w:p w14:paraId="69FADA92" w14:textId="6B90571A" w:rsidR="00DA6F1E" w:rsidRDefault="00DA6F1E" w:rsidP="00DA6F1E">
      <w:pPr>
        <w:spacing w:after="160"/>
      </w:pPr>
      <w:r>
        <w:t xml:space="preserve">I am a senior leader responsible for digital health and inclusion-focused innovation at a safety-net academic medical center in Brooklyn. I am developing an institutional framework for responsible AI governance and adoption, informed by direct implementation experience deploying patient-facing AI tools in a safety-net setting. I submit these comments in my individual professional capacity. I am responding to RFI </w:t>
      </w:r>
      <w:r>
        <w:rPr>
          <w:b/>
          <w:bCs/>
        </w:rPr>
        <w:t>Question 2</w:t>
      </w:r>
      <w:r>
        <w:t xml:space="preserve"> (policy priorities), </w:t>
      </w:r>
      <w:r>
        <w:rPr>
          <w:b/>
          <w:bCs/>
        </w:rPr>
        <w:t>Question 9</w:t>
      </w:r>
      <w:r>
        <w:t xml:space="preserve"> (patient and caregiver needs), and </w:t>
      </w:r>
      <w:r>
        <w:rPr>
          <w:b/>
          <w:bCs/>
        </w:rPr>
        <w:t>Question 10</w:t>
      </w:r>
      <w:r>
        <w:t xml:space="preserve"> (research priorities).</w:t>
      </w:r>
    </w:p>
    <w:p w14:paraId="57A00D52" w14:textId="77777777" w:rsidR="00DA6F1E" w:rsidRDefault="00DA6F1E" w:rsidP="00DA6F1E">
      <w:pPr>
        <w:spacing w:after="160"/>
      </w:pPr>
      <w:r>
        <w:t>This comment focuses on patient- and caregiver-facing clinical AI: portal chatbots, voice agents, automated intake workflows, and AI-enabled outreach used directly by patients and caregivers. These tools can improve access and efficiency, but those benefits will not reach everyone unless tools are built for real-world conditions—limited English proficiency, low health literacy, disability access needs, and uneven digital access. In safety-net settings, the most helpful federal actions are practical requirements that protect patients without imposing unrealistic burden.</w:t>
      </w:r>
    </w:p>
    <w:p w14:paraId="322BED6A" w14:textId="77777777" w:rsidR="00DA6F1E" w:rsidRDefault="00DA6F1E" w:rsidP="00DA6F1E">
      <w:pPr>
        <w:pStyle w:val="Heading2"/>
        <w:spacing w:before="280"/>
      </w:pPr>
      <w:r>
        <w:t>Existing civil rights and accessibility obligations apply to AI-enabled care</w:t>
      </w:r>
    </w:p>
    <w:p w14:paraId="5A3FC131" w14:textId="77777777" w:rsidR="00DA6F1E" w:rsidRDefault="00DA6F1E" w:rsidP="00DA6F1E">
      <w:pPr>
        <w:spacing w:after="160"/>
      </w:pPr>
      <w:r>
        <w:t>HHS should make clear that AI-enabled patient communication does not reduce or replace existing legal responsibilities. Title VI and Section 1557, the ADA and Section 508, and the Plain Writing Act apply to AI-enabled communication pathways just as they apply to in-person, written, and telephonic communication. HHS can accelerate adoption by translating these obligations into baseline requirements that are clear for vendors and feasible for under-resourced providers.</w:t>
      </w:r>
    </w:p>
    <w:p w14:paraId="5AE34BCB" w14:textId="77777777" w:rsidR="00DA6F1E" w:rsidRDefault="00DA6F1E" w:rsidP="00DA6F1E">
      <w:pPr>
        <w:pStyle w:val="Heading2"/>
        <w:spacing w:before="280"/>
      </w:pPr>
      <w:r>
        <w:t>Four baseline requirements for patient-facing AI (RFI Q2 and Q9)</w:t>
      </w:r>
    </w:p>
    <w:p w14:paraId="5CDF802A" w14:textId="77777777" w:rsidR="00DA6F1E" w:rsidRDefault="00DA6F1E" w:rsidP="00DA6F1E">
      <w:pPr>
        <w:spacing w:before="180" w:after="80"/>
      </w:pPr>
      <w:r>
        <w:rPr>
          <w:b/>
          <w:bCs/>
        </w:rPr>
        <w:t>1. Transparency</w:t>
      </w:r>
    </w:p>
    <w:p w14:paraId="0544A7CC" w14:textId="77777777" w:rsidR="00DA6F1E" w:rsidRDefault="00DA6F1E" w:rsidP="00DA6F1E">
      <w:pPr>
        <w:spacing w:after="160"/>
      </w:pPr>
      <w:r>
        <w:t xml:space="preserve">Patients should be told at the start of an interaction that AI is involved, what it can and cannot do, and how to reach a person at any time. </w:t>
      </w:r>
      <w:r>
        <w:rPr>
          <w:i/>
          <w:iCs/>
        </w:rPr>
        <w:t xml:space="preserve">Recommended baseline: </w:t>
      </w:r>
      <w:r>
        <w:t>plain-language disclosure at the start of the interaction, plus a persistent “get help from a person” option.</w:t>
      </w:r>
    </w:p>
    <w:p w14:paraId="35E5FD19" w14:textId="77777777" w:rsidR="00DA6F1E" w:rsidRDefault="00DA6F1E" w:rsidP="00DA6F1E">
      <w:pPr>
        <w:spacing w:before="180" w:after="80"/>
      </w:pPr>
      <w:r>
        <w:rPr>
          <w:b/>
          <w:bCs/>
        </w:rPr>
        <w:t>2. Language access</w:t>
      </w:r>
    </w:p>
    <w:p w14:paraId="532B8691" w14:textId="77777777" w:rsidR="00DA6F1E" w:rsidRDefault="00DA6F1E" w:rsidP="00DA6F1E">
      <w:pPr>
        <w:spacing w:after="160"/>
      </w:pPr>
      <w:r>
        <w:t xml:space="preserve">In safety-net settings, language access is a basic safety requirement. If disclosures and instructions are only available in English, patients with limited English proficiency are shut out of safe use. </w:t>
      </w:r>
      <w:r>
        <w:rPr>
          <w:i/>
          <w:iCs/>
        </w:rPr>
        <w:t xml:space="preserve">Recommended baseline: </w:t>
      </w:r>
      <w:r>
        <w:t>support English and the top 2–3 languages by patient volume at the site, with an easy language switch and a clear pathway to human help in all supported languages.</w:t>
      </w:r>
    </w:p>
    <w:p w14:paraId="47D64463" w14:textId="77777777" w:rsidR="00DA6F1E" w:rsidRDefault="00DA6F1E" w:rsidP="00DA6F1E">
      <w:pPr>
        <w:spacing w:before="180" w:after="80"/>
      </w:pPr>
      <w:r>
        <w:rPr>
          <w:b/>
          <w:bCs/>
        </w:rPr>
        <w:t>3. Plain language</w:t>
      </w:r>
    </w:p>
    <w:p w14:paraId="020A7065" w14:textId="77777777" w:rsidR="00DA6F1E" w:rsidRDefault="00DA6F1E" w:rsidP="00DA6F1E">
      <w:pPr>
        <w:spacing w:after="160"/>
      </w:pPr>
      <w:r>
        <w:lastRenderedPageBreak/>
        <w:t xml:space="preserve">Transparency only works if patients understand what they are being told. Patient-facing AI should be written at or below a 6th-grade reading level, consistent with the Plain Writing Act, and should prioritize short, single-task instructions. </w:t>
      </w:r>
      <w:r>
        <w:rPr>
          <w:i/>
          <w:iCs/>
        </w:rPr>
        <w:t xml:space="preserve">Recommended baseline: </w:t>
      </w:r>
      <w:r>
        <w:t>plain-language scripts, one action per step, and brief comprehension supports for critical actions (for example, “Would you like me to repeat that?”).</w:t>
      </w:r>
    </w:p>
    <w:p w14:paraId="658691C7" w14:textId="77777777" w:rsidR="00DA6F1E" w:rsidRDefault="00DA6F1E" w:rsidP="00DA6F1E">
      <w:pPr>
        <w:spacing w:before="180" w:after="80"/>
      </w:pPr>
      <w:r>
        <w:rPr>
          <w:b/>
          <w:bCs/>
        </w:rPr>
        <w:t>4. Human escalation</w:t>
      </w:r>
    </w:p>
    <w:p w14:paraId="76937D3F" w14:textId="77777777" w:rsidR="00DA6F1E" w:rsidRDefault="00DA6F1E" w:rsidP="00DA6F1E">
      <w:pPr>
        <w:spacing w:after="160"/>
      </w:pPr>
      <w:r>
        <w:t xml:space="preserve">AI tools should not become a gatekeeper to </w:t>
      </w:r>
      <w:proofErr w:type="gramStart"/>
      <w:r>
        <w:t>care</w:t>
      </w:r>
      <w:proofErr w:type="gramEnd"/>
      <w:r>
        <w:t xml:space="preserve">. If a patient requests help or an issue remains unresolved after one clarification attempt, the tool should immediately route the patient to appropriate staff—without additional automated menus. </w:t>
      </w:r>
      <w:r>
        <w:rPr>
          <w:i/>
          <w:iCs/>
        </w:rPr>
        <w:t xml:space="preserve">Recommended baseline: </w:t>
      </w:r>
      <w:r>
        <w:t>immediate escalation on request, with appropriate routing (nurse, pharmacist, scheduling), and clear emergency guidance when clinically appropriate.</w:t>
      </w:r>
    </w:p>
    <w:p w14:paraId="06B77A3F" w14:textId="77777777" w:rsidR="00DA6F1E" w:rsidRDefault="00DA6F1E" w:rsidP="00DA6F1E">
      <w:pPr>
        <w:spacing w:after="160"/>
      </w:pPr>
      <w:r>
        <w:rPr>
          <w:i/>
          <w:iCs/>
        </w:rPr>
        <w:t xml:space="preserve">A brief example: </w:t>
      </w:r>
      <w:r>
        <w:t>a portal chatbot provides accurate information but only in English, with high reading complexity and no confirmation of understanding. A caregiver misunderstands next steps, leading to delayed care. This is preventable through multilingual support, plain language, comprehension prompts, and reliable escalation.</w:t>
      </w:r>
    </w:p>
    <w:p w14:paraId="47D9674D" w14:textId="77777777" w:rsidR="00DA6F1E" w:rsidRDefault="00DA6F1E" w:rsidP="00DA6F1E">
      <w:pPr>
        <w:pStyle w:val="Heading2"/>
        <w:spacing w:before="280"/>
      </w:pPr>
      <w:r>
        <w:t>Pre-deployment readiness and ongoing monitoring (RFI Q2)</w:t>
      </w:r>
    </w:p>
    <w:p w14:paraId="7A5CD973" w14:textId="77777777" w:rsidR="00DA6F1E" w:rsidRDefault="00DA6F1E" w:rsidP="00DA6F1E">
      <w:pPr>
        <w:spacing w:after="160"/>
      </w:pPr>
      <w:r w:rsidRPr="00E36415">
        <w:t>Before go-live,</w:t>
      </w:r>
      <w:r>
        <w:rPr>
          <w:b/>
          <w:bCs/>
        </w:rPr>
        <w:t xml:space="preserve"> </w:t>
      </w:r>
      <w:r>
        <w:t>organizations should define readiness criteria in advance, stress-test predictable failure modes through structured scenario-based simulation (covering language, literacy, and device barriers</w:t>
      </w:r>
      <w:proofErr w:type="gramStart"/>
      <w:r>
        <w:t>), and</w:t>
      </w:r>
      <w:proofErr w:type="gramEnd"/>
      <w:r>
        <w:t xml:space="preserve"> verify performance against explicit Go/No-Go thresholds. Informal usability checks are not sufficient.</w:t>
      </w:r>
    </w:p>
    <w:p w14:paraId="75A13AA8" w14:textId="77777777" w:rsidR="00DA6F1E" w:rsidRDefault="00DA6F1E" w:rsidP="00DA6F1E">
      <w:pPr>
        <w:spacing w:after="160"/>
      </w:pPr>
      <w:r w:rsidRPr="00E36415">
        <w:t>Once in use,</w:t>
      </w:r>
      <w:r>
        <w:rPr>
          <w:b/>
          <w:bCs/>
        </w:rPr>
        <w:t xml:space="preserve"> </w:t>
      </w:r>
      <w:r>
        <w:t>providers and vendors should monitor completion, fallback, and escalation rates—disaggregated by language group—as early warning indicators of uneven performance. HHS should also encourage organizations to integrate AI-related risks into existing patient safety monitoring systems, classifying AI workflow incidents as high-impact when they could affect clinical decisions, documentation accuracy, or care access.</w:t>
      </w:r>
    </w:p>
    <w:p w14:paraId="4C864D0F" w14:textId="77777777" w:rsidR="00DA6F1E" w:rsidRDefault="00DA6F1E" w:rsidP="00DA6F1E">
      <w:pPr>
        <w:spacing w:after="160"/>
      </w:pPr>
      <w:r>
        <w:rPr>
          <w:i/>
          <w:iCs/>
        </w:rPr>
        <w:t xml:space="preserve">Recommended baseline: </w:t>
      </w:r>
      <w:r>
        <w:t>if fallback or escalation rates exceed 20% for any language group for two consecutive months, require corrective action plans and pause high-risk pathways until issues are resolved.</w:t>
      </w:r>
    </w:p>
    <w:p w14:paraId="57470806" w14:textId="77777777" w:rsidR="00DA6F1E" w:rsidRDefault="00DA6F1E" w:rsidP="00DA6F1E">
      <w:pPr>
        <w:pStyle w:val="Heading2"/>
        <w:spacing w:before="280"/>
      </w:pPr>
      <w:r>
        <w:t>Research and development priorities (RFI Q10)</w:t>
      </w:r>
    </w:p>
    <w:p w14:paraId="5B0BA445" w14:textId="77777777" w:rsidR="00DA6F1E" w:rsidRDefault="00DA6F1E" w:rsidP="00DA6F1E">
      <w:pPr>
        <w:spacing w:after="160"/>
      </w:pPr>
      <w:r>
        <w:t>Federal grants and contracts should prioritize tools developed with and validated in diverse populations—Medicaid beneficiaries, people with disabilities, limited English proficiency populations, and safety-net settings. Too often, tools are built and validated in well-resourced systems and then deployed elsewhere with weaker performance and new access barriers.</w:t>
      </w:r>
    </w:p>
    <w:p w14:paraId="68A9DFF4" w14:textId="77777777" w:rsidR="00DA6F1E" w:rsidRDefault="00DA6F1E" w:rsidP="00DA6F1E">
      <w:pPr>
        <w:spacing w:after="160"/>
      </w:pPr>
      <w:r>
        <w:t xml:space="preserve">HHS should also support scenario-based simulated caregiver persona testing as an accepted preliminary validation step in proposals for patient-facing AI tools. This pre-deployment method identifies language, literacy, accessibility, and device-specific failures before patients are exposed—reducing compliance risk, lowering remediation costs, and preventing avoidable care delays. Alongside this, HHS should fund </w:t>
      </w:r>
      <w:r>
        <w:lastRenderedPageBreak/>
        <w:t>implementation research on adoption in resource-constrained settings and support shared infrastructure that under-resourced providers can use without prohibitive licensing costs.</w:t>
      </w:r>
    </w:p>
    <w:p w14:paraId="58017B44" w14:textId="77777777" w:rsidR="00DA6F1E" w:rsidRDefault="00DA6F1E" w:rsidP="00DA6F1E">
      <w:pPr>
        <w:pStyle w:val="Heading2"/>
        <w:spacing w:before="280"/>
      </w:pPr>
      <w:r>
        <w:t>Closing</w:t>
      </w:r>
    </w:p>
    <w:p w14:paraId="4BE2C18F" w14:textId="2576DBF3" w:rsidR="00DA6F1E" w:rsidRDefault="00DA6F1E" w:rsidP="00DA6F1E">
      <w:pPr>
        <w:spacing w:after="160"/>
      </w:pPr>
      <w:r>
        <w:t>I urge HHS to establish four baseline requirements</w:t>
      </w:r>
      <w:r w:rsidR="00635CE9" w:rsidRPr="00635CE9">
        <w:t>—</w:t>
      </w:r>
      <w:r w:rsidR="00F3066A">
        <w:t xml:space="preserve"> </w:t>
      </w:r>
      <w:r>
        <w:t>transparency, language access, plain language, and reliable escalation</w:t>
      </w:r>
      <w:r w:rsidR="00635CE9" w:rsidRPr="00635CE9">
        <w:t>—</w:t>
      </w:r>
      <w:r>
        <w:t>via guidanc</w:t>
      </w:r>
      <w:r w:rsidR="00540036">
        <w:t>e</w:t>
      </w:r>
      <w:r>
        <w:t xml:space="preserve"> regulation, or contract language. Pairing these baselines with practical pre-deployment readiness criteria, simple ongoing monitoring, and targeted research investment will protect patients, reduce avoidable burden, and improve access and outcomes across diverse communities.</w:t>
      </w:r>
    </w:p>
    <w:p w14:paraId="55286D54" w14:textId="77777777" w:rsidR="00DA6F1E" w:rsidRDefault="00DA6F1E" w:rsidP="00DA6F1E">
      <w:pPr>
        <w:spacing w:before="280" w:after="80"/>
      </w:pPr>
    </w:p>
    <w:p w14:paraId="0AF71C51" w14:textId="77777777" w:rsidR="00DA6F1E" w:rsidRDefault="00DA6F1E" w:rsidP="00DA6F1E">
      <w:pPr>
        <w:spacing w:after="160"/>
      </w:pPr>
      <w:r>
        <w:t>Respectfully submitted,</w:t>
      </w:r>
    </w:p>
    <w:p w14:paraId="0C85B4C9" w14:textId="77777777" w:rsidR="009236BF" w:rsidRDefault="009236BF" w:rsidP="00DA6F1E">
      <w:pPr>
        <w:spacing w:after="160"/>
      </w:pPr>
    </w:p>
    <w:p w14:paraId="4505F903" w14:textId="6432CE9A" w:rsidR="00DA6F1E" w:rsidRDefault="00DA6F1E" w:rsidP="00DA6F1E">
      <w:pPr>
        <w:spacing w:before="160" w:after="80"/>
      </w:pPr>
      <w:r>
        <w:rPr>
          <w:b/>
          <w:bCs/>
        </w:rPr>
        <w:t>Vikki S. Small, MPH</w:t>
      </w:r>
      <w:r w:rsidR="000313AF">
        <w:rPr>
          <w:b/>
          <w:bCs/>
        </w:rPr>
        <w:t>, LSSGB</w:t>
      </w:r>
    </w:p>
    <w:p w14:paraId="112EBAAA" w14:textId="77777777" w:rsidR="00DA6F1E" w:rsidRDefault="00DA6F1E" w:rsidP="00DA6F1E">
      <w:pPr>
        <w:spacing w:after="160"/>
      </w:pPr>
      <w:r>
        <w:t>Submitted in individual professional capacity</w:t>
      </w:r>
    </w:p>
    <w:p w14:paraId="700F1227" w14:textId="520B7B43" w:rsidR="00AE1E98" w:rsidRDefault="00AE1E98">
      <w:pPr>
        <w:spacing w:after="160"/>
      </w:pPr>
    </w:p>
    <w:sectPr w:rsidR="00AE1E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66F1B"/>
    <w:multiLevelType w:val="hybridMultilevel"/>
    <w:tmpl w:val="9256840A"/>
    <w:lvl w:ilvl="0" w:tplc="095C49B6">
      <w:start w:val="1"/>
      <w:numFmt w:val="bullet"/>
      <w:lvlText w:val="●"/>
      <w:lvlJc w:val="left"/>
      <w:pPr>
        <w:ind w:left="720" w:hanging="360"/>
      </w:pPr>
    </w:lvl>
    <w:lvl w:ilvl="1" w:tplc="5C64C4DC">
      <w:start w:val="1"/>
      <w:numFmt w:val="bullet"/>
      <w:lvlText w:val="○"/>
      <w:lvlJc w:val="left"/>
      <w:pPr>
        <w:ind w:left="1440" w:hanging="360"/>
      </w:pPr>
    </w:lvl>
    <w:lvl w:ilvl="2" w:tplc="AF58687E">
      <w:start w:val="1"/>
      <w:numFmt w:val="bullet"/>
      <w:lvlText w:val="■"/>
      <w:lvlJc w:val="left"/>
      <w:pPr>
        <w:ind w:left="2160" w:hanging="360"/>
      </w:pPr>
    </w:lvl>
    <w:lvl w:ilvl="3" w:tplc="440AA088">
      <w:start w:val="1"/>
      <w:numFmt w:val="bullet"/>
      <w:lvlText w:val="●"/>
      <w:lvlJc w:val="left"/>
      <w:pPr>
        <w:ind w:left="2880" w:hanging="360"/>
      </w:pPr>
    </w:lvl>
    <w:lvl w:ilvl="4" w:tplc="2C0C539E">
      <w:start w:val="1"/>
      <w:numFmt w:val="bullet"/>
      <w:lvlText w:val="○"/>
      <w:lvlJc w:val="left"/>
      <w:pPr>
        <w:ind w:left="3600" w:hanging="360"/>
      </w:pPr>
    </w:lvl>
    <w:lvl w:ilvl="5" w:tplc="4F8C1A7A">
      <w:start w:val="1"/>
      <w:numFmt w:val="bullet"/>
      <w:lvlText w:val="■"/>
      <w:lvlJc w:val="left"/>
      <w:pPr>
        <w:ind w:left="4320" w:hanging="360"/>
      </w:pPr>
    </w:lvl>
    <w:lvl w:ilvl="6" w:tplc="236E79F2">
      <w:start w:val="1"/>
      <w:numFmt w:val="bullet"/>
      <w:lvlText w:val="●"/>
      <w:lvlJc w:val="left"/>
      <w:pPr>
        <w:ind w:left="5040" w:hanging="360"/>
      </w:pPr>
    </w:lvl>
    <w:lvl w:ilvl="7" w:tplc="9BDCDB3C">
      <w:start w:val="1"/>
      <w:numFmt w:val="bullet"/>
      <w:lvlText w:val="●"/>
      <w:lvlJc w:val="left"/>
      <w:pPr>
        <w:ind w:left="5760" w:hanging="360"/>
      </w:pPr>
    </w:lvl>
    <w:lvl w:ilvl="8" w:tplc="2EB66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4D50F8"/>
    <w:multiLevelType w:val="hybridMultilevel"/>
    <w:tmpl w:val="F7B8D196"/>
    <w:lvl w:ilvl="0" w:tplc="E2C2DE86">
      <w:start w:val="1"/>
      <w:numFmt w:val="decimal"/>
      <w:lvlText w:val="%1."/>
      <w:lvlJc w:val="left"/>
      <w:pPr>
        <w:ind w:left="720" w:hanging="360"/>
      </w:pPr>
    </w:lvl>
    <w:lvl w:ilvl="1" w:tplc="6A9C456E">
      <w:numFmt w:val="decimal"/>
      <w:lvlText w:val=""/>
      <w:lvlJc w:val="left"/>
    </w:lvl>
    <w:lvl w:ilvl="2" w:tplc="0AFEF822">
      <w:numFmt w:val="decimal"/>
      <w:lvlText w:val=""/>
      <w:lvlJc w:val="left"/>
    </w:lvl>
    <w:lvl w:ilvl="3" w:tplc="E49A7986">
      <w:numFmt w:val="decimal"/>
      <w:lvlText w:val=""/>
      <w:lvlJc w:val="left"/>
    </w:lvl>
    <w:lvl w:ilvl="4" w:tplc="A24004DC">
      <w:numFmt w:val="decimal"/>
      <w:lvlText w:val=""/>
      <w:lvlJc w:val="left"/>
    </w:lvl>
    <w:lvl w:ilvl="5" w:tplc="A6F6964E">
      <w:numFmt w:val="decimal"/>
      <w:lvlText w:val=""/>
      <w:lvlJc w:val="left"/>
    </w:lvl>
    <w:lvl w:ilvl="6" w:tplc="CBA27D28">
      <w:numFmt w:val="decimal"/>
      <w:lvlText w:val=""/>
      <w:lvlJc w:val="left"/>
    </w:lvl>
    <w:lvl w:ilvl="7" w:tplc="CB925672">
      <w:numFmt w:val="decimal"/>
      <w:lvlText w:val=""/>
      <w:lvlJc w:val="left"/>
    </w:lvl>
    <w:lvl w:ilvl="8" w:tplc="C2FA8A94">
      <w:numFmt w:val="decimal"/>
      <w:lvlText w:val=""/>
      <w:lvlJc w:val="left"/>
    </w:lvl>
  </w:abstractNum>
  <w:abstractNum w:abstractNumId="2" w15:restartNumberingAfterBreak="0">
    <w:nsid w:val="2B202C75"/>
    <w:multiLevelType w:val="hybridMultilevel"/>
    <w:tmpl w:val="799CF1D0"/>
    <w:lvl w:ilvl="0" w:tplc="5D18B6CC">
      <w:start w:val="1"/>
      <w:numFmt w:val="decimal"/>
      <w:lvlText w:val="%1."/>
      <w:lvlJc w:val="left"/>
      <w:pPr>
        <w:ind w:left="720" w:hanging="360"/>
      </w:pPr>
    </w:lvl>
    <w:lvl w:ilvl="1" w:tplc="3A6CCF52">
      <w:numFmt w:val="decimal"/>
      <w:lvlText w:val=""/>
      <w:lvlJc w:val="left"/>
    </w:lvl>
    <w:lvl w:ilvl="2" w:tplc="398659EA">
      <w:numFmt w:val="decimal"/>
      <w:lvlText w:val=""/>
      <w:lvlJc w:val="left"/>
    </w:lvl>
    <w:lvl w:ilvl="3" w:tplc="DFD6D37E">
      <w:numFmt w:val="decimal"/>
      <w:lvlText w:val=""/>
      <w:lvlJc w:val="left"/>
    </w:lvl>
    <w:lvl w:ilvl="4" w:tplc="0C64C6D4">
      <w:numFmt w:val="decimal"/>
      <w:lvlText w:val=""/>
      <w:lvlJc w:val="left"/>
    </w:lvl>
    <w:lvl w:ilvl="5" w:tplc="70CA7654">
      <w:numFmt w:val="decimal"/>
      <w:lvlText w:val=""/>
      <w:lvlJc w:val="left"/>
    </w:lvl>
    <w:lvl w:ilvl="6" w:tplc="E7901B92">
      <w:numFmt w:val="decimal"/>
      <w:lvlText w:val=""/>
      <w:lvlJc w:val="left"/>
    </w:lvl>
    <w:lvl w:ilvl="7" w:tplc="38A2FCA2">
      <w:numFmt w:val="decimal"/>
      <w:lvlText w:val=""/>
      <w:lvlJc w:val="left"/>
    </w:lvl>
    <w:lvl w:ilvl="8" w:tplc="9D708006">
      <w:numFmt w:val="decimal"/>
      <w:lvlText w:val=""/>
      <w:lvlJc w:val="left"/>
    </w:lvl>
  </w:abstractNum>
  <w:abstractNum w:abstractNumId="3" w15:restartNumberingAfterBreak="0">
    <w:nsid w:val="3FBD64D3"/>
    <w:multiLevelType w:val="hybridMultilevel"/>
    <w:tmpl w:val="6DEA3E9C"/>
    <w:lvl w:ilvl="0" w:tplc="69869F7E">
      <w:start w:val="1"/>
      <w:numFmt w:val="decimal"/>
      <w:lvlText w:val="%1."/>
      <w:lvlJc w:val="left"/>
      <w:pPr>
        <w:ind w:left="720" w:hanging="360"/>
      </w:pPr>
    </w:lvl>
    <w:lvl w:ilvl="1" w:tplc="1CF8BA0A">
      <w:numFmt w:val="decimal"/>
      <w:lvlText w:val=""/>
      <w:lvlJc w:val="left"/>
    </w:lvl>
    <w:lvl w:ilvl="2" w:tplc="8DA2F164">
      <w:numFmt w:val="decimal"/>
      <w:lvlText w:val=""/>
      <w:lvlJc w:val="left"/>
    </w:lvl>
    <w:lvl w:ilvl="3" w:tplc="492EDAA0">
      <w:numFmt w:val="decimal"/>
      <w:lvlText w:val=""/>
      <w:lvlJc w:val="left"/>
    </w:lvl>
    <w:lvl w:ilvl="4" w:tplc="C53C2BEA">
      <w:numFmt w:val="decimal"/>
      <w:lvlText w:val=""/>
      <w:lvlJc w:val="left"/>
    </w:lvl>
    <w:lvl w:ilvl="5" w:tplc="16948BEC">
      <w:numFmt w:val="decimal"/>
      <w:lvlText w:val=""/>
      <w:lvlJc w:val="left"/>
    </w:lvl>
    <w:lvl w:ilvl="6" w:tplc="702E2930">
      <w:numFmt w:val="decimal"/>
      <w:lvlText w:val=""/>
      <w:lvlJc w:val="left"/>
    </w:lvl>
    <w:lvl w:ilvl="7" w:tplc="8026AF20">
      <w:numFmt w:val="decimal"/>
      <w:lvlText w:val=""/>
      <w:lvlJc w:val="left"/>
    </w:lvl>
    <w:lvl w:ilvl="8" w:tplc="F1980518">
      <w:numFmt w:val="decimal"/>
      <w:lvlText w:val=""/>
      <w:lvlJc w:val="left"/>
    </w:lvl>
  </w:abstractNum>
  <w:abstractNum w:abstractNumId="4" w15:restartNumberingAfterBreak="0">
    <w:nsid w:val="44721E7B"/>
    <w:multiLevelType w:val="hybridMultilevel"/>
    <w:tmpl w:val="347E32F0"/>
    <w:lvl w:ilvl="0" w:tplc="7D0A7AAE">
      <w:start w:val="1"/>
      <w:numFmt w:val="bullet"/>
      <w:lvlText w:val="•"/>
      <w:lvlJc w:val="left"/>
      <w:pPr>
        <w:ind w:left="720" w:hanging="360"/>
      </w:pPr>
    </w:lvl>
    <w:lvl w:ilvl="1" w:tplc="077C9E4C">
      <w:numFmt w:val="decimal"/>
      <w:lvlText w:val=""/>
      <w:lvlJc w:val="left"/>
    </w:lvl>
    <w:lvl w:ilvl="2" w:tplc="7186B694">
      <w:numFmt w:val="decimal"/>
      <w:lvlText w:val=""/>
      <w:lvlJc w:val="left"/>
    </w:lvl>
    <w:lvl w:ilvl="3" w:tplc="F932856C">
      <w:numFmt w:val="decimal"/>
      <w:lvlText w:val=""/>
      <w:lvlJc w:val="left"/>
    </w:lvl>
    <w:lvl w:ilvl="4" w:tplc="F4A4EA02">
      <w:numFmt w:val="decimal"/>
      <w:lvlText w:val=""/>
      <w:lvlJc w:val="left"/>
    </w:lvl>
    <w:lvl w:ilvl="5" w:tplc="0B563C98">
      <w:numFmt w:val="decimal"/>
      <w:lvlText w:val=""/>
      <w:lvlJc w:val="left"/>
    </w:lvl>
    <w:lvl w:ilvl="6" w:tplc="097AEDB6">
      <w:numFmt w:val="decimal"/>
      <w:lvlText w:val=""/>
      <w:lvlJc w:val="left"/>
    </w:lvl>
    <w:lvl w:ilvl="7" w:tplc="019E4912">
      <w:numFmt w:val="decimal"/>
      <w:lvlText w:val=""/>
      <w:lvlJc w:val="left"/>
    </w:lvl>
    <w:lvl w:ilvl="8" w:tplc="9C70DC22">
      <w:numFmt w:val="decimal"/>
      <w:lvlText w:val=""/>
      <w:lvlJc w:val="left"/>
    </w:lvl>
  </w:abstractNum>
  <w:abstractNum w:abstractNumId="5" w15:restartNumberingAfterBreak="0">
    <w:nsid w:val="5E664655"/>
    <w:multiLevelType w:val="hybridMultilevel"/>
    <w:tmpl w:val="BF1063CE"/>
    <w:lvl w:ilvl="0" w:tplc="5C189F04">
      <w:start w:val="1"/>
      <w:numFmt w:val="decimal"/>
      <w:lvlText w:val="%1."/>
      <w:lvlJc w:val="left"/>
      <w:pPr>
        <w:ind w:left="720" w:hanging="360"/>
      </w:pPr>
    </w:lvl>
    <w:lvl w:ilvl="1" w:tplc="F42007C4">
      <w:numFmt w:val="decimal"/>
      <w:lvlText w:val=""/>
      <w:lvlJc w:val="left"/>
    </w:lvl>
    <w:lvl w:ilvl="2" w:tplc="5FBC3F3A">
      <w:numFmt w:val="decimal"/>
      <w:lvlText w:val=""/>
      <w:lvlJc w:val="left"/>
    </w:lvl>
    <w:lvl w:ilvl="3" w:tplc="290049EE">
      <w:numFmt w:val="decimal"/>
      <w:lvlText w:val=""/>
      <w:lvlJc w:val="left"/>
    </w:lvl>
    <w:lvl w:ilvl="4" w:tplc="BFF243B6">
      <w:numFmt w:val="decimal"/>
      <w:lvlText w:val=""/>
      <w:lvlJc w:val="left"/>
    </w:lvl>
    <w:lvl w:ilvl="5" w:tplc="0DBE7874">
      <w:numFmt w:val="decimal"/>
      <w:lvlText w:val=""/>
      <w:lvlJc w:val="left"/>
    </w:lvl>
    <w:lvl w:ilvl="6" w:tplc="81E83CB0">
      <w:numFmt w:val="decimal"/>
      <w:lvlText w:val=""/>
      <w:lvlJc w:val="left"/>
    </w:lvl>
    <w:lvl w:ilvl="7" w:tplc="88C46794">
      <w:numFmt w:val="decimal"/>
      <w:lvlText w:val=""/>
      <w:lvlJc w:val="left"/>
    </w:lvl>
    <w:lvl w:ilvl="8" w:tplc="2BF47384">
      <w:numFmt w:val="decimal"/>
      <w:lvlText w:val=""/>
      <w:lvlJc w:val="left"/>
    </w:lvl>
  </w:abstractNum>
  <w:abstractNum w:abstractNumId="6" w15:restartNumberingAfterBreak="0">
    <w:nsid w:val="77497FB7"/>
    <w:multiLevelType w:val="hybridMultilevel"/>
    <w:tmpl w:val="B1A0D8EC"/>
    <w:lvl w:ilvl="0" w:tplc="8EDABCFE">
      <w:start w:val="1"/>
      <w:numFmt w:val="bullet"/>
      <w:lvlText w:val="◦"/>
      <w:lvlJc w:val="left"/>
      <w:pPr>
        <w:ind w:left="1080" w:hanging="360"/>
      </w:pPr>
    </w:lvl>
    <w:lvl w:ilvl="1" w:tplc="DD70AD0C">
      <w:numFmt w:val="decimal"/>
      <w:lvlText w:val=""/>
      <w:lvlJc w:val="left"/>
    </w:lvl>
    <w:lvl w:ilvl="2" w:tplc="55F88C86">
      <w:numFmt w:val="decimal"/>
      <w:lvlText w:val=""/>
      <w:lvlJc w:val="left"/>
    </w:lvl>
    <w:lvl w:ilvl="3" w:tplc="66E4BB8C">
      <w:numFmt w:val="decimal"/>
      <w:lvlText w:val=""/>
      <w:lvlJc w:val="left"/>
    </w:lvl>
    <w:lvl w:ilvl="4" w:tplc="89307BE8">
      <w:numFmt w:val="decimal"/>
      <w:lvlText w:val=""/>
      <w:lvlJc w:val="left"/>
    </w:lvl>
    <w:lvl w:ilvl="5" w:tplc="0156A620">
      <w:numFmt w:val="decimal"/>
      <w:lvlText w:val=""/>
      <w:lvlJc w:val="left"/>
    </w:lvl>
    <w:lvl w:ilvl="6" w:tplc="8BC4705A">
      <w:numFmt w:val="decimal"/>
      <w:lvlText w:val=""/>
      <w:lvlJc w:val="left"/>
    </w:lvl>
    <w:lvl w:ilvl="7" w:tplc="8DFC6976">
      <w:numFmt w:val="decimal"/>
      <w:lvlText w:val=""/>
      <w:lvlJc w:val="left"/>
    </w:lvl>
    <w:lvl w:ilvl="8" w:tplc="2CB21830">
      <w:numFmt w:val="decimal"/>
      <w:lvlText w:val=""/>
      <w:lvlJc w:val="left"/>
    </w:lvl>
  </w:abstractNum>
  <w:num w:numId="1" w16cid:durableId="1116871724">
    <w:abstractNumId w:val="0"/>
    <w:lvlOverride w:ilvl="0">
      <w:startOverride w:val="1"/>
    </w:lvlOverride>
  </w:num>
  <w:num w:numId="2" w16cid:durableId="162858956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E98"/>
    <w:rsid w:val="000313AF"/>
    <w:rsid w:val="000A1385"/>
    <w:rsid w:val="00283910"/>
    <w:rsid w:val="00540036"/>
    <w:rsid w:val="005C222B"/>
    <w:rsid w:val="00635CE9"/>
    <w:rsid w:val="009236BF"/>
    <w:rsid w:val="009F171A"/>
    <w:rsid w:val="00AE1E98"/>
    <w:rsid w:val="00D624C6"/>
    <w:rsid w:val="00DA5FDB"/>
    <w:rsid w:val="00DA6F1E"/>
    <w:rsid w:val="00E36415"/>
    <w:rsid w:val="00ED2C0D"/>
    <w:rsid w:val="00F3066A"/>
    <w:rsid w:val="00FD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857D"/>
  <w15:docId w15:val="{6DC6A498-3CD7-48D3-A50F-9B66E7E5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A6F1E"/>
    <w:rPr>
      <w:b/>
      <w:bCs/>
      <w:color w:val="2E4057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861</Words>
  <Characters>5478</Characters>
  <Application>Microsoft Office Word</Application>
  <DocSecurity>0</DocSecurity>
  <Lines>91</Lines>
  <Paragraphs>33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Vikki Small</cp:lastModifiedBy>
  <cp:revision>13</cp:revision>
  <dcterms:created xsi:type="dcterms:W3CDTF">2026-02-20T02:14:00Z</dcterms:created>
  <dcterms:modified xsi:type="dcterms:W3CDTF">2026-02-20T02:38:00Z</dcterms:modified>
</cp:coreProperties>
</file>