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Date: 2/20/26</w:t>
      </w:r>
    </w:p>
    <w:p w14:paraId="00000002"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 Department of Health and Human Services (HHS), Office of the National Coordinator (ONC)</w:t>
      </w:r>
    </w:p>
    <w:p w14:paraId="00000003"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 RFI: Accelerating the Adoption and Use of Artificial Intelligence as Part of Clinical Care (Docket No. 2025-23641)</w:t>
      </w:r>
    </w:p>
    <w:p w14:paraId="00000004"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From: </w:t>
      </w:r>
      <w:proofErr w:type="spellStart"/>
      <w:r>
        <w:rPr>
          <w:rFonts w:ascii="Google Sans Text" w:eastAsia="Google Sans Text" w:hAnsi="Google Sans Text" w:cs="Google Sans Text"/>
        </w:rPr>
        <w:t>xCures</w:t>
      </w:r>
      <w:proofErr w:type="spellEnd"/>
      <w:r>
        <w:rPr>
          <w:rFonts w:ascii="Google Sans Text" w:eastAsia="Google Sans Text" w:hAnsi="Google Sans Text" w:cs="Google Sans Text"/>
        </w:rPr>
        <w:t>, Inc.</w:t>
      </w:r>
    </w:p>
    <w:p w14:paraId="00000005" w14:textId="77777777" w:rsidR="00D9317B" w:rsidRDefault="00D9317B">
      <w:pPr>
        <w:pStyle w:val="Heading3"/>
        <w:spacing w:before="0" w:line="275" w:lineRule="auto"/>
        <w:rPr>
          <w:rFonts w:ascii="Google Sans Text" w:eastAsia="Google Sans Text" w:hAnsi="Google Sans Text" w:cs="Google Sans Text"/>
        </w:rPr>
      </w:pPr>
    </w:p>
    <w:p w14:paraId="00000006" w14:textId="77777777" w:rsidR="00D9317B" w:rsidRDefault="00000000">
      <w:pPr>
        <w:pStyle w:val="Heading3"/>
        <w:spacing w:before="0" w:line="275" w:lineRule="auto"/>
        <w:rPr>
          <w:rFonts w:ascii="Google Sans Text" w:eastAsia="Google Sans Text" w:hAnsi="Google Sans Text" w:cs="Google Sans Text"/>
        </w:rPr>
      </w:pPr>
      <w:r>
        <w:rPr>
          <w:rFonts w:ascii="Google Sans Text" w:eastAsia="Google Sans Text" w:hAnsi="Google Sans Text" w:cs="Google Sans Text"/>
        </w:rPr>
        <w:t>Executive Summary</w:t>
      </w:r>
    </w:p>
    <w:p w14:paraId="00000007" w14:textId="77777777" w:rsidR="00D9317B" w:rsidRDefault="00000000">
      <w:pPr>
        <w:pBdr>
          <w:top w:val="nil"/>
          <w:left w:val="nil"/>
          <w:bottom w:val="nil"/>
          <w:right w:val="nil"/>
          <w:between w:val="nil"/>
        </w:pBdr>
        <w:spacing w:line="275" w:lineRule="auto"/>
        <w:ind w:firstLine="720"/>
        <w:rPr>
          <w:rFonts w:ascii="Google Sans Text" w:eastAsia="Google Sans Text" w:hAnsi="Google Sans Text" w:cs="Google Sans Text"/>
        </w:rPr>
      </w:pPr>
      <w:proofErr w:type="spellStart"/>
      <w:r>
        <w:rPr>
          <w:rFonts w:ascii="Google Sans Text" w:eastAsia="Google Sans Text" w:hAnsi="Google Sans Text" w:cs="Google Sans Text"/>
        </w:rPr>
        <w:t>xCures</w:t>
      </w:r>
      <w:proofErr w:type="spellEnd"/>
      <w:r>
        <w:rPr>
          <w:rFonts w:ascii="Google Sans Text" w:eastAsia="Google Sans Text" w:hAnsi="Google Sans Text" w:cs="Google Sans Text"/>
        </w:rPr>
        <w:t xml:space="preserve"> operates an AI-assisted healthcare data platform that extracts and structures clinical information from medical records gathered across multiple sources, including from health information networks like TEFCA and </w:t>
      </w:r>
      <w:proofErr w:type="spellStart"/>
      <w:r>
        <w:rPr>
          <w:rFonts w:ascii="Google Sans Text" w:eastAsia="Google Sans Text" w:hAnsi="Google Sans Text" w:cs="Google Sans Text"/>
        </w:rPr>
        <w:t>Carequality</w:t>
      </w:r>
      <w:proofErr w:type="spellEnd"/>
      <w:r>
        <w:rPr>
          <w:rFonts w:ascii="Google Sans Text" w:eastAsia="Google Sans Text" w:hAnsi="Google Sans Text" w:cs="Google Sans Text"/>
        </w:rPr>
        <w:t>. This platform serves as a semantic layer for healthcare data, delivering decision-ready intelligence that empowers professionals to act with confidence and clarity.</w:t>
      </w:r>
    </w:p>
    <w:p w14:paraId="00000008" w14:textId="77777777" w:rsidR="00D9317B" w:rsidRDefault="00000000">
      <w:pPr>
        <w:pBdr>
          <w:top w:val="nil"/>
          <w:left w:val="nil"/>
          <w:bottom w:val="nil"/>
          <w:right w:val="nil"/>
          <w:between w:val="nil"/>
        </w:pBdr>
        <w:spacing w:line="275" w:lineRule="auto"/>
        <w:ind w:firstLine="720"/>
        <w:rPr>
          <w:rFonts w:ascii="Google Sans Text" w:eastAsia="Google Sans Text" w:hAnsi="Google Sans Text" w:cs="Google Sans Text"/>
        </w:rPr>
      </w:pPr>
      <w:r>
        <w:rPr>
          <w:rFonts w:ascii="Google Sans Text" w:eastAsia="Google Sans Text" w:hAnsi="Google Sans Text" w:cs="Google Sans Text"/>
        </w:rPr>
        <w:t xml:space="preserve">We appreciate the opportunity to comment on how HHS can accelerate AI adoption in clinical care. Our experience processing millions of patient records across the U.S. healthcare system suggests that the primary barrier to AI efficacy is not algorithm availability, but </w:t>
      </w:r>
      <w:r>
        <w:rPr>
          <w:rFonts w:ascii="Google Sans Text" w:eastAsia="Google Sans Text" w:hAnsi="Google Sans Text" w:cs="Google Sans Text"/>
          <w:b/>
          <w:bCs/>
        </w:rPr>
        <w:t>data readiness</w:t>
      </w:r>
      <w:r>
        <w:rPr>
          <w:rFonts w:ascii="Google Sans Text" w:eastAsia="Google Sans Text" w:hAnsi="Google Sans Text" w:cs="Google Sans Text"/>
        </w:rPr>
        <w:t>—specifically, the inability of standard systems to process unstructured clinical evidence (PDFs, faxes, and images) where the most critical medical insights reside.</w:t>
      </w:r>
    </w:p>
    <w:p w14:paraId="00000009"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We respectfully submit the following responses to specific questions in the RFI, advocating for a regulatory framework that prioritizes </w:t>
      </w:r>
      <w:r>
        <w:rPr>
          <w:rFonts w:ascii="Google Sans Text" w:eastAsia="Google Sans Text" w:hAnsi="Google Sans Text" w:cs="Google Sans Text"/>
          <w:b/>
          <w:bCs/>
        </w:rPr>
        <w:t>Source Verifiability</w:t>
      </w:r>
      <w:r>
        <w:rPr>
          <w:rFonts w:ascii="Google Sans Text" w:eastAsia="Google Sans Text" w:hAnsi="Google Sans Text" w:cs="Google Sans Text"/>
        </w:rPr>
        <w:t xml:space="preserve"> (audit trails), </w:t>
      </w:r>
      <w:r>
        <w:rPr>
          <w:rFonts w:ascii="Google Sans Text" w:eastAsia="Google Sans Text" w:hAnsi="Google Sans Text" w:cs="Google Sans Text"/>
          <w:b/>
          <w:bCs/>
        </w:rPr>
        <w:t>Universal Participation</w:t>
      </w:r>
      <w:r>
        <w:rPr>
          <w:rFonts w:ascii="Google Sans Text" w:eastAsia="Google Sans Text" w:hAnsi="Google Sans Text" w:cs="Google Sans Text"/>
        </w:rPr>
        <w:t xml:space="preserve">, and </w:t>
      </w:r>
      <w:r>
        <w:rPr>
          <w:rFonts w:ascii="Google Sans Text" w:eastAsia="Google Sans Text" w:hAnsi="Google Sans Text" w:cs="Google Sans Text"/>
          <w:b/>
          <w:bCs/>
        </w:rPr>
        <w:t>Semantic Interoperability</w:t>
      </w:r>
      <w:r>
        <w:rPr>
          <w:rFonts w:ascii="Google Sans Text" w:eastAsia="Google Sans Text" w:hAnsi="Google Sans Text" w:cs="Google Sans Text"/>
        </w:rPr>
        <w:t>.</w:t>
      </w:r>
    </w:p>
    <w:p w14:paraId="0000000A" w14:textId="77777777" w:rsidR="00D9317B" w:rsidRDefault="00D9317B">
      <w:pPr>
        <w:pStyle w:val="Heading3"/>
        <w:spacing w:before="0" w:line="275" w:lineRule="auto"/>
        <w:rPr>
          <w:rFonts w:ascii="Google Sans Text" w:eastAsia="Google Sans Text" w:hAnsi="Google Sans Text" w:cs="Google Sans Text"/>
        </w:rPr>
      </w:pPr>
    </w:p>
    <w:p w14:paraId="0000000B" w14:textId="77777777" w:rsidR="00D9317B" w:rsidRDefault="00000000">
      <w:pPr>
        <w:pStyle w:val="Heading3"/>
        <w:spacing w:before="0" w:line="275" w:lineRule="auto"/>
        <w:rPr>
          <w:rFonts w:ascii="Google Sans Text" w:eastAsia="Google Sans Text" w:hAnsi="Google Sans Text" w:cs="Google Sans Text"/>
        </w:rPr>
      </w:pPr>
      <w:r>
        <w:rPr>
          <w:rFonts w:ascii="Google Sans Text" w:eastAsia="Google Sans Text" w:hAnsi="Google Sans Text" w:cs="Google Sans Text"/>
        </w:rPr>
        <w:t>Responses to Specific Questions</w:t>
      </w:r>
    </w:p>
    <w:p w14:paraId="0000000C" w14:textId="77777777" w:rsidR="00D9317B" w:rsidRDefault="00000000">
      <w:pPr>
        <w:pStyle w:val="Heading4"/>
        <w:spacing w:before="0" w:line="275" w:lineRule="auto"/>
        <w:rPr>
          <w:rFonts w:ascii="Google Sans Text" w:eastAsia="Google Sans Text" w:hAnsi="Google Sans Text" w:cs="Google Sans Text"/>
        </w:rPr>
      </w:pPr>
      <w:r>
        <w:rPr>
          <w:rFonts w:ascii="Google Sans Text" w:eastAsia="Google Sans Text" w:hAnsi="Google Sans Text" w:cs="Google Sans Text"/>
        </w:rPr>
        <w:t>1. What are the biggest barriers to private sector innovation in AI for health care?</w:t>
      </w:r>
    </w:p>
    <w:p w14:paraId="0000000D"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Barrier A: The "Unstructured Data" Cliff</w:t>
      </w:r>
    </w:p>
    <w:p w14:paraId="0000000E"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greatest technical barrier is the industry’s over-reliance on structured data feeds (HL7/FHIR) which often fail to capture the complete clinical picture.</w:t>
      </w:r>
    </w:p>
    <w:p w14:paraId="0000000F" w14:textId="77777777" w:rsidR="00D9317B"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rPr>
        <w:t>The Reality:</w:t>
      </w:r>
      <w:r>
        <w:rPr>
          <w:rFonts w:ascii="Google Sans Text" w:eastAsia="Google Sans Text" w:hAnsi="Google Sans Text" w:cs="Google Sans Text"/>
        </w:rPr>
        <w:t xml:space="preserve"> While </w:t>
      </w:r>
      <w:proofErr w:type="gramStart"/>
      <w:r>
        <w:rPr>
          <w:rFonts w:ascii="Google Sans Text" w:eastAsia="Google Sans Text" w:hAnsi="Google Sans Text" w:cs="Google Sans Text"/>
        </w:rPr>
        <w:t>a majority of</w:t>
      </w:r>
      <w:proofErr w:type="gramEnd"/>
      <w:r>
        <w:rPr>
          <w:rFonts w:ascii="Google Sans Text" w:eastAsia="Google Sans Text" w:hAnsi="Google Sans Text" w:cs="Google Sans Text"/>
        </w:rPr>
        <w:t xml:space="preserve"> health data transmission may technically be structured (XML/JSON), </w:t>
      </w:r>
      <w:proofErr w:type="gramStart"/>
      <w:r>
        <w:rPr>
          <w:rFonts w:ascii="Google Sans Text" w:eastAsia="Google Sans Text" w:hAnsi="Google Sans Text" w:cs="Google Sans Text"/>
        </w:rPr>
        <w:t>in reality the</w:t>
      </w:r>
      <w:proofErr w:type="gramEnd"/>
      <w:r>
        <w:rPr>
          <w:rFonts w:ascii="Google Sans Text" w:eastAsia="Google Sans Text" w:hAnsi="Google Sans Text" w:cs="Google Sans Text"/>
        </w:rPr>
        <w:t xml:space="preserve"> high-value clinical indicators—pathology reports, genomic staging, and discharge summaries—predominantly reside in unstructured formats like PDFs, faxes, and scanned images.</w:t>
      </w:r>
    </w:p>
    <w:p w14:paraId="00000010" w14:textId="77777777" w:rsidR="00D9317B"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rPr>
        <w:t>The Barrier:</w:t>
      </w:r>
      <w:r>
        <w:rPr>
          <w:rFonts w:ascii="Google Sans Text" w:eastAsia="Google Sans Text" w:hAnsi="Google Sans Text" w:cs="Google Sans Text"/>
        </w:rPr>
        <w:t xml:space="preserve"> Current "standard" interoperability often dumps these files as raw blobs that generic AI models struggle to interpret accurately. Without an infrastructure layer capable of normalizing this unstructured multimedia data into compute-ready formats, clinical AI will remain limited to basic administrative tasks rather than deep clinical decision support.</w:t>
      </w:r>
    </w:p>
    <w:p w14:paraId="00000011" w14:textId="77777777" w:rsidR="00D9317B" w:rsidRDefault="00D9317B"/>
    <w:p w14:paraId="00000012" w14:textId="77777777" w:rsidR="00D9317B" w:rsidRDefault="00000000">
      <w:r>
        <w:t>Barrier B: Data Access and Network Participation</w:t>
      </w:r>
    </w:p>
    <w:p w14:paraId="00000013" w14:textId="77777777" w:rsidR="00D9317B" w:rsidRDefault="00000000">
      <w:pPr>
        <w:rPr>
          <w:color w:val="000000"/>
        </w:rPr>
      </w:pPr>
      <w:r>
        <w:rPr>
          <w:color w:val="000000"/>
        </w:rPr>
        <w:t>Even when data is digital, another barrier is just getting access to all the data. Not all holders of patient's health data are participating in TEFCA.</w:t>
      </w:r>
    </w:p>
    <w:p w14:paraId="00000014" w14:textId="77777777" w:rsidR="00D9317B" w:rsidRDefault="00000000">
      <w:pPr>
        <w:numPr>
          <w:ilvl w:val="0"/>
          <w:numId w:val="1"/>
        </w:numPr>
        <w:pBdr>
          <w:top w:val="nil"/>
          <w:left w:val="nil"/>
          <w:bottom w:val="nil"/>
          <w:right w:val="nil"/>
          <w:between w:val="nil"/>
        </w:pBdr>
        <w:spacing w:before="240" w:line="276" w:lineRule="auto"/>
        <w:rPr>
          <w:color w:val="000000"/>
        </w:rPr>
      </w:pPr>
      <w:r>
        <w:rPr>
          <w:b/>
          <w:bCs/>
          <w:color w:val="000000"/>
        </w:rPr>
        <w:t>The Barrier:</w:t>
      </w:r>
      <w:r>
        <w:rPr>
          <w:color w:val="000000"/>
        </w:rPr>
        <w:t xml:space="preserve"> This non-universal participation in health information networks means AI models cannot build a complete, longitudinal view of the patient, leading to "hallucinations" born of missing context.</w:t>
      </w:r>
    </w:p>
    <w:p w14:paraId="00000015" w14:textId="77777777" w:rsidR="00D9317B" w:rsidRDefault="00000000">
      <w:pPr>
        <w:numPr>
          <w:ilvl w:val="0"/>
          <w:numId w:val="1"/>
        </w:numPr>
        <w:pBdr>
          <w:top w:val="nil"/>
          <w:left w:val="nil"/>
          <w:bottom w:val="nil"/>
          <w:right w:val="nil"/>
          <w:between w:val="nil"/>
        </w:pBdr>
        <w:spacing w:after="240" w:line="276" w:lineRule="auto"/>
        <w:rPr>
          <w:color w:val="000000"/>
        </w:rPr>
      </w:pPr>
      <w:r>
        <w:rPr>
          <w:b/>
          <w:bCs/>
          <w:color w:val="000000"/>
        </w:rPr>
        <w:t>The Solution:</w:t>
      </w:r>
      <w:r>
        <w:rPr>
          <w:color w:val="000000"/>
        </w:rPr>
        <w:t xml:space="preserve"> Innovation requires a federal requirement or penalty for not participating in TEFCA's treatment and individual access services pathway, which are critical for healthcare providers and patients to have access to their longitudinal data </w:t>
      </w:r>
      <w:proofErr w:type="gramStart"/>
      <w:r>
        <w:rPr>
          <w:color w:val="000000"/>
        </w:rPr>
        <w:t>in order to</w:t>
      </w:r>
      <w:proofErr w:type="gramEnd"/>
      <w:r>
        <w:rPr>
          <w:color w:val="000000"/>
        </w:rPr>
        <w:t xml:space="preserve"> use that for AI. Streamlining access through mandatory participation and seamless access would allow </w:t>
      </w:r>
      <w:r>
        <w:t xml:space="preserve">healthcare providers and patients </w:t>
      </w:r>
      <w:r>
        <w:rPr>
          <w:color w:val="000000"/>
        </w:rPr>
        <w:t>to rapidly aggregate the necessary data to power clinical AI, reducing the cost and time delays currently imposed by fragmented retrieval processes.</w:t>
      </w:r>
    </w:p>
    <w:p w14:paraId="00000016" w14:textId="77777777" w:rsidR="00D9317B" w:rsidRDefault="00D9317B">
      <w:pPr>
        <w:pStyle w:val="Heading4"/>
        <w:spacing w:before="0" w:line="275" w:lineRule="auto"/>
        <w:rPr>
          <w:rFonts w:ascii="Google Sans Text" w:eastAsia="Google Sans Text" w:hAnsi="Google Sans Text" w:cs="Google Sans Text"/>
        </w:rPr>
      </w:pPr>
    </w:p>
    <w:p w14:paraId="00000017" w14:textId="77777777" w:rsidR="00D9317B" w:rsidRDefault="00000000">
      <w:pPr>
        <w:pStyle w:val="Heading4"/>
        <w:spacing w:before="0" w:line="275" w:lineRule="auto"/>
        <w:rPr>
          <w:rFonts w:ascii="Google Sans Text" w:eastAsia="Google Sans Text" w:hAnsi="Google Sans Text" w:cs="Google Sans Text"/>
        </w:rPr>
      </w:pPr>
      <w:r>
        <w:rPr>
          <w:rFonts w:ascii="Google Sans Text" w:eastAsia="Google Sans Text" w:hAnsi="Google Sans Text" w:cs="Google Sans Text"/>
        </w:rPr>
        <w:t>2. What regulatory or payment policy changes should HHS prioritize?</w:t>
      </w:r>
    </w:p>
    <w:p w14:paraId="00000018"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Incentivize "Data Completeness" and Administrative Reduction:</w:t>
      </w:r>
    </w:p>
    <w:p w14:paraId="00000019"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HHS should prioritize payment models that reimburse for the completeness of clinical documentation, not just the volume of care.</w:t>
      </w:r>
    </w:p>
    <w:p w14:paraId="0000001A" w14:textId="77777777" w:rsidR="00D9317B"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rPr>
        <w:t>Reimbursement Leakage:</w:t>
      </w:r>
      <w:r>
        <w:rPr>
          <w:rFonts w:ascii="Google Sans Text" w:eastAsia="Google Sans Text" w:hAnsi="Google Sans Text" w:cs="Google Sans Text"/>
        </w:rPr>
        <w:t xml:space="preserve"> Healthcare organizations currently face significant revenue loss due to missing or incomplete documentation. This "administrative friction" delays patient care (e.g., prior authorization bottlenecks).</w:t>
      </w:r>
    </w:p>
    <w:p w14:paraId="0000001B" w14:textId="77777777" w:rsidR="00D9317B"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rPr>
        <w:t>Recommendation:</w:t>
      </w:r>
      <w:r>
        <w:rPr>
          <w:rFonts w:ascii="Google Sans Text" w:eastAsia="Google Sans Text" w:hAnsi="Google Sans Text" w:cs="Google Sans Text"/>
        </w:rPr>
        <w:t xml:space="preserve"> CMS should allow AI-verified data (with direct links to source documents) to automatically satisfy documentation requirements for Prior Authorization and Quality Reporting (e.g., NCQA ECDS). This would incentivize the adoption of AI tools that solve the "missing data" problem, directly reducing administrative burden.</w:t>
      </w:r>
    </w:p>
    <w:p w14:paraId="0000001C" w14:textId="77777777" w:rsidR="00D9317B" w:rsidRDefault="00D9317B">
      <w:pPr>
        <w:pStyle w:val="Heading4"/>
        <w:spacing w:before="0" w:line="275" w:lineRule="auto"/>
        <w:rPr>
          <w:rFonts w:ascii="Google Sans Text" w:eastAsia="Google Sans Text" w:hAnsi="Google Sans Text" w:cs="Google Sans Text"/>
        </w:rPr>
      </w:pPr>
    </w:p>
    <w:p w14:paraId="0000001D" w14:textId="77777777" w:rsidR="00D9317B" w:rsidRDefault="00000000">
      <w:pPr>
        <w:pStyle w:val="Heading4"/>
        <w:spacing w:before="0" w:line="275" w:lineRule="auto"/>
        <w:rPr>
          <w:rFonts w:ascii="Google Sans Text" w:eastAsia="Google Sans Text" w:hAnsi="Google Sans Text" w:cs="Google Sans Text"/>
        </w:rPr>
      </w:pPr>
      <w:r>
        <w:rPr>
          <w:rFonts w:ascii="Google Sans Text" w:eastAsia="Google Sans Text" w:hAnsi="Google Sans Text" w:cs="Google Sans Text"/>
        </w:rPr>
        <w:t>4. &amp; 5. What are the most promising AI evaluation methods? How can HHS support certification?</w:t>
      </w:r>
    </w:p>
    <w:p w14:paraId="0000001E"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"Trust but Verify" Standard:</w:t>
      </w:r>
    </w:p>
    <w:p w14:paraId="0000001F"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HHS must distinguish between "Black Box" AI (which summarizes without proof) and Source-Verified AI.</w:t>
      </w:r>
    </w:p>
    <w:p w14:paraId="00000020" w14:textId="77777777" w:rsidR="00D9317B"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rPr>
        <w:t>Safety Risk:</w:t>
      </w:r>
      <w:r>
        <w:rPr>
          <w:rFonts w:ascii="Google Sans Text" w:eastAsia="Google Sans Text" w:hAnsi="Google Sans Text" w:cs="Google Sans Text"/>
        </w:rPr>
        <w:t xml:space="preserve"> Generative AI that summarizes patient history without an audit trail poses a significant safety risk (hallucinations).</w:t>
      </w:r>
    </w:p>
    <w:p w14:paraId="00000021" w14:textId="77777777" w:rsidR="00D9317B"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rPr>
        <w:t>Proposed Standard:</w:t>
      </w:r>
      <w:r>
        <w:rPr>
          <w:rFonts w:ascii="Google Sans Text" w:eastAsia="Google Sans Text" w:hAnsi="Google Sans Text" w:cs="Google Sans Text"/>
        </w:rPr>
        <w:t xml:space="preserve"> We advocate that any AI tool used for clinical decision-making or reimbursement must meet a </w:t>
      </w:r>
      <w:r>
        <w:rPr>
          <w:rFonts w:ascii="Google Sans Text" w:eastAsia="Google Sans Text" w:hAnsi="Google Sans Text" w:cs="Google Sans Text"/>
          <w:b/>
          <w:bCs/>
        </w:rPr>
        <w:t>"Source Linking" standard</w:t>
      </w:r>
      <w:r>
        <w:rPr>
          <w:rFonts w:ascii="Google Sans Text" w:eastAsia="Google Sans Text" w:hAnsi="Google Sans Text" w:cs="Google Sans Text"/>
        </w:rPr>
        <w:t>. Every extracted clinical fact (e.g., "Patient has Stage 4 Breast Cancer") must be digitally linked to the specific page, document, and timestamp of the source record.</w:t>
      </w:r>
    </w:p>
    <w:p w14:paraId="00000022" w14:textId="77777777" w:rsidR="00D9317B"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rPr>
        <w:t>Validation:</w:t>
      </w:r>
      <w:r>
        <w:rPr>
          <w:rFonts w:ascii="Google Sans Text" w:eastAsia="Google Sans Text" w:hAnsi="Google Sans Text" w:cs="Google Sans Text"/>
        </w:rPr>
        <w:t xml:space="preserve"> Validation metrics should not just measure "accuracy" against a gold standard, but the </w:t>
      </w:r>
      <w:r>
        <w:rPr>
          <w:rFonts w:ascii="Google Sans Text" w:eastAsia="Google Sans Text" w:hAnsi="Google Sans Text" w:cs="Google Sans Text"/>
          <w:i/>
          <w:iCs/>
        </w:rPr>
        <w:t>speed and ability</w:t>
      </w:r>
      <w:r>
        <w:rPr>
          <w:rFonts w:ascii="Google Sans Text" w:eastAsia="Google Sans Text" w:hAnsi="Google Sans Text" w:cs="Google Sans Text"/>
        </w:rPr>
        <w:t xml:space="preserve"> of a human reviewer to verify the AI's claim via these source links. This "human-in-the-loop" architecture is the only safe path for clinical AI.</w:t>
      </w:r>
    </w:p>
    <w:p w14:paraId="00000023" w14:textId="77777777" w:rsidR="00D9317B"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rPr>
        <w:t>Ongoing Quality Control:</w:t>
      </w:r>
      <w:r>
        <w:rPr>
          <w:rFonts w:ascii="Google Sans Text" w:eastAsia="Google Sans Text" w:hAnsi="Google Sans Text" w:cs="Google Sans Text"/>
        </w:rPr>
        <w:t xml:space="preserve"> Initial validation is insufficient given the rapid evolution of AI technology. We recommend regulatory frameworks mandate ongoing quality controls—such as continuous monitoring and regression testing—to ensure that AI tools remain trustworthy and stable as models and data sources evolve.</w:t>
      </w:r>
    </w:p>
    <w:p w14:paraId="00000024" w14:textId="77777777" w:rsidR="00D9317B" w:rsidRDefault="00D9317B">
      <w:pPr>
        <w:pStyle w:val="Heading4"/>
        <w:spacing w:before="0" w:line="275" w:lineRule="auto"/>
        <w:rPr>
          <w:rFonts w:ascii="Google Sans Text" w:eastAsia="Google Sans Text" w:hAnsi="Google Sans Text" w:cs="Google Sans Text"/>
        </w:rPr>
      </w:pPr>
    </w:p>
    <w:p w14:paraId="00000025" w14:textId="77777777" w:rsidR="00D9317B" w:rsidRDefault="00000000">
      <w:pPr>
        <w:pStyle w:val="Heading4"/>
        <w:spacing w:before="0" w:line="275" w:lineRule="auto"/>
        <w:rPr>
          <w:rFonts w:ascii="Google Sans Text" w:eastAsia="Google Sans Text" w:hAnsi="Google Sans Text" w:cs="Google Sans Text"/>
        </w:rPr>
      </w:pPr>
      <w:r>
        <w:rPr>
          <w:rFonts w:ascii="Google Sans Text" w:eastAsia="Google Sans Text" w:hAnsi="Google Sans Text" w:cs="Google Sans Text"/>
        </w:rPr>
        <w:t xml:space="preserve">8. Where would </w:t>
      </w:r>
      <w:proofErr w:type="gramStart"/>
      <w:r>
        <w:rPr>
          <w:rFonts w:ascii="Google Sans Text" w:eastAsia="Google Sans Text" w:hAnsi="Google Sans Text" w:cs="Google Sans Text"/>
        </w:rPr>
        <w:t>enhanced</w:t>
      </w:r>
      <w:proofErr w:type="gramEnd"/>
      <w:r>
        <w:rPr>
          <w:rFonts w:ascii="Google Sans Text" w:eastAsia="Google Sans Text" w:hAnsi="Google Sans Text" w:cs="Google Sans Text"/>
        </w:rPr>
        <w:t xml:space="preserve"> interoperability widen market opportunities?</w:t>
      </w:r>
    </w:p>
    <w:p w14:paraId="00000026"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Mandate Universal Network Participation</w:t>
      </w:r>
    </w:p>
    <w:p w14:paraId="00000027"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 widen market opportunities for AI, interoperability must be universal, not optional.</w:t>
      </w:r>
    </w:p>
    <w:p w14:paraId="00000028" w14:textId="77777777" w:rsidR="00D9317B"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rPr>
        <w:t>The Problem:</w:t>
      </w:r>
      <w:r>
        <w:rPr>
          <w:rFonts w:ascii="Google Sans Text" w:eastAsia="Google Sans Text" w:hAnsi="Google Sans Text" w:cs="Google Sans Text"/>
        </w:rPr>
        <w:t xml:space="preserve"> Currently, participation in networks like TEFCA is voluntary, leaving significant gaps in coverage—particularly among smaller practices, rural clinics, and specialists who may still rely on fax. AI models trained on or operating with "Swiss cheese" data (data with holes) are inherently unsafe and biased.</w:t>
      </w:r>
    </w:p>
    <w:p w14:paraId="00000029" w14:textId="77777777" w:rsidR="00D9317B"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rPr>
        <w:t>Recommendation:</w:t>
      </w:r>
      <w:r>
        <w:rPr>
          <w:rFonts w:ascii="Google Sans Text" w:eastAsia="Google Sans Text" w:hAnsi="Google Sans Text" w:cs="Google Sans Text"/>
        </w:rPr>
        <w:t xml:space="preserve"> HHS should prioritize regulatory levers that move towards </w:t>
      </w:r>
      <w:r>
        <w:rPr>
          <w:rFonts w:ascii="Google Sans Text" w:eastAsia="Google Sans Text" w:hAnsi="Google Sans Text" w:cs="Google Sans Text"/>
          <w:b/>
          <w:bCs/>
        </w:rPr>
        <w:t>mandatory participation</w:t>
      </w:r>
      <w:r>
        <w:rPr>
          <w:rFonts w:ascii="Google Sans Text" w:eastAsia="Google Sans Text" w:hAnsi="Google Sans Text" w:cs="Google Sans Text"/>
        </w:rPr>
        <w:t xml:space="preserve"> in Health Information Networks for all providers. Universal participation ensures that AI agents have access to the </w:t>
      </w:r>
      <w:r>
        <w:rPr>
          <w:rFonts w:ascii="Google Sans Text" w:eastAsia="Google Sans Text" w:hAnsi="Google Sans Text" w:cs="Google Sans Text"/>
          <w:i/>
          <w:iCs/>
        </w:rPr>
        <w:t>entire</w:t>
      </w:r>
      <w:r>
        <w:rPr>
          <w:rFonts w:ascii="Google Sans Text" w:eastAsia="Google Sans Text" w:hAnsi="Google Sans Text" w:cs="Google Sans Text"/>
        </w:rPr>
        <w:t xml:space="preserve"> patient journey, not just the episodes that occurred in large, tech-enabled health systems.</w:t>
      </w:r>
    </w:p>
    <w:p w14:paraId="0000002A"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 From "Transport" to "Semantic" Interoperability</w:t>
      </w:r>
    </w:p>
    <w:p w14:paraId="0000002B" w14:textId="77777777" w:rsidR="00D9317B"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Current interoperability frameworks (TEFCA, QHINs) excel at transporting files but fail at semantic understanding.</w:t>
      </w:r>
    </w:p>
    <w:p w14:paraId="0000002C" w14:textId="77777777" w:rsidR="00D9317B"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rPr>
        <w:t>The Gap:</w:t>
      </w:r>
      <w:r>
        <w:rPr>
          <w:rFonts w:ascii="Google Sans Text" w:eastAsia="Google Sans Text" w:hAnsi="Google Sans Text" w:cs="Google Sans Text"/>
        </w:rPr>
        <w:t xml:space="preserve"> Moving a PDF from Hospital A to Hospital B is "interoperability," but it does not help an AI system understand the patient's history.</w:t>
      </w:r>
    </w:p>
    <w:p w14:paraId="0000002D" w14:textId="77777777" w:rsidR="00D9317B"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rPr>
        <w:t>Evidence:</w:t>
      </w:r>
      <w:r>
        <w:rPr>
          <w:rFonts w:ascii="Google Sans Text" w:eastAsia="Google Sans Text" w:hAnsi="Google Sans Text" w:cs="Google Sans Text"/>
        </w:rPr>
        <w:t xml:space="preserve"> In representative analyses of patients with complex conditions (e.g., advanced oncology), we found that relying solely on standard structured data feeds resulted in missing approximately </w:t>
      </w:r>
      <w:r>
        <w:rPr>
          <w:rFonts w:ascii="Google Sans Text" w:eastAsia="Google Sans Text" w:hAnsi="Google Sans Text" w:cs="Google Sans Text"/>
          <w:b/>
          <w:bCs/>
        </w:rPr>
        <w:t>88%</w:t>
      </w:r>
      <w:r>
        <w:rPr>
          <w:rFonts w:ascii="Google Sans Text" w:eastAsia="Google Sans Text" w:hAnsi="Google Sans Text" w:cs="Google Sans Text"/>
        </w:rPr>
        <w:t xml:space="preserve"> of relevant Hierarchical Condition Category (HCC) coding opportunities compared to AI-enhanced extraction from unstructured notes.</w:t>
      </w:r>
    </w:p>
    <w:p w14:paraId="0000002E" w14:textId="77777777" w:rsidR="00D9317B"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rPr>
        <w:t>Recommendation:</w:t>
      </w:r>
      <w:r>
        <w:rPr>
          <w:rFonts w:ascii="Google Sans Text" w:eastAsia="Google Sans Text" w:hAnsi="Google Sans Text" w:cs="Google Sans Text"/>
        </w:rPr>
        <w:t xml:space="preserve"> HHS should broaden the definition of "interoperability" to include the capacity to parse, normalize, and structure unstructured data. True interoperability is not just moving the file; it is making the </w:t>
      </w:r>
      <w:r>
        <w:rPr>
          <w:rFonts w:ascii="Google Sans Text" w:eastAsia="Google Sans Text" w:hAnsi="Google Sans Text" w:cs="Google Sans Text"/>
          <w:i/>
          <w:iCs/>
        </w:rPr>
        <w:t>content</w:t>
      </w:r>
      <w:r>
        <w:rPr>
          <w:rFonts w:ascii="Google Sans Text" w:eastAsia="Google Sans Text" w:hAnsi="Google Sans Text" w:cs="Google Sans Text"/>
        </w:rPr>
        <w:t xml:space="preserve"> of the file machine-readable for downstream AI applications.</w:t>
      </w:r>
    </w:p>
    <w:p w14:paraId="0000002F" w14:textId="77777777" w:rsidR="00D9317B" w:rsidRDefault="00D9317B">
      <w:pPr>
        <w:pBdr>
          <w:top w:val="nil"/>
          <w:left w:val="nil"/>
          <w:bottom w:val="nil"/>
          <w:right w:val="nil"/>
          <w:between w:val="nil"/>
        </w:pBdr>
        <w:spacing w:line="275" w:lineRule="auto"/>
        <w:ind w:left="600"/>
        <w:rPr>
          <w:rFonts w:ascii="Google Sans Text" w:eastAsia="Google Sans Text" w:hAnsi="Google Sans Text" w:cs="Google Sans Text"/>
        </w:rPr>
      </w:pPr>
    </w:p>
    <w:sectPr w:rsidR="00D9317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E8BB883-69C3-0442-8278-FE0D0CC0B896}"/>
    <w:embedBold r:id="rId2" w:fontKey="{752B3FC8-95A5-AC47-8CBB-87D095CEE344}"/>
  </w:font>
  <w:font w:name="Times New Roman">
    <w:panose1 w:val="02020603050405020304"/>
    <w:charset w:val="00"/>
    <w:family w:val="roman"/>
    <w:pitch w:val="variable"/>
    <w:sig w:usb0="E0002EFF" w:usb1="C000785B" w:usb2="00000009" w:usb3="00000000" w:csb0="000001FF" w:csb1="00000000"/>
    <w:embedRegular r:id="rId3" w:fontKey="{F7917AB8-F668-034D-8067-601954C56CC5}"/>
  </w:font>
  <w:font w:name="Georgia">
    <w:panose1 w:val="02040502050405020303"/>
    <w:charset w:val="00"/>
    <w:family w:val="roman"/>
    <w:pitch w:val="variable"/>
    <w:sig w:usb0="00000287" w:usb1="00000000" w:usb2="00000000" w:usb3="00000000" w:csb0="0000009F" w:csb1="00000000"/>
    <w:embedItalic r:id="rId4" w:fontKey="{F59D5AC9-2D50-644C-A48C-B6B9B069B521}"/>
  </w:font>
  <w:font w:name="Google Sans Text">
    <w:altName w:val="Calibri"/>
    <w:panose1 w:val="020B0604020202020204"/>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embedRegular r:id="rId8" w:fontKey="{FB7A5349-8B00-E34C-BCF2-2C564FB356B1}"/>
  </w:font>
  <w:font w:name="Cambria">
    <w:panose1 w:val="02040503050406030204"/>
    <w:charset w:val="00"/>
    <w:family w:val="roman"/>
    <w:pitch w:val="variable"/>
    <w:sig w:usb0="E00006FF" w:usb1="420024FF" w:usb2="02000000" w:usb3="00000000" w:csb0="0000019F" w:csb1="00000000"/>
    <w:embedRegular r:id="rId9" w:fontKey="{8B12913D-3088-F844-A13F-1CBCEF274B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EBD"/>
    <w:multiLevelType w:val="multilevel"/>
    <w:tmpl w:val="0FB6F8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BC6DE0"/>
    <w:multiLevelType w:val="multilevel"/>
    <w:tmpl w:val="185858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BD7419C"/>
    <w:multiLevelType w:val="multilevel"/>
    <w:tmpl w:val="A05EB7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1D77471"/>
    <w:multiLevelType w:val="multilevel"/>
    <w:tmpl w:val="E22C4A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9675CDB"/>
    <w:multiLevelType w:val="multilevel"/>
    <w:tmpl w:val="F7DC73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05258C2"/>
    <w:multiLevelType w:val="multilevel"/>
    <w:tmpl w:val="A1CEFD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4253376">
    <w:abstractNumId w:val="4"/>
  </w:num>
  <w:num w:numId="2" w16cid:durableId="279990683">
    <w:abstractNumId w:val="1"/>
  </w:num>
  <w:num w:numId="3" w16cid:durableId="1664308678">
    <w:abstractNumId w:val="0"/>
  </w:num>
  <w:num w:numId="4" w16cid:durableId="1247953720">
    <w:abstractNumId w:val="2"/>
  </w:num>
  <w:num w:numId="5" w16cid:durableId="1131897547">
    <w:abstractNumId w:val="3"/>
  </w:num>
  <w:num w:numId="6" w16cid:durableId="1057049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17B"/>
    <w:rsid w:val="000A3C27"/>
    <w:rsid w:val="00A440E3"/>
    <w:rsid w:val="00D931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docId w15:val="{2F2900AF-7103-D749-BB2C-4ADC4C99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1057</Words>
  <Characters>6029</Characters>
  <Application>Microsoft Office Word</Application>
  <DocSecurity>0</DocSecurity>
  <Lines>50</Lines>
  <Paragraphs>14</Paragraphs>
  <ScaleCrop>false</ScaleCrop>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Kenny Wong</cp:lastModifiedBy>
  <cp:revision>2</cp:revision>
  <dcterms:created xsi:type="dcterms:W3CDTF">2026-02-21T03:08:00Z</dcterms:created>
  <dcterms:modified xsi:type="dcterms:W3CDTF">2026-02-21T03:08:00Z</dcterms:modified>
</cp:coreProperties>
</file>