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31D8" w14:textId="77777777" w:rsidR="00FD6406" w:rsidRDefault="00FD6406" w:rsidP="00FD6406">
      <w:pPr>
        <w:spacing w:after="120" w:line="245" w:lineRule="auto"/>
        <w:ind w:left="1080" w:hanging="360"/>
      </w:pPr>
    </w:p>
    <w:p w14:paraId="218EA608" w14:textId="29E7C774" w:rsidR="00FD6406" w:rsidRPr="00FD6406" w:rsidRDefault="00FD6406" w:rsidP="00FD6406">
      <w:pPr>
        <w:spacing w:afterLines="120" w:after="288" w:line="247" w:lineRule="auto"/>
        <w:rPr>
          <w:rFonts w:ascii="Calibri" w:eastAsia="Calibri" w:hAnsi="Calibri" w:cs="Calibri"/>
          <w:kern w:val="0"/>
          <w:sz w:val="22"/>
          <w:szCs w:val="22"/>
          <w14:ligatures w14:val="none"/>
        </w:rPr>
      </w:pPr>
      <w:r w:rsidRPr="00FD6406">
        <w:rPr>
          <w:rFonts w:ascii="Calibri" w:eastAsia="Calibri" w:hAnsi="Calibri" w:cs="Calibri"/>
          <w:kern w:val="0"/>
          <w:sz w:val="22"/>
          <w:szCs w:val="22"/>
          <w14:ligatures w14:val="none"/>
        </w:rPr>
        <w:t xml:space="preserve">February </w:t>
      </w:r>
      <w:r w:rsidR="00294432" w:rsidRPr="00294432">
        <w:rPr>
          <w:rFonts w:ascii="Calibri" w:eastAsia="Calibri" w:hAnsi="Calibri" w:cs="Calibri"/>
          <w:kern w:val="0"/>
          <w:sz w:val="22"/>
          <w:szCs w:val="22"/>
          <w14:ligatures w14:val="none"/>
        </w:rPr>
        <w:t>2</w:t>
      </w:r>
      <w:r w:rsidR="00626E83">
        <w:rPr>
          <w:rFonts w:ascii="Calibri" w:eastAsia="Calibri" w:hAnsi="Calibri" w:cs="Calibri"/>
          <w:kern w:val="0"/>
          <w:sz w:val="22"/>
          <w:szCs w:val="22"/>
          <w14:ligatures w14:val="none"/>
        </w:rPr>
        <w:t>3</w:t>
      </w:r>
      <w:r w:rsidR="00626E83" w:rsidRPr="00626E83">
        <w:rPr>
          <w:rFonts w:ascii="Calibri" w:eastAsia="Calibri" w:hAnsi="Calibri" w:cs="Calibri"/>
          <w:kern w:val="0"/>
          <w:sz w:val="22"/>
          <w:szCs w:val="22"/>
          <w:vertAlign w:val="superscript"/>
          <w14:ligatures w14:val="none"/>
        </w:rPr>
        <w:t>rd</w:t>
      </w:r>
      <w:r w:rsidRPr="00FD6406">
        <w:rPr>
          <w:rFonts w:ascii="Calibri" w:eastAsia="Calibri" w:hAnsi="Calibri" w:cs="Calibri"/>
          <w:kern w:val="0"/>
          <w:sz w:val="22"/>
          <w:szCs w:val="22"/>
          <w14:ligatures w14:val="none"/>
        </w:rPr>
        <w:t xml:space="preserve">, 2026 </w:t>
      </w:r>
    </w:p>
    <w:p w14:paraId="22ED70D6" w14:textId="01EEF32B" w:rsidR="00FD6406" w:rsidRPr="00FD6406" w:rsidRDefault="00FD6406" w:rsidP="00FD6406">
      <w:pPr>
        <w:spacing w:after="0" w:line="240" w:lineRule="auto"/>
        <w:rPr>
          <w:rFonts w:ascii="Calibri" w:eastAsia="Aptos" w:hAnsi="Calibri" w:cs="Calibri"/>
          <w:sz w:val="22"/>
          <w:szCs w:val="22"/>
        </w:rPr>
      </w:pPr>
      <w:r w:rsidRPr="00FD6406">
        <w:rPr>
          <w:rFonts w:ascii="Calibri" w:eastAsia="Calibri" w:hAnsi="Calibri" w:cs="Calibri"/>
          <w:b/>
          <w:bCs/>
          <w:kern w:val="0"/>
          <w:sz w:val="22"/>
          <w:szCs w:val="22"/>
          <w14:ligatures w14:val="none"/>
        </w:rPr>
        <w:t>T</w:t>
      </w:r>
      <w:r w:rsidRPr="00FD6406">
        <w:rPr>
          <w:rFonts w:ascii="Calibri" w:eastAsia="Aptos" w:hAnsi="Calibri" w:cs="Calibri"/>
          <w:b/>
          <w:bCs/>
          <w:sz w:val="22"/>
          <w:szCs w:val="22"/>
        </w:rPr>
        <w:t>he Honorable Robert F. Kennedy Jr.</w:t>
      </w:r>
      <w:r w:rsidRPr="00FD6406">
        <w:rPr>
          <w:rFonts w:ascii="Calibri" w:eastAsia="Aptos" w:hAnsi="Calibri" w:cs="Calibri"/>
          <w:sz w:val="22"/>
          <w:szCs w:val="22"/>
        </w:rPr>
        <w:t xml:space="preserve"> </w:t>
      </w:r>
    </w:p>
    <w:p w14:paraId="0A0E77FE" w14:textId="77777777" w:rsidR="00FD6406" w:rsidRPr="00FD6406" w:rsidRDefault="00FD6406" w:rsidP="00FD6406">
      <w:pPr>
        <w:spacing w:after="0" w:line="240" w:lineRule="auto"/>
        <w:rPr>
          <w:rFonts w:ascii="Calibri" w:eastAsia="Aptos" w:hAnsi="Calibri" w:cs="Calibri"/>
          <w:sz w:val="22"/>
          <w:szCs w:val="22"/>
        </w:rPr>
      </w:pPr>
      <w:r w:rsidRPr="00FD6406">
        <w:rPr>
          <w:rFonts w:ascii="Calibri" w:eastAsia="Aptos" w:hAnsi="Calibri" w:cs="Calibri"/>
          <w:sz w:val="22"/>
          <w:szCs w:val="22"/>
        </w:rPr>
        <w:t xml:space="preserve">U.S. Department of Health and Human Services </w:t>
      </w:r>
    </w:p>
    <w:p w14:paraId="681E123A" w14:textId="77777777" w:rsidR="00FD6406" w:rsidRPr="00FD6406" w:rsidRDefault="00FD6406" w:rsidP="00FD6406">
      <w:pPr>
        <w:spacing w:after="0" w:line="240" w:lineRule="auto"/>
        <w:rPr>
          <w:rFonts w:ascii="Calibri" w:eastAsia="Aptos" w:hAnsi="Calibri" w:cs="Calibri"/>
          <w:sz w:val="22"/>
          <w:szCs w:val="22"/>
        </w:rPr>
      </w:pPr>
      <w:r w:rsidRPr="00FD6406">
        <w:rPr>
          <w:rFonts w:ascii="Calibri" w:eastAsia="Aptos" w:hAnsi="Calibri" w:cs="Calibri"/>
          <w:sz w:val="22"/>
          <w:szCs w:val="22"/>
        </w:rPr>
        <w:t xml:space="preserve">200 Independence Ave SW </w:t>
      </w:r>
    </w:p>
    <w:p w14:paraId="3D61C138" w14:textId="3BDB69E8" w:rsidR="00FD6406" w:rsidRDefault="00FD6406" w:rsidP="00FD6406">
      <w:pPr>
        <w:spacing w:after="0" w:line="240" w:lineRule="auto"/>
        <w:rPr>
          <w:rFonts w:ascii="Calibri" w:eastAsia="Aptos" w:hAnsi="Calibri" w:cs="Calibri"/>
          <w:sz w:val="22"/>
          <w:szCs w:val="22"/>
        </w:rPr>
      </w:pPr>
      <w:r w:rsidRPr="00FD6406">
        <w:rPr>
          <w:rFonts w:ascii="Calibri" w:eastAsia="Aptos" w:hAnsi="Calibri" w:cs="Calibri"/>
          <w:sz w:val="22"/>
          <w:szCs w:val="22"/>
        </w:rPr>
        <w:t>Washington, DC 20201</w:t>
      </w:r>
    </w:p>
    <w:p w14:paraId="6165595E" w14:textId="77777777" w:rsidR="00626E83" w:rsidRPr="00626E83" w:rsidRDefault="00626E83" w:rsidP="00FD6406">
      <w:pPr>
        <w:spacing w:after="0" w:line="240" w:lineRule="auto"/>
        <w:rPr>
          <w:rFonts w:ascii="Calibri" w:eastAsia="Aptos" w:hAnsi="Calibri" w:cs="Calibri"/>
          <w:sz w:val="22"/>
          <w:szCs w:val="22"/>
        </w:rPr>
      </w:pPr>
    </w:p>
    <w:p w14:paraId="390A0B07" w14:textId="77777777" w:rsidR="00FD6406" w:rsidRPr="00FD6406" w:rsidRDefault="00FD6406" w:rsidP="00FD6406">
      <w:pPr>
        <w:spacing w:after="0" w:line="240" w:lineRule="auto"/>
        <w:rPr>
          <w:rFonts w:ascii="Calibri" w:eastAsia="Aptos" w:hAnsi="Calibri" w:cs="Calibri"/>
          <w:sz w:val="22"/>
          <w:szCs w:val="22"/>
        </w:rPr>
      </w:pPr>
    </w:p>
    <w:p w14:paraId="5155E621" w14:textId="472E551F" w:rsidR="00FD6406" w:rsidRPr="00FD6406" w:rsidRDefault="00FD6406" w:rsidP="00FD6406">
      <w:pPr>
        <w:spacing w:afterLines="120" w:after="288" w:line="247" w:lineRule="auto"/>
        <w:rPr>
          <w:rFonts w:ascii="Calibri" w:eastAsia="Calibri" w:hAnsi="Calibri" w:cs="Calibri"/>
          <w:b/>
          <w:bCs/>
          <w:kern w:val="0"/>
          <w:sz w:val="22"/>
          <w:szCs w:val="22"/>
          <w14:ligatures w14:val="none"/>
        </w:rPr>
      </w:pPr>
      <w:r w:rsidRPr="00FD6406">
        <w:rPr>
          <w:rFonts w:ascii="Calibri" w:eastAsia="Calibri" w:hAnsi="Calibri" w:cs="Calibri"/>
          <w:b/>
          <w:bCs/>
          <w:kern w:val="0"/>
          <w:sz w:val="22"/>
          <w:szCs w:val="22"/>
          <w14:ligatures w14:val="none"/>
        </w:rPr>
        <w:t>Re:</w:t>
      </w:r>
      <w:r>
        <w:rPr>
          <w:rFonts w:ascii="Calibri" w:eastAsia="Calibri" w:hAnsi="Calibri" w:cs="Calibri"/>
          <w:b/>
          <w:bCs/>
          <w:kern w:val="0"/>
          <w:sz w:val="22"/>
          <w:szCs w:val="22"/>
          <w14:ligatures w14:val="none"/>
        </w:rPr>
        <w:t xml:space="preserve"> </w:t>
      </w:r>
      <w:r w:rsidRPr="00FD6406">
        <w:rPr>
          <w:rFonts w:ascii="Calibri" w:eastAsia="Calibri" w:hAnsi="Calibri" w:cs="Calibri"/>
          <w:b/>
          <w:bCs/>
          <w:kern w:val="0"/>
          <w:sz w:val="22"/>
          <w:szCs w:val="22"/>
          <w14:ligatures w14:val="none"/>
        </w:rPr>
        <w:t>Request for Information</w:t>
      </w:r>
      <w:r>
        <w:rPr>
          <w:rFonts w:ascii="Calibri" w:eastAsia="Calibri" w:hAnsi="Calibri" w:cs="Calibri"/>
          <w:b/>
          <w:bCs/>
          <w:kern w:val="0"/>
          <w:sz w:val="22"/>
          <w:szCs w:val="22"/>
          <w14:ligatures w14:val="none"/>
        </w:rPr>
        <w:t xml:space="preserve"> - </w:t>
      </w:r>
      <w:r w:rsidRPr="00FD6406">
        <w:rPr>
          <w:rFonts w:ascii="Calibri" w:eastAsia="Calibri" w:hAnsi="Calibri" w:cs="Calibri"/>
          <w:b/>
          <w:bCs/>
          <w:kern w:val="0"/>
          <w:sz w:val="22"/>
          <w:szCs w:val="22"/>
          <w14:ligatures w14:val="none"/>
        </w:rPr>
        <w:t>Accelerating the Adoption and Use of Artificial Intelligence as part of Clinical Care</w:t>
      </w:r>
      <w:r>
        <w:rPr>
          <w:rFonts w:ascii="Calibri" w:eastAsia="Calibri" w:hAnsi="Calibri" w:cs="Calibri"/>
          <w:b/>
          <w:bCs/>
          <w:kern w:val="0"/>
          <w:sz w:val="22"/>
          <w:szCs w:val="22"/>
          <w14:ligatures w14:val="none"/>
        </w:rPr>
        <w:t xml:space="preserve"> (</w:t>
      </w:r>
      <w:r w:rsidRPr="00FD6406">
        <w:rPr>
          <w:rFonts w:ascii="Calibri" w:eastAsia="Calibri" w:hAnsi="Calibri" w:cs="Calibri"/>
          <w:b/>
          <w:bCs/>
          <w:kern w:val="0"/>
          <w:sz w:val="22"/>
          <w:szCs w:val="22"/>
          <w14:ligatures w14:val="none"/>
        </w:rPr>
        <w:t>RIN 0955-AA13</w:t>
      </w:r>
      <w:r>
        <w:rPr>
          <w:rFonts w:ascii="Calibri" w:eastAsia="Calibri" w:hAnsi="Calibri" w:cs="Calibri"/>
          <w:b/>
          <w:bCs/>
          <w:kern w:val="0"/>
          <w:sz w:val="22"/>
          <w:szCs w:val="22"/>
          <w14:ligatures w14:val="none"/>
        </w:rPr>
        <w:t>)</w:t>
      </w:r>
    </w:p>
    <w:p w14:paraId="676A70FA" w14:textId="4859F99E" w:rsidR="00FD6406" w:rsidRPr="00FD6406" w:rsidRDefault="00FD6406" w:rsidP="00FD6406">
      <w:pPr>
        <w:spacing w:afterLines="120" w:after="288" w:line="247" w:lineRule="auto"/>
        <w:rPr>
          <w:rFonts w:ascii="Calibri" w:eastAsia="Calibri" w:hAnsi="Calibri" w:cs="Calibri"/>
          <w:kern w:val="0"/>
          <w:sz w:val="22"/>
          <w:szCs w:val="22"/>
          <w:highlight w:val="yellow"/>
          <w14:ligatures w14:val="none"/>
        </w:rPr>
      </w:pPr>
      <w:r w:rsidRPr="00FD6406">
        <w:rPr>
          <w:rFonts w:ascii="Calibri" w:eastAsia="Calibri" w:hAnsi="Calibri" w:cs="Calibri"/>
          <w:kern w:val="0"/>
          <w:sz w:val="22"/>
          <w:szCs w:val="22"/>
          <w14:ligatures w14:val="none"/>
        </w:rPr>
        <w:t>Dear Secretar</w:t>
      </w:r>
      <w:r w:rsidR="00D24742">
        <w:rPr>
          <w:rFonts w:ascii="Calibri" w:eastAsia="Calibri" w:hAnsi="Calibri" w:cs="Calibri"/>
          <w:kern w:val="0"/>
          <w:sz w:val="22"/>
          <w:szCs w:val="22"/>
          <w14:ligatures w14:val="none"/>
        </w:rPr>
        <w:t>y Kennedy</w:t>
      </w:r>
      <w:r w:rsidRPr="00FD6406">
        <w:rPr>
          <w:rFonts w:ascii="Calibri" w:eastAsia="Calibri" w:hAnsi="Calibri" w:cs="Calibri"/>
          <w:kern w:val="0"/>
          <w:sz w:val="22"/>
          <w:szCs w:val="22"/>
          <w14:ligatures w14:val="none"/>
        </w:rPr>
        <w:t>:</w:t>
      </w:r>
    </w:p>
    <w:p w14:paraId="797D23B9" w14:textId="1C5F1C23" w:rsidR="00FD6406" w:rsidRPr="00FD6406" w:rsidRDefault="00C64C00" w:rsidP="00FD6406">
      <w:pPr>
        <w:spacing w:afterLines="120" w:after="288" w:line="247" w:lineRule="auto"/>
        <w:rPr>
          <w:rFonts w:ascii="Calibri" w:eastAsia="Calibri" w:hAnsi="Calibri" w:cs="Calibri"/>
          <w:kern w:val="0"/>
          <w:sz w:val="22"/>
          <w:szCs w:val="22"/>
          <w14:ligatures w14:val="none"/>
        </w:rPr>
      </w:pPr>
      <w:r w:rsidRPr="00C64C00">
        <w:rPr>
          <w:rFonts w:ascii="Calibri" w:eastAsia="Calibri" w:hAnsi="Calibri" w:cs="Calibri"/>
          <w:kern w:val="0"/>
          <w:sz w:val="22"/>
          <w:szCs w:val="22"/>
          <w14:ligatures w14:val="none"/>
        </w:rPr>
        <w:t xml:space="preserve">On </w:t>
      </w:r>
      <w:r>
        <w:rPr>
          <w:rFonts w:ascii="Calibri" w:eastAsia="Calibri" w:hAnsi="Calibri" w:cs="Calibri"/>
          <w:kern w:val="0"/>
          <w:sz w:val="22"/>
          <w:szCs w:val="22"/>
          <w14:ligatures w14:val="none"/>
        </w:rPr>
        <w:t>December 23</w:t>
      </w:r>
      <w:r w:rsidRPr="00C64C00">
        <w:rPr>
          <w:rFonts w:ascii="Calibri" w:eastAsia="Calibri" w:hAnsi="Calibri" w:cs="Calibri"/>
          <w:kern w:val="0"/>
          <w:sz w:val="22"/>
          <w:szCs w:val="22"/>
          <w:vertAlign w:val="superscript"/>
          <w14:ligatures w14:val="none"/>
        </w:rPr>
        <w:t>rd</w:t>
      </w:r>
      <w:r>
        <w:rPr>
          <w:rFonts w:ascii="Calibri" w:eastAsia="Calibri" w:hAnsi="Calibri" w:cs="Calibri"/>
          <w:kern w:val="0"/>
          <w:sz w:val="22"/>
          <w:szCs w:val="22"/>
          <w14:ligatures w14:val="none"/>
        </w:rPr>
        <w:t xml:space="preserve">, 2025 </w:t>
      </w:r>
      <w:r w:rsidRPr="00C64C00">
        <w:rPr>
          <w:rFonts w:ascii="Calibri" w:eastAsia="Calibri" w:hAnsi="Calibri" w:cs="Calibri"/>
          <w:kern w:val="0"/>
          <w:sz w:val="22"/>
          <w:szCs w:val="22"/>
          <w14:ligatures w14:val="none"/>
        </w:rPr>
        <w:t xml:space="preserve">, the Department of Health and Human Services (HHS) </w:t>
      </w:r>
      <w:r>
        <w:rPr>
          <w:rFonts w:ascii="Calibri" w:eastAsia="Calibri" w:hAnsi="Calibri" w:cs="Calibri"/>
          <w:kern w:val="0"/>
          <w:sz w:val="22"/>
          <w:szCs w:val="22"/>
          <w14:ligatures w14:val="none"/>
        </w:rPr>
        <w:t xml:space="preserve">in partnership with </w:t>
      </w:r>
      <w:r w:rsidRPr="00C64C00">
        <w:rPr>
          <w:rFonts w:ascii="Calibri" w:eastAsia="Calibri" w:hAnsi="Calibri" w:cs="Calibri"/>
          <w:kern w:val="0"/>
          <w:sz w:val="22"/>
          <w:szCs w:val="22"/>
          <w14:ligatures w14:val="none"/>
        </w:rPr>
        <w:t>Office of the Deputy Secretary and Assistant Secretary for Technology Policy (ASTP) and Office of the National Coordinator for Health Information Technology (ONC) (collectively, ASTP/ONC)</w:t>
      </w:r>
      <w:r>
        <w:rPr>
          <w:rFonts w:ascii="Calibri" w:eastAsia="Calibri" w:hAnsi="Calibri" w:cs="Calibri"/>
          <w:kern w:val="0"/>
          <w:sz w:val="22"/>
          <w:szCs w:val="22"/>
          <w14:ligatures w14:val="none"/>
        </w:rPr>
        <w:t xml:space="preserve"> </w:t>
      </w:r>
      <w:r w:rsidRPr="00C64C00">
        <w:rPr>
          <w:rFonts w:ascii="Calibri" w:eastAsia="Calibri" w:hAnsi="Calibri" w:cs="Calibri"/>
          <w:kern w:val="0"/>
          <w:sz w:val="22"/>
          <w:szCs w:val="22"/>
          <w14:ligatures w14:val="none"/>
        </w:rPr>
        <w:t xml:space="preserve">released a Request for Information soliciting information regarding </w:t>
      </w:r>
      <w:r>
        <w:rPr>
          <w:rFonts w:ascii="Calibri" w:eastAsia="Calibri" w:hAnsi="Calibri" w:cs="Calibri"/>
          <w:kern w:val="0"/>
          <w:sz w:val="22"/>
          <w:szCs w:val="22"/>
          <w14:ligatures w14:val="none"/>
        </w:rPr>
        <w:t xml:space="preserve"> </w:t>
      </w:r>
      <w:r w:rsidRPr="00C64C00">
        <w:rPr>
          <w:rFonts w:ascii="Calibri" w:eastAsia="Calibri" w:hAnsi="Calibri" w:cs="Calibri"/>
          <w:kern w:val="0"/>
          <w:sz w:val="22"/>
          <w:szCs w:val="22"/>
          <w14:ligatures w14:val="none"/>
        </w:rPr>
        <w:t>seek broad public comment on what HHS can do to accelerate the adoption and use of AI as part of clinical care</w:t>
      </w:r>
      <w:r>
        <w:rPr>
          <w:rFonts w:ascii="Calibri" w:eastAsia="Calibri" w:hAnsi="Calibri" w:cs="Calibri"/>
          <w:kern w:val="0"/>
          <w:sz w:val="22"/>
          <w:szCs w:val="22"/>
          <w14:ligatures w14:val="none"/>
        </w:rPr>
        <w:t xml:space="preserve">. Point32Health welcomes the opportunity to provide insight into this critical matter. </w:t>
      </w:r>
    </w:p>
    <w:p w14:paraId="50D0688B" w14:textId="77777777" w:rsidR="00FD6406" w:rsidRPr="00FD6406" w:rsidRDefault="00FD6406" w:rsidP="00FD6406">
      <w:pPr>
        <w:spacing w:afterLines="120" w:after="288" w:line="247" w:lineRule="auto"/>
        <w:rPr>
          <w:rFonts w:ascii="Calibri" w:eastAsia="Calibri" w:hAnsi="Calibri" w:cs="Calibri"/>
          <w:kern w:val="0"/>
          <w:sz w:val="22"/>
          <w:szCs w:val="22"/>
          <w14:ligatures w14:val="none"/>
        </w:rPr>
      </w:pPr>
      <w:r w:rsidRPr="00FD6406">
        <w:rPr>
          <w:rFonts w:ascii="Calibri" w:eastAsia="Calibri" w:hAnsi="Calibri" w:cs="Calibri"/>
          <w:kern w:val="0"/>
          <w:sz w:val="22"/>
          <w:szCs w:val="22"/>
          <w14:ligatures w14:val="none"/>
        </w:rPr>
        <w:t>Point32Health, the parent company of Harvard Pilgrim Health Care and Tufts Health Plan, is a leading not-for-profit health and well-being organization dedicated to delivering high-quality, affordable health care. Serving nearly 2 million members, our purpose is to guide and empower healthier lives.</w:t>
      </w:r>
    </w:p>
    <w:p w14:paraId="5255365C" w14:textId="7803E2C2" w:rsidR="00FD6406" w:rsidRPr="00AB601F" w:rsidRDefault="00AB601F" w:rsidP="00663C7D">
      <w:pPr>
        <w:spacing w:afterLines="120" w:after="288" w:line="247" w:lineRule="auto"/>
        <w:rPr>
          <w:rFonts w:ascii="Calibri" w:eastAsia="Calibri" w:hAnsi="Calibri" w:cs="Calibri"/>
          <w:kern w:val="0"/>
          <w:sz w:val="22"/>
          <w:szCs w:val="22"/>
          <w14:ligatures w14:val="none"/>
        </w:rPr>
      </w:pPr>
      <w:r w:rsidRPr="00AB601F">
        <w:rPr>
          <w:rFonts w:ascii="Calibri" w:eastAsia="Calibri" w:hAnsi="Calibri" w:cs="Calibri"/>
          <w:kern w:val="0"/>
          <w:sz w:val="22"/>
          <w:szCs w:val="22"/>
          <w14:ligatures w14:val="none"/>
        </w:rPr>
        <w:t xml:space="preserve">As the Administration addresses emerging issues surrounding artificial intelligence, we would appreciate consideration of the </w:t>
      </w:r>
      <w:r>
        <w:rPr>
          <w:rFonts w:ascii="Calibri" w:eastAsia="Calibri" w:hAnsi="Calibri" w:cs="Calibri"/>
          <w:kern w:val="0"/>
          <w:sz w:val="22"/>
          <w:szCs w:val="22"/>
          <w14:ligatures w14:val="none"/>
        </w:rPr>
        <w:t xml:space="preserve">below factors.  We believe these factors are important </w:t>
      </w:r>
      <w:r w:rsidR="00626E83">
        <w:rPr>
          <w:rFonts w:ascii="Calibri" w:eastAsia="Calibri" w:hAnsi="Calibri" w:cs="Calibri"/>
          <w:kern w:val="0"/>
          <w:sz w:val="22"/>
          <w:szCs w:val="22"/>
          <w14:ligatures w14:val="none"/>
        </w:rPr>
        <w:t>to</w:t>
      </w:r>
      <w:r>
        <w:rPr>
          <w:rFonts w:ascii="Calibri" w:eastAsia="Calibri" w:hAnsi="Calibri" w:cs="Calibri"/>
          <w:kern w:val="0"/>
          <w:sz w:val="22"/>
          <w:szCs w:val="22"/>
          <w14:ligatures w14:val="none"/>
        </w:rPr>
        <w:t xml:space="preserve"> achieve the promise of AI and optimize its positive impact on the average American through increased efficiencies, lower costs, and improved quality of care.</w:t>
      </w:r>
    </w:p>
    <w:p w14:paraId="09001F69" w14:textId="445A2BF5" w:rsidR="00FD6406" w:rsidRPr="00FD6406" w:rsidRDefault="00FD6406" w:rsidP="00FD6406">
      <w:pPr>
        <w:numPr>
          <w:ilvl w:val="0"/>
          <w:numId w:val="1"/>
        </w:numPr>
        <w:spacing w:after="120" w:line="245" w:lineRule="auto"/>
        <w:rPr>
          <w:rFonts w:ascii="Aptos" w:eastAsia="Aptos" w:hAnsi="Aptos" w:cs="Times New Roman"/>
          <w:b/>
          <w:bCs/>
          <w:sz w:val="22"/>
          <w:szCs w:val="22"/>
        </w:rPr>
      </w:pPr>
      <w:r w:rsidRPr="00FD6406">
        <w:rPr>
          <w:rFonts w:ascii="Aptos" w:eastAsia="Aptos" w:hAnsi="Aptos" w:cs="Times New Roman"/>
          <w:b/>
          <w:bCs/>
          <w:sz w:val="22"/>
          <w:szCs w:val="22"/>
        </w:rPr>
        <w:t>Sustainability and Efficiencies</w:t>
      </w:r>
    </w:p>
    <w:p w14:paraId="64C1AAE7" w14:textId="6EFF1384" w:rsidR="00FD6406" w:rsidRPr="00FD6406" w:rsidRDefault="00FD6406" w:rsidP="00FD6406">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Savings Pass-Through:</w:t>
      </w:r>
      <w:r w:rsidRPr="00FD6406">
        <w:rPr>
          <w:rFonts w:ascii="Aptos" w:eastAsia="Aptos" w:hAnsi="Aptos" w:cs="Times New Roman"/>
          <w:sz w:val="22"/>
          <w:szCs w:val="22"/>
        </w:rPr>
        <w:t xml:space="preserve"> If AI increases provider productivity and reduces administrative waste, those savings </w:t>
      </w:r>
      <w:r w:rsidR="00AB601F">
        <w:rPr>
          <w:rFonts w:ascii="Aptos" w:eastAsia="Aptos" w:hAnsi="Aptos" w:cs="Times New Roman"/>
          <w:sz w:val="22"/>
          <w:szCs w:val="22"/>
        </w:rPr>
        <w:t>should</w:t>
      </w:r>
      <w:r w:rsidRPr="00FD6406">
        <w:rPr>
          <w:rFonts w:ascii="Aptos" w:eastAsia="Aptos" w:hAnsi="Aptos" w:cs="Times New Roman"/>
          <w:sz w:val="22"/>
          <w:szCs w:val="22"/>
        </w:rPr>
        <w:t xml:space="preserve"> be passed </w:t>
      </w:r>
      <w:r w:rsidR="00626E83" w:rsidRPr="00FD6406">
        <w:rPr>
          <w:rFonts w:ascii="Aptos" w:eastAsia="Aptos" w:hAnsi="Aptos" w:cs="Times New Roman"/>
          <w:sz w:val="22"/>
          <w:szCs w:val="22"/>
        </w:rPr>
        <w:t>on to</w:t>
      </w:r>
      <w:r w:rsidRPr="00FD6406">
        <w:rPr>
          <w:rFonts w:ascii="Aptos" w:eastAsia="Aptos" w:hAnsi="Aptos" w:cs="Times New Roman"/>
          <w:sz w:val="22"/>
          <w:szCs w:val="22"/>
        </w:rPr>
        <w:t xml:space="preserve"> members</w:t>
      </w:r>
      <w:r w:rsidR="00AB601F">
        <w:rPr>
          <w:rFonts w:ascii="Aptos" w:eastAsia="Aptos" w:hAnsi="Aptos" w:cs="Times New Roman"/>
          <w:sz w:val="22"/>
          <w:szCs w:val="22"/>
        </w:rPr>
        <w:t xml:space="preserve">, through their health </w:t>
      </w:r>
      <w:r w:rsidR="00626E83">
        <w:rPr>
          <w:rFonts w:ascii="Aptos" w:eastAsia="Aptos" w:hAnsi="Aptos" w:cs="Times New Roman"/>
          <w:sz w:val="22"/>
          <w:szCs w:val="22"/>
        </w:rPr>
        <w:t xml:space="preserve">plans, </w:t>
      </w:r>
      <w:r w:rsidR="00626E83" w:rsidRPr="00FD6406">
        <w:rPr>
          <w:rFonts w:ascii="Aptos" w:eastAsia="Aptos" w:hAnsi="Aptos" w:cs="Times New Roman"/>
          <w:sz w:val="22"/>
          <w:szCs w:val="22"/>
        </w:rPr>
        <w:t>using</w:t>
      </w:r>
      <w:r w:rsidRPr="00FD6406">
        <w:rPr>
          <w:rFonts w:ascii="Aptos" w:eastAsia="Aptos" w:hAnsi="Aptos" w:cs="Times New Roman"/>
          <w:sz w:val="22"/>
          <w:szCs w:val="22"/>
        </w:rPr>
        <w:t xml:space="preserve"> proper coding and reduced rates.  If AI is used to significantly reduce the necessity of human input, then it should be appropriately coded so that such savings flow through the health care system.  In addition, federal coding </w:t>
      </w:r>
      <w:r w:rsidR="00AB601F">
        <w:rPr>
          <w:rFonts w:ascii="Aptos" w:eastAsia="Aptos" w:hAnsi="Aptos" w:cs="Times New Roman"/>
          <w:sz w:val="22"/>
          <w:szCs w:val="22"/>
        </w:rPr>
        <w:t>should</w:t>
      </w:r>
      <w:r w:rsidRPr="00FD6406">
        <w:rPr>
          <w:rFonts w:ascii="Aptos" w:eastAsia="Aptos" w:hAnsi="Aptos" w:cs="Times New Roman"/>
          <w:sz w:val="22"/>
          <w:szCs w:val="22"/>
        </w:rPr>
        <w:t xml:space="preserve"> be </w:t>
      </w:r>
      <w:r w:rsidR="00AB601F">
        <w:rPr>
          <w:rFonts w:ascii="Aptos" w:eastAsia="Aptos" w:hAnsi="Aptos" w:cs="Times New Roman"/>
          <w:sz w:val="22"/>
          <w:szCs w:val="22"/>
        </w:rPr>
        <w:t>re-</w:t>
      </w:r>
      <w:r w:rsidRPr="00FD6406">
        <w:rPr>
          <w:rFonts w:ascii="Aptos" w:eastAsia="Aptos" w:hAnsi="Aptos" w:cs="Times New Roman"/>
          <w:sz w:val="22"/>
          <w:szCs w:val="22"/>
        </w:rPr>
        <w:t>evaluated</w:t>
      </w:r>
      <w:r w:rsidR="00AB601F">
        <w:rPr>
          <w:rFonts w:ascii="Aptos" w:eastAsia="Aptos" w:hAnsi="Aptos" w:cs="Times New Roman"/>
          <w:sz w:val="22"/>
          <w:szCs w:val="22"/>
        </w:rPr>
        <w:t xml:space="preserve"> as appropriate. </w:t>
      </w:r>
      <w:r w:rsidRPr="00FD6406">
        <w:rPr>
          <w:rFonts w:ascii="Aptos" w:eastAsia="Aptos" w:hAnsi="Aptos" w:cs="Times New Roman"/>
          <w:sz w:val="22"/>
          <w:szCs w:val="22"/>
        </w:rPr>
        <w:t xml:space="preserve"> </w:t>
      </w:r>
      <w:r w:rsidR="00AB601F">
        <w:rPr>
          <w:rFonts w:ascii="Aptos" w:eastAsia="Aptos" w:hAnsi="Aptos" w:cs="Times New Roman"/>
          <w:sz w:val="22"/>
          <w:szCs w:val="22"/>
        </w:rPr>
        <w:t>For</w:t>
      </w:r>
      <w:r w:rsidRPr="00FD6406">
        <w:rPr>
          <w:rFonts w:ascii="Aptos" w:eastAsia="Aptos" w:hAnsi="Aptos" w:cs="Times New Roman"/>
          <w:sz w:val="22"/>
          <w:szCs w:val="22"/>
        </w:rPr>
        <w:t xml:space="preserve"> </w:t>
      </w:r>
      <w:r w:rsidR="00626E83" w:rsidRPr="00FD6406">
        <w:rPr>
          <w:rFonts w:ascii="Aptos" w:eastAsia="Aptos" w:hAnsi="Aptos" w:cs="Times New Roman"/>
          <w:sz w:val="22"/>
          <w:szCs w:val="22"/>
        </w:rPr>
        <w:t>instance,</w:t>
      </w:r>
      <w:r w:rsidRPr="00FD6406">
        <w:rPr>
          <w:rFonts w:ascii="Aptos" w:eastAsia="Aptos" w:hAnsi="Aptos" w:cs="Times New Roman"/>
          <w:sz w:val="22"/>
          <w:szCs w:val="22"/>
        </w:rPr>
        <w:t xml:space="preserve"> the Resource Based Relative Value Scale (</w:t>
      </w:r>
      <w:r w:rsidR="00C64C00" w:rsidRPr="00FD6406">
        <w:rPr>
          <w:rFonts w:ascii="Aptos" w:eastAsia="Aptos" w:hAnsi="Aptos" w:cs="Times New Roman"/>
          <w:sz w:val="22"/>
          <w:szCs w:val="22"/>
        </w:rPr>
        <w:t>RBRVS) system</w:t>
      </w:r>
      <w:r w:rsidRPr="00FD6406">
        <w:rPr>
          <w:rFonts w:ascii="Aptos" w:eastAsia="Aptos" w:hAnsi="Aptos" w:cs="Times New Roman"/>
          <w:sz w:val="22"/>
          <w:szCs w:val="22"/>
        </w:rPr>
        <w:t xml:space="preserve"> currently assumes virtually all human execution.</w:t>
      </w:r>
    </w:p>
    <w:p w14:paraId="74C63CC0" w14:textId="77777777" w:rsidR="00FD6406" w:rsidRPr="00FD6406" w:rsidRDefault="00FD6406" w:rsidP="00FD6406">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Democratization of AI:</w:t>
      </w:r>
      <w:r w:rsidRPr="00FD6406">
        <w:rPr>
          <w:rFonts w:ascii="Aptos" w:eastAsia="Aptos" w:hAnsi="Aptos" w:cs="Times New Roman"/>
          <w:sz w:val="22"/>
          <w:szCs w:val="22"/>
        </w:rPr>
        <w:t xml:space="preserve"> Smaller hospitals, providers, health plans and other elements of the health care system could benefit greatly from AI.  However, cost prohibitive pricing from AI companies could squeeze out the very players that could benefit the most.  Public policy should advance mechanisms through which smaller players can afford to access AI as well.  </w:t>
      </w:r>
    </w:p>
    <w:p w14:paraId="7ADAABF8" w14:textId="73D0448F" w:rsidR="00FD6406" w:rsidRPr="00FD6406" w:rsidRDefault="00FD6406" w:rsidP="00663C7D">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lastRenderedPageBreak/>
        <w:t>AI to AI:</w:t>
      </w:r>
      <w:r w:rsidRPr="00FD6406">
        <w:rPr>
          <w:rFonts w:ascii="Aptos" w:eastAsia="Aptos" w:hAnsi="Aptos" w:cs="Times New Roman"/>
          <w:sz w:val="22"/>
          <w:szCs w:val="22"/>
        </w:rPr>
        <w:t xml:space="preserve"> As different players in the health care system and wider community begin utilizing AI, public policy should facilitate the efficient interaction between AI systems.  For instance, if a hospital is using AI to provide claims information, it may be more efficient to have that AI interface with another AI rather than call a human customer service representative.</w:t>
      </w:r>
    </w:p>
    <w:p w14:paraId="32043451" w14:textId="77777777" w:rsidR="00FD6406" w:rsidRPr="00FD6406" w:rsidRDefault="00FD6406" w:rsidP="00FD6406">
      <w:pPr>
        <w:numPr>
          <w:ilvl w:val="0"/>
          <w:numId w:val="1"/>
        </w:numPr>
        <w:spacing w:after="120" w:line="245" w:lineRule="auto"/>
        <w:rPr>
          <w:rFonts w:ascii="Aptos" w:eastAsia="Aptos" w:hAnsi="Aptos" w:cs="Times New Roman"/>
          <w:b/>
          <w:bCs/>
          <w:sz w:val="22"/>
          <w:szCs w:val="22"/>
        </w:rPr>
      </w:pPr>
      <w:bookmarkStart w:id="0" w:name="_Hlk218756280"/>
      <w:r w:rsidRPr="00FD6406">
        <w:rPr>
          <w:rFonts w:ascii="Aptos" w:eastAsia="Aptos" w:hAnsi="Aptos" w:cs="Times New Roman"/>
          <w:b/>
          <w:bCs/>
          <w:sz w:val="22"/>
          <w:szCs w:val="22"/>
        </w:rPr>
        <w:t>Safety Standards</w:t>
      </w:r>
    </w:p>
    <w:bookmarkEnd w:id="0"/>
    <w:p w14:paraId="6657DE91" w14:textId="77777777" w:rsidR="00FD6406" w:rsidRPr="00FD6406" w:rsidRDefault="00FD6406" w:rsidP="00FD6406">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Human in the Loop:</w:t>
      </w:r>
      <w:r w:rsidRPr="00FD6406">
        <w:rPr>
          <w:rFonts w:ascii="Aptos" w:eastAsia="Aptos" w:hAnsi="Aptos" w:cs="Times New Roman"/>
          <w:sz w:val="22"/>
          <w:szCs w:val="22"/>
        </w:rPr>
        <w:t xml:space="preserve"> A consistent requirement that humans must remain a part of the clinical decision-making process to ensure accountability.</w:t>
      </w:r>
    </w:p>
    <w:p w14:paraId="54024408" w14:textId="77777777" w:rsidR="00FD6406" w:rsidRPr="00FD6406" w:rsidRDefault="00FD6406" w:rsidP="00FD6406">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 xml:space="preserve">Required Training:  </w:t>
      </w:r>
      <w:r w:rsidRPr="00FD6406">
        <w:rPr>
          <w:rFonts w:ascii="Aptos" w:eastAsia="Aptos" w:hAnsi="Aptos" w:cs="Times New Roman"/>
          <w:sz w:val="22"/>
          <w:szCs w:val="22"/>
        </w:rPr>
        <w:t>The notion of “garbage in, garbage out” is critical in the AI space.  Crafting appropriate prompts and assuring that critical patient data is communicated is critical to using AI in any clinical use case.  Therefore, clinicians that will be utilizing AI as part of their practice should go through appropriate training.  Medical schools haven’t prepared clinicians for this new technology.  And while it is easy to develop any prompt for AI, it takes training and skill to develop effective prompts that will enable safe AI clinical support.</w:t>
      </w:r>
    </w:p>
    <w:p w14:paraId="75F8BB33" w14:textId="77777777" w:rsidR="00FD6406" w:rsidRPr="00FD6406" w:rsidRDefault="00FD6406" w:rsidP="00FD6406">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Health IT Safety Center</w:t>
      </w:r>
      <w:r w:rsidRPr="00FD6406">
        <w:rPr>
          <w:rFonts w:ascii="Aptos" w:eastAsia="Aptos" w:hAnsi="Aptos" w:cs="Times New Roman"/>
          <w:sz w:val="22"/>
          <w:szCs w:val="22"/>
        </w:rPr>
        <w:t xml:space="preserve">: Revisiting the idea of a national center focused specifically on the safety of AI-supported clinical decisions to prevent harm or death.  Public Policy makers should ensure that AI vendors transparently disclose critical information that guided the development of their health care AI products.  Experts should identify the critical elements, for instance – what populations were used to train the AI?  Vendors should be required to publish ongoing statistics identified as critical by AI and health care experts – such as, what percentage of AI diagnoses are over-ruled by human clinicians?  How often does AI fail to prompt clinicians for missing data critical to patent evaluation? Etc.  </w:t>
      </w:r>
    </w:p>
    <w:p w14:paraId="459749EE" w14:textId="2BFBD7E1" w:rsidR="00FD6406" w:rsidRPr="00FD6406" w:rsidRDefault="00FD6406" w:rsidP="00663C7D">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Broad Application of Rules:</w:t>
      </w:r>
      <w:r w:rsidRPr="00FD6406">
        <w:rPr>
          <w:rFonts w:ascii="Aptos" w:eastAsia="Aptos" w:hAnsi="Aptos" w:cs="Times New Roman"/>
          <w:sz w:val="22"/>
          <w:szCs w:val="22"/>
        </w:rPr>
        <w:t xml:space="preserve"> Any AI system that influences a medical decision </w:t>
      </w:r>
      <w:r w:rsidR="00AB601F">
        <w:rPr>
          <w:rFonts w:ascii="Aptos" w:eastAsia="Aptos" w:hAnsi="Aptos" w:cs="Times New Roman"/>
          <w:sz w:val="22"/>
          <w:szCs w:val="22"/>
        </w:rPr>
        <w:t>should</w:t>
      </w:r>
      <w:r w:rsidRPr="00FD6406">
        <w:rPr>
          <w:rFonts w:ascii="Aptos" w:eastAsia="Aptos" w:hAnsi="Aptos" w:cs="Times New Roman"/>
          <w:sz w:val="22"/>
          <w:szCs w:val="22"/>
        </w:rPr>
        <w:t xml:space="preserve"> be subject to the same high standards of transparency and safety, regardless of what that entity is called (e.g. non-medical devices, software </w:t>
      </w:r>
      <w:proofErr w:type="gramStart"/>
      <w:r w:rsidRPr="00FD6406">
        <w:rPr>
          <w:rFonts w:ascii="Aptos" w:eastAsia="Aptos" w:hAnsi="Aptos" w:cs="Times New Roman"/>
          <w:sz w:val="22"/>
          <w:szCs w:val="22"/>
        </w:rPr>
        <w:t>as</w:t>
      </w:r>
      <w:proofErr w:type="gramEnd"/>
      <w:r w:rsidRPr="00FD6406">
        <w:rPr>
          <w:rFonts w:ascii="Aptos" w:eastAsia="Aptos" w:hAnsi="Aptos" w:cs="Times New Roman"/>
          <w:sz w:val="22"/>
          <w:szCs w:val="22"/>
        </w:rPr>
        <w:t xml:space="preserve"> medical devices, digital therapeutic, etc.)</w:t>
      </w:r>
    </w:p>
    <w:p w14:paraId="57FC0853" w14:textId="77777777" w:rsidR="00FD6406" w:rsidRPr="00FD6406" w:rsidRDefault="00FD6406" w:rsidP="00FD6406">
      <w:pPr>
        <w:numPr>
          <w:ilvl w:val="0"/>
          <w:numId w:val="1"/>
        </w:numPr>
        <w:spacing w:after="120" w:line="245" w:lineRule="auto"/>
        <w:rPr>
          <w:rFonts w:ascii="Aptos" w:eastAsia="Aptos" w:hAnsi="Aptos" w:cs="Times New Roman"/>
          <w:b/>
          <w:bCs/>
          <w:sz w:val="22"/>
          <w:szCs w:val="22"/>
        </w:rPr>
      </w:pPr>
      <w:r w:rsidRPr="00FD6406">
        <w:rPr>
          <w:rFonts w:ascii="Aptos" w:eastAsia="Aptos" w:hAnsi="Aptos" w:cs="Times New Roman"/>
          <w:b/>
          <w:bCs/>
          <w:sz w:val="22"/>
          <w:szCs w:val="22"/>
        </w:rPr>
        <w:t>Transparency and Traceability</w:t>
      </w:r>
    </w:p>
    <w:p w14:paraId="557552C0" w14:textId="77777777" w:rsidR="00FD6406" w:rsidRPr="00FD6406" w:rsidRDefault="00FD6406" w:rsidP="00FD6406">
      <w:pPr>
        <w:numPr>
          <w:ilvl w:val="0"/>
          <w:numId w:val="2"/>
        </w:numPr>
        <w:spacing w:after="120" w:line="245" w:lineRule="auto"/>
        <w:contextualSpacing/>
        <w:rPr>
          <w:rFonts w:ascii="Aptos" w:eastAsia="Aptos" w:hAnsi="Aptos" w:cs="Times New Roman"/>
          <w:sz w:val="22"/>
          <w:szCs w:val="22"/>
        </w:rPr>
      </w:pPr>
      <w:r w:rsidRPr="00FD6406">
        <w:rPr>
          <w:rFonts w:ascii="Aptos" w:eastAsia="Aptos" w:hAnsi="Aptos" w:cs="Times New Roman"/>
          <w:i/>
          <w:iCs/>
          <w:sz w:val="22"/>
          <w:szCs w:val="22"/>
        </w:rPr>
        <w:t>Mandatory Tagging:</w:t>
      </w:r>
      <w:r w:rsidRPr="00FD6406">
        <w:rPr>
          <w:rFonts w:ascii="Aptos" w:eastAsia="Aptos" w:hAnsi="Aptos" w:cs="Times New Roman"/>
          <w:sz w:val="22"/>
          <w:szCs w:val="22"/>
        </w:rPr>
        <w:t xml:space="preserve"> Any official documentation (claims, appeals, diagnoses) generated or assisted by AI must be explicitly labeled as such to distinguish it from human-generated work.</w:t>
      </w:r>
    </w:p>
    <w:p w14:paraId="10F47F79" w14:textId="3B28020A" w:rsidR="00FD6406" w:rsidRPr="00FD6406" w:rsidRDefault="00FD6406" w:rsidP="00FD6406">
      <w:pPr>
        <w:numPr>
          <w:ilvl w:val="0"/>
          <w:numId w:val="2"/>
        </w:numPr>
        <w:spacing w:after="120" w:line="245" w:lineRule="auto"/>
        <w:contextualSpacing/>
        <w:rPr>
          <w:rFonts w:ascii="Aptos" w:eastAsia="Aptos" w:hAnsi="Aptos" w:cs="Times New Roman"/>
          <w:sz w:val="22"/>
          <w:szCs w:val="22"/>
        </w:rPr>
      </w:pPr>
      <w:r w:rsidRPr="00FD6406">
        <w:rPr>
          <w:rFonts w:ascii="Aptos" w:eastAsia="Aptos" w:hAnsi="Aptos" w:cs="Times New Roman"/>
          <w:i/>
          <w:iCs/>
          <w:sz w:val="22"/>
          <w:szCs w:val="22"/>
        </w:rPr>
        <w:t>Chain of Custody for Logic:</w:t>
      </w:r>
      <w:r w:rsidRPr="00FD6406">
        <w:rPr>
          <w:rFonts w:ascii="Aptos" w:eastAsia="Aptos" w:hAnsi="Aptos" w:cs="Times New Roman"/>
          <w:sz w:val="22"/>
          <w:szCs w:val="22"/>
        </w:rPr>
        <w:t xml:space="preserve"> There should be a requirement to maintain a record of the AI’s cognitive processes and the specific prompts used by clinicians to justify medical decisions.</w:t>
      </w:r>
    </w:p>
    <w:p w14:paraId="0ECAF1C4" w14:textId="77777777" w:rsidR="00FD6406" w:rsidRPr="00FD6406" w:rsidRDefault="00FD6406" w:rsidP="00FD6406">
      <w:pPr>
        <w:numPr>
          <w:ilvl w:val="0"/>
          <w:numId w:val="2"/>
        </w:numPr>
        <w:spacing w:after="120" w:line="245" w:lineRule="auto"/>
        <w:contextualSpacing/>
        <w:rPr>
          <w:rFonts w:ascii="Aptos" w:eastAsia="Aptos" w:hAnsi="Aptos" w:cs="Times New Roman"/>
          <w:sz w:val="22"/>
          <w:szCs w:val="22"/>
        </w:rPr>
      </w:pPr>
      <w:r w:rsidRPr="00FD6406">
        <w:rPr>
          <w:rFonts w:ascii="Aptos" w:eastAsia="Aptos" w:hAnsi="Aptos" w:cs="Times New Roman"/>
          <w:i/>
          <w:iCs/>
          <w:sz w:val="22"/>
          <w:szCs w:val="22"/>
        </w:rPr>
        <w:t>Audit Requirements:</w:t>
      </w:r>
      <w:r w:rsidRPr="00FD6406">
        <w:rPr>
          <w:rFonts w:ascii="Aptos" w:eastAsia="Aptos" w:hAnsi="Aptos" w:cs="Times New Roman"/>
          <w:sz w:val="22"/>
          <w:szCs w:val="22"/>
        </w:rPr>
        <w:t xml:space="preserve"> Healthcare entities using AI for clinical care should be subject to regular federal audits to address dangerous AI use or cost creep through upcoding.  This should include:</w:t>
      </w:r>
    </w:p>
    <w:p w14:paraId="1AA9B782" w14:textId="77777777" w:rsidR="00FD6406" w:rsidRPr="00FD6406" w:rsidRDefault="00FD6406" w:rsidP="00FD6406">
      <w:pPr>
        <w:numPr>
          <w:ilvl w:val="2"/>
          <w:numId w:val="3"/>
        </w:numPr>
        <w:spacing w:after="120" w:line="245" w:lineRule="auto"/>
        <w:rPr>
          <w:rFonts w:ascii="Aptos" w:eastAsia="Aptos" w:hAnsi="Aptos" w:cs="Times New Roman"/>
          <w:sz w:val="22"/>
          <w:szCs w:val="22"/>
        </w:rPr>
      </w:pPr>
      <w:r w:rsidRPr="00FD6406">
        <w:rPr>
          <w:rFonts w:ascii="Aptos" w:eastAsia="Aptos" w:hAnsi="Aptos" w:cs="Times New Roman"/>
          <w:sz w:val="22"/>
          <w:szCs w:val="22"/>
        </w:rPr>
        <w:t>Prompt Transparency: Ability to access specific prompts used by clinicians to ensure they were accurate and unbiased.</w:t>
      </w:r>
    </w:p>
    <w:p w14:paraId="7BF1BEC1" w14:textId="77777777" w:rsidR="00FD6406" w:rsidRPr="00FD6406" w:rsidRDefault="00FD6406" w:rsidP="00FD6406">
      <w:pPr>
        <w:numPr>
          <w:ilvl w:val="2"/>
          <w:numId w:val="3"/>
        </w:numPr>
        <w:spacing w:after="120" w:line="245" w:lineRule="auto"/>
        <w:rPr>
          <w:rFonts w:ascii="Aptos" w:eastAsia="Aptos" w:hAnsi="Aptos" w:cs="Times New Roman"/>
          <w:sz w:val="22"/>
          <w:szCs w:val="22"/>
        </w:rPr>
      </w:pPr>
      <w:r w:rsidRPr="00FD6406">
        <w:rPr>
          <w:rFonts w:ascii="Aptos" w:eastAsia="Aptos" w:hAnsi="Aptos" w:cs="Times New Roman"/>
          <w:sz w:val="22"/>
          <w:szCs w:val="22"/>
        </w:rPr>
        <w:lastRenderedPageBreak/>
        <w:t>Overrule Rates: Tracking how often a human clinician disagreed with or overruled the AI's recommendation as a metric for effectiveness.</w:t>
      </w:r>
    </w:p>
    <w:p w14:paraId="042FEBBA" w14:textId="77777777" w:rsidR="00FD6406" w:rsidRPr="00FD6406" w:rsidRDefault="00FD6406" w:rsidP="00FD6406">
      <w:pPr>
        <w:numPr>
          <w:ilvl w:val="2"/>
          <w:numId w:val="3"/>
        </w:numPr>
        <w:spacing w:after="120" w:line="245" w:lineRule="auto"/>
        <w:rPr>
          <w:rFonts w:ascii="Aptos" w:eastAsia="Aptos" w:hAnsi="Aptos" w:cs="Times New Roman"/>
          <w:sz w:val="22"/>
          <w:szCs w:val="22"/>
        </w:rPr>
      </w:pPr>
      <w:r w:rsidRPr="00FD6406">
        <w:rPr>
          <w:rFonts w:ascii="Aptos" w:eastAsia="Aptos" w:hAnsi="Aptos" w:cs="Times New Roman"/>
          <w:sz w:val="22"/>
          <w:szCs w:val="22"/>
        </w:rPr>
        <w:t>Safety Reporting: Establishing a mechanism to report instances where AI-driven decision support resulted in incorrect treatment or patient harm.</w:t>
      </w:r>
    </w:p>
    <w:p w14:paraId="3D72EA8E" w14:textId="77777777" w:rsidR="00FD6406" w:rsidRPr="00FD6406" w:rsidRDefault="00FD6406" w:rsidP="00FD6406">
      <w:pPr>
        <w:spacing w:after="120" w:line="245" w:lineRule="auto"/>
        <w:ind w:left="1800"/>
        <w:contextualSpacing/>
        <w:rPr>
          <w:rFonts w:ascii="Aptos" w:eastAsia="Aptos" w:hAnsi="Aptos" w:cs="Times New Roman"/>
          <w:sz w:val="22"/>
          <w:szCs w:val="22"/>
        </w:rPr>
      </w:pPr>
    </w:p>
    <w:p w14:paraId="7C9D14F6" w14:textId="77777777" w:rsidR="00FD6406" w:rsidRPr="00FD6406" w:rsidRDefault="00FD6406" w:rsidP="00FD6406">
      <w:pPr>
        <w:numPr>
          <w:ilvl w:val="0"/>
          <w:numId w:val="1"/>
        </w:numPr>
        <w:spacing w:after="120" w:line="245" w:lineRule="auto"/>
        <w:rPr>
          <w:rFonts w:ascii="Aptos" w:eastAsia="Aptos" w:hAnsi="Aptos" w:cs="Times New Roman"/>
          <w:b/>
          <w:bCs/>
          <w:sz w:val="22"/>
          <w:szCs w:val="22"/>
        </w:rPr>
      </w:pPr>
      <w:bookmarkStart w:id="1" w:name="_Hlk222404025"/>
      <w:r w:rsidRPr="00FD6406">
        <w:rPr>
          <w:rFonts w:ascii="Aptos" w:eastAsia="Aptos" w:hAnsi="Aptos" w:cs="Times New Roman"/>
          <w:b/>
          <w:bCs/>
          <w:sz w:val="22"/>
          <w:szCs w:val="22"/>
        </w:rPr>
        <w:t>Regulatory Reform and Interoperability</w:t>
      </w:r>
    </w:p>
    <w:bookmarkEnd w:id="1"/>
    <w:p w14:paraId="313A173B" w14:textId="4B159036" w:rsidR="00FD6406" w:rsidRPr="00FD6406" w:rsidRDefault="00FD6406" w:rsidP="00FD6406">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Data Emancipation</w:t>
      </w:r>
      <w:r w:rsidRPr="00FD6406">
        <w:rPr>
          <w:rFonts w:ascii="Aptos" w:eastAsia="Aptos" w:hAnsi="Aptos" w:cs="Times New Roman"/>
          <w:sz w:val="22"/>
          <w:szCs w:val="22"/>
        </w:rPr>
        <w:t>: P</w:t>
      </w:r>
      <w:r w:rsidR="00AB601F">
        <w:rPr>
          <w:rFonts w:ascii="Aptos" w:eastAsia="Aptos" w:hAnsi="Aptos" w:cs="Times New Roman"/>
          <w:sz w:val="22"/>
          <w:szCs w:val="22"/>
        </w:rPr>
        <w:t>ublic p</w:t>
      </w:r>
      <w:r w:rsidRPr="00FD6406">
        <w:rPr>
          <w:rFonts w:ascii="Aptos" w:eastAsia="Aptos" w:hAnsi="Aptos" w:cs="Times New Roman"/>
          <w:sz w:val="22"/>
          <w:szCs w:val="22"/>
        </w:rPr>
        <w:t>olicy should prevent delivery systems (like hospital networks) from gatekeeping patient data. Providers and EMR vendors should be required to provide data for treatment payment and health care operations.</w:t>
      </w:r>
    </w:p>
    <w:p w14:paraId="1C9A01A3" w14:textId="77777777" w:rsidR="00FD6406" w:rsidRPr="00FD6406" w:rsidRDefault="00FD6406" w:rsidP="00FD6406">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Updating Medicaid/Medicare Rules:</w:t>
      </w:r>
      <w:r w:rsidRPr="00FD6406">
        <w:rPr>
          <w:rFonts w:ascii="Aptos" w:eastAsia="Aptos" w:hAnsi="Aptos" w:cs="Times New Roman"/>
          <w:sz w:val="22"/>
          <w:szCs w:val="22"/>
        </w:rPr>
        <w:t xml:space="preserve"> Existing regulations, such as network adequacy and staffing ratios (e.g., case manager-to-patient ratios), need to be updated to account for the efficiency gains provided by AI.</w:t>
      </w:r>
    </w:p>
    <w:p w14:paraId="5C3B8FB7" w14:textId="7B11A7B7" w:rsidR="00080D94" w:rsidRPr="00663C7D" w:rsidRDefault="00FD6406" w:rsidP="00663C7D">
      <w:pPr>
        <w:numPr>
          <w:ilvl w:val="1"/>
          <w:numId w:val="1"/>
        </w:numPr>
        <w:spacing w:after="120" w:line="245" w:lineRule="auto"/>
        <w:rPr>
          <w:rFonts w:ascii="Aptos" w:eastAsia="Aptos" w:hAnsi="Aptos" w:cs="Times New Roman"/>
          <w:sz w:val="22"/>
          <w:szCs w:val="22"/>
        </w:rPr>
      </w:pPr>
      <w:r w:rsidRPr="00FD6406">
        <w:rPr>
          <w:rFonts w:ascii="Aptos" w:eastAsia="Aptos" w:hAnsi="Aptos" w:cs="Times New Roman"/>
          <w:i/>
          <w:iCs/>
          <w:sz w:val="22"/>
          <w:szCs w:val="22"/>
        </w:rPr>
        <w:t>Interoperability</w:t>
      </w:r>
      <w:r w:rsidRPr="00FD6406">
        <w:rPr>
          <w:rFonts w:ascii="Aptos" w:eastAsia="Aptos" w:hAnsi="Aptos" w:cs="Times New Roman"/>
          <w:sz w:val="22"/>
          <w:szCs w:val="22"/>
        </w:rPr>
        <w:t xml:space="preserve">: Policymakers should ensure that as part of interoperability, delivery systems cannot charge high fees for data sharing.  In addition, the interoperability rules should be evaluated to ensure that they will facilitate the use of AI with aggregated data to propel cost savings and efficiencies in the future.  It would </w:t>
      </w:r>
      <w:r w:rsidR="00AB601F">
        <w:rPr>
          <w:rFonts w:ascii="Aptos" w:eastAsia="Aptos" w:hAnsi="Aptos" w:cs="Times New Roman"/>
          <w:sz w:val="22"/>
          <w:szCs w:val="22"/>
        </w:rPr>
        <w:t xml:space="preserve">be </w:t>
      </w:r>
      <w:r w:rsidRPr="00FD6406">
        <w:rPr>
          <w:rFonts w:ascii="Aptos" w:eastAsia="Aptos" w:hAnsi="Aptos" w:cs="Times New Roman"/>
          <w:sz w:val="22"/>
          <w:szCs w:val="22"/>
        </w:rPr>
        <w:t>a waste of opportunity – as well as significant funds – if AI applicability is not contemplated until AFTER interoperability is completely implemented.</w:t>
      </w:r>
    </w:p>
    <w:p w14:paraId="7D178CE2" w14:textId="21F8C3D2" w:rsidR="00C64C00" w:rsidRDefault="00080D94" w:rsidP="00C64C00">
      <w:pPr>
        <w:numPr>
          <w:ilvl w:val="0"/>
          <w:numId w:val="1"/>
        </w:numPr>
        <w:spacing w:after="120" w:line="245" w:lineRule="auto"/>
        <w:rPr>
          <w:rFonts w:ascii="Aptos" w:eastAsia="Aptos" w:hAnsi="Aptos" w:cs="Times New Roman"/>
          <w:b/>
          <w:bCs/>
          <w:sz w:val="22"/>
          <w:szCs w:val="22"/>
        </w:rPr>
      </w:pPr>
      <w:r w:rsidRPr="00080D94">
        <w:rPr>
          <w:rFonts w:ascii="Aptos" w:eastAsia="Aptos" w:hAnsi="Aptos" w:cs="Times New Roman"/>
          <w:b/>
          <w:bCs/>
          <w:sz w:val="22"/>
          <w:szCs w:val="22"/>
        </w:rPr>
        <w:t>AI Tools can Reduce Administrative Friction in the Healthcare System and Lower Medical Cost Trends for All Americans</w:t>
      </w:r>
    </w:p>
    <w:p w14:paraId="49B342F0" w14:textId="74F87633" w:rsidR="00080D94" w:rsidRPr="00D24742" w:rsidRDefault="00080D94" w:rsidP="00D24742">
      <w:pPr>
        <w:numPr>
          <w:ilvl w:val="1"/>
          <w:numId w:val="1"/>
        </w:numPr>
        <w:spacing w:after="120" w:line="245" w:lineRule="auto"/>
        <w:rPr>
          <w:rFonts w:ascii="Aptos" w:eastAsia="Aptos" w:hAnsi="Aptos" w:cs="Times New Roman"/>
          <w:b/>
          <w:bCs/>
          <w:sz w:val="22"/>
          <w:szCs w:val="22"/>
        </w:rPr>
      </w:pPr>
      <w:r w:rsidRPr="00080D94">
        <w:rPr>
          <w:sz w:val="22"/>
          <w:szCs w:val="22"/>
        </w:rPr>
        <w:t xml:space="preserve">In 2020, the federal government established that if providers fail to adopt certified electronic health record (EHR) technology (CEHRT), Medicare </w:t>
      </w:r>
      <w:r w:rsidR="00D24742">
        <w:rPr>
          <w:sz w:val="22"/>
          <w:szCs w:val="22"/>
        </w:rPr>
        <w:t>could</w:t>
      </w:r>
      <w:r w:rsidRPr="00080D94">
        <w:rPr>
          <w:sz w:val="22"/>
          <w:szCs w:val="22"/>
        </w:rPr>
        <w:t xml:space="preserve"> reduce their payment levels. Even though over 88% of Medicare providers have invested in electronic health records, provider administrative burden remains significant and problematic. The positive potential of EHR adoption has been undermined because remote access to EHRs usually isn’t granted to payors at all, or only at an additional cost. In some cases, this is because the EHR vendors require providers to purchase additional licenses if payors are allowed to remotely access the EHR. As a result, providers must continue to use faxes and other outdated modes to communicate to health plan</w:t>
      </w:r>
      <w:r w:rsidRPr="00D24742">
        <w:rPr>
          <w:sz w:val="22"/>
          <w:szCs w:val="22"/>
        </w:rPr>
        <w:t xml:space="preserve">s. </w:t>
      </w:r>
      <w:r w:rsidR="00D24742">
        <w:rPr>
          <w:sz w:val="22"/>
          <w:szCs w:val="22"/>
        </w:rPr>
        <w:t>Access obstacles</w:t>
      </w:r>
      <w:r w:rsidR="00294432" w:rsidRPr="00D24742">
        <w:rPr>
          <w:sz w:val="22"/>
          <w:szCs w:val="22"/>
        </w:rPr>
        <w:t xml:space="preserve"> to EMR data currently </w:t>
      </w:r>
      <w:r w:rsidR="00D24742">
        <w:rPr>
          <w:sz w:val="22"/>
          <w:szCs w:val="22"/>
        </w:rPr>
        <w:t>pose a</w:t>
      </w:r>
      <w:r w:rsidR="00294432" w:rsidRPr="00D24742">
        <w:rPr>
          <w:sz w:val="22"/>
          <w:szCs w:val="22"/>
        </w:rPr>
        <w:t xml:space="preserve"> </w:t>
      </w:r>
      <w:r w:rsidR="00D24742" w:rsidRPr="00D24742">
        <w:rPr>
          <w:sz w:val="22"/>
          <w:szCs w:val="22"/>
        </w:rPr>
        <w:t>significant</w:t>
      </w:r>
      <w:r w:rsidR="00294432" w:rsidRPr="00D24742">
        <w:rPr>
          <w:sz w:val="22"/>
          <w:szCs w:val="22"/>
        </w:rPr>
        <w:t xml:space="preserve"> barrier</w:t>
      </w:r>
      <w:r w:rsidR="00D24742">
        <w:rPr>
          <w:sz w:val="22"/>
          <w:szCs w:val="22"/>
        </w:rPr>
        <w:t xml:space="preserve"> to </w:t>
      </w:r>
      <w:r w:rsidR="00294432" w:rsidRPr="00D24742">
        <w:rPr>
          <w:sz w:val="22"/>
          <w:szCs w:val="22"/>
        </w:rPr>
        <w:t xml:space="preserve">private sector innovation in AI for health care and its adoption and use in clinical care. </w:t>
      </w:r>
      <w:r w:rsidRPr="00D24742">
        <w:rPr>
          <w:sz w:val="22"/>
          <w:szCs w:val="22"/>
        </w:rPr>
        <w:t>The integration of AI tools and Large Language Models to optimize the scaled aggregation of health care data should be applied across the healthcare delivery system</w:t>
      </w:r>
      <w:r w:rsidR="00294432" w:rsidRPr="00D24742">
        <w:rPr>
          <w:sz w:val="22"/>
          <w:szCs w:val="22"/>
        </w:rPr>
        <w:t xml:space="preserve"> </w:t>
      </w:r>
      <w:r w:rsidR="00626E83" w:rsidRPr="00D24742">
        <w:rPr>
          <w:sz w:val="22"/>
          <w:szCs w:val="22"/>
        </w:rPr>
        <w:t>to</w:t>
      </w:r>
      <w:r w:rsidR="00294432" w:rsidRPr="00D24742">
        <w:rPr>
          <w:sz w:val="22"/>
          <w:szCs w:val="22"/>
        </w:rPr>
        <w:t xml:space="preserve"> achieve </w:t>
      </w:r>
      <w:r w:rsidR="00AB601F" w:rsidRPr="00D24742">
        <w:rPr>
          <w:sz w:val="22"/>
          <w:szCs w:val="22"/>
        </w:rPr>
        <w:t>real interoperability</w:t>
      </w:r>
      <w:r w:rsidRPr="00D24742">
        <w:rPr>
          <w:sz w:val="22"/>
          <w:szCs w:val="22"/>
        </w:rPr>
        <w:t xml:space="preserve">. The same standards for AI Data </w:t>
      </w:r>
      <w:proofErr w:type="gramStart"/>
      <w:r w:rsidRPr="00D24742">
        <w:rPr>
          <w:sz w:val="22"/>
          <w:szCs w:val="22"/>
        </w:rPr>
        <w:t>accessibility</w:t>
      </w:r>
      <w:proofErr w:type="gramEnd"/>
      <w:r w:rsidRPr="00D24742">
        <w:rPr>
          <w:sz w:val="22"/>
          <w:szCs w:val="22"/>
        </w:rPr>
        <w:t xml:space="preserve"> should apply to hospital networks, providers, EMR vendors and payors.</w:t>
      </w:r>
      <w:r>
        <w:t xml:space="preserve"> </w:t>
      </w:r>
      <w:r w:rsidRPr="00D24742">
        <w:rPr>
          <w:rFonts w:ascii="Aptos" w:eastAsia="Aptos" w:hAnsi="Aptos" w:cs="Times New Roman"/>
          <w:sz w:val="22"/>
          <w:szCs w:val="22"/>
        </w:rPr>
        <w:t xml:space="preserve">This could be accomplished </w:t>
      </w:r>
      <w:r w:rsidR="00D24742" w:rsidRPr="00D24742">
        <w:rPr>
          <w:rFonts w:ascii="Aptos" w:eastAsia="Aptos" w:hAnsi="Aptos" w:cs="Times New Roman"/>
          <w:sz w:val="22"/>
          <w:szCs w:val="22"/>
        </w:rPr>
        <w:t xml:space="preserve">more rapidly </w:t>
      </w:r>
      <w:r w:rsidRPr="00D24742">
        <w:rPr>
          <w:rFonts w:ascii="Aptos" w:eastAsia="Aptos" w:hAnsi="Aptos" w:cs="Times New Roman"/>
          <w:sz w:val="22"/>
          <w:szCs w:val="22"/>
        </w:rPr>
        <w:t>if CMS were to update the CEHRT standards</w:t>
      </w:r>
      <w:r w:rsidR="00294432" w:rsidRPr="00D24742">
        <w:rPr>
          <w:rFonts w:ascii="Aptos" w:eastAsia="Aptos" w:hAnsi="Aptos" w:cs="Times New Roman"/>
          <w:sz w:val="22"/>
          <w:szCs w:val="22"/>
        </w:rPr>
        <w:t xml:space="preserve"> in coordination with adopting a uniform AI policy in health care</w:t>
      </w:r>
      <w:r w:rsidR="00D24742" w:rsidRPr="00D24742">
        <w:rPr>
          <w:rFonts w:ascii="Aptos" w:eastAsia="Aptos" w:hAnsi="Aptos" w:cs="Times New Roman"/>
          <w:sz w:val="22"/>
          <w:szCs w:val="22"/>
        </w:rPr>
        <w:t xml:space="preserve"> as follows:</w:t>
      </w:r>
    </w:p>
    <w:p w14:paraId="065FDC21" w14:textId="66CB3A6A" w:rsidR="00080D94" w:rsidRDefault="00626E83" w:rsidP="00080D94">
      <w:pPr>
        <w:pStyle w:val="ListParagraph"/>
        <w:numPr>
          <w:ilvl w:val="0"/>
          <w:numId w:val="4"/>
        </w:numPr>
        <w:spacing w:after="120" w:line="245" w:lineRule="auto"/>
        <w:rPr>
          <w:rFonts w:ascii="Aptos" w:eastAsia="Aptos" w:hAnsi="Aptos" w:cs="Times New Roman"/>
          <w:sz w:val="22"/>
          <w:szCs w:val="22"/>
        </w:rPr>
      </w:pPr>
      <w:r>
        <w:rPr>
          <w:rFonts w:ascii="Aptos" w:eastAsia="Aptos" w:hAnsi="Aptos" w:cs="Times New Roman"/>
          <w:sz w:val="22"/>
          <w:szCs w:val="22"/>
        </w:rPr>
        <w:t>T</w:t>
      </w:r>
      <w:r w:rsidR="00080D94" w:rsidRPr="00080D94">
        <w:rPr>
          <w:rFonts w:ascii="Aptos" w:eastAsia="Aptos" w:hAnsi="Aptos" w:cs="Times New Roman"/>
          <w:sz w:val="22"/>
          <w:szCs w:val="22"/>
        </w:rPr>
        <w:t xml:space="preserve">he EHR vendors </w:t>
      </w:r>
      <w:r w:rsidR="00D24742">
        <w:rPr>
          <w:rFonts w:ascii="Aptos" w:eastAsia="Aptos" w:hAnsi="Aptos" w:cs="Times New Roman"/>
          <w:sz w:val="22"/>
          <w:szCs w:val="22"/>
        </w:rPr>
        <w:t>would be required to</w:t>
      </w:r>
      <w:r w:rsidR="00080D94" w:rsidRPr="00080D94">
        <w:rPr>
          <w:rFonts w:ascii="Aptos" w:eastAsia="Aptos" w:hAnsi="Aptos" w:cs="Times New Roman"/>
          <w:sz w:val="22"/>
          <w:szCs w:val="22"/>
        </w:rPr>
        <w:t xml:space="preserve"> allow payor organizations to remotely access a provider’s EHR for treatment, payment and healthcare operations </w:t>
      </w:r>
      <w:r w:rsidR="00080D94" w:rsidRPr="00080D94">
        <w:rPr>
          <w:rFonts w:ascii="Aptos" w:eastAsia="Aptos" w:hAnsi="Aptos" w:cs="Times New Roman"/>
          <w:sz w:val="22"/>
          <w:szCs w:val="22"/>
        </w:rPr>
        <w:lastRenderedPageBreak/>
        <w:t>as defined by HIPAA, without the imposition of additional fees onto the provider client or the payor entity.</w:t>
      </w:r>
    </w:p>
    <w:p w14:paraId="6F75DE53" w14:textId="3F870722" w:rsidR="00080D94" w:rsidRPr="00080D94" w:rsidRDefault="00626E83" w:rsidP="00080D94">
      <w:pPr>
        <w:pStyle w:val="ListParagraph"/>
        <w:numPr>
          <w:ilvl w:val="0"/>
          <w:numId w:val="4"/>
        </w:numPr>
        <w:spacing w:after="120" w:line="245" w:lineRule="auto"/>
        <w:rPr>
          <w:rFonts w:ascii="Aptos" w:eastAsia="Aptos" w:hAnsi="Aptos" w:cs="Times New Roman"/>
          <w:sz w:val="22"/>
          <w:szCs w:val="22"/>
        </w:rPr>
      </w:pPr>
      <w:r w:rsidRPr="00080D94">
        <w:rPr>
          <w:rFonts w:ascii="Aptos" w:eastAsia="Aptos" w:hAnsi="Aptos" w:cs="Times New Roman"/>
          <w:sz w:val="22"/>
          <w:szCs w:val="22"/>
        </w:rPr>
        <w:t>The</w:t>
      </w:r>
      <w:r w:rsidR="00080D94" w:rsidRPr="00080D94">
        <w:rPr>
          <w:rFonts w:ascii="Aptos" w:eastAsia="Aptos" w:hAnsi="Aptos" w:cs="Times New Roman"/>
          <w:sz w:val="22"/>
          <w:szCs w:val="22"/>
        </w:rPr>
        <w:t xml:space="preserve"> provider licensing the EHR </w:t>
      </w:r>
      <w:r w:rsidR="00D24742">
        <w:rPr>
          <w:rFonts w:ascii="Aptos" w:eastAsia="Aptos" w:hAnsi="Aptos" w:cs="Times New Roman"/>
          <w:sz w:val="22"/>
          <w:szCs w:val="22"/>
        </w:rPr>
        <w:t>would be required to</w:t>
      </w:r>
      <w:r w:rsidR="00080D94" w:rsidRPr="00080D94">
        <w:rPr>
          <w:rFonts w:ascii="Aptos" w:eastAsia="Aptos" w:hAnsi="Aptos" w:cs="Times New Roman"/>
          <w:sz w:val="22"/>
          <w:szCs w:val="22"/>
        </w:rPr>
        <w:t xml:space="preserve"> allow payor organizations to access a provider’s EHR for treatment, payment and healthcare operations as defined by HIPAA, without the imposition of additional fees onto the payor entity.</w:t>
      </w:r>
    </w:p>
    <w:p w14:paraId="6103215C" w14:textId="77777777" w:rsidR="00FD6406" w:rsidRPr="00FD6406" w:rsidRDefault="00FD6406" w:rsidP="00FD6406">
      <w:pPr>
        <w:ind w:left="1128"/>
        <w:contextualSpacing/>
        <w:rPr>
          <w:rFonts w:ascii="Aptos" w:eastAsia="Aptos" w:hAnsi="Aptos" w:cs="Times New Roman"/>
          <w:sz w:val="22"/>
          <w:szCs w:val="22"/>
        </w:rPr>
      </w:pPr>
    </w:p>
    <w:p w14:paraId="6CC7F473" w14:textId="3901392B" w:rsidR="009659FA" w:rsidRDefault="009659FA" w:rsidP="00626E83">
      <w:pPr>
        <w:ind w:left="1128"/>
        <w:contextualSpacing/>
        <w:rPr>
          <w:rFonts w:ascii="Aptos" w:eastAsia="Aptos" w:hAnsi="Aptos" w:cs="Times New Roman"/>
          <w:sz w:val="22"/>
          <w:szCs w:val="22"/>
        </w:rPr>
      </w:pPr>
      <w:r>
        <w:rPr>
          <w:rFonts w:ascii="Aptos" w:eastAsia="Aptos" w:hAnsi="Aptos" w:cs="Times New Roman"/>
          <w:sz w:val="22"/>
          <w:szCs w:val="22"/>
        </w:rPr>
        <w:t xml:space="preserve">We appreciate that HHS has solicited comments on this emerging technology that is rapidly expanding in use.  We look forward to </w:t>
      </w:r>
      <w:r w:rsidR="00626E83">
        <w:rPr>
          <w:rFonts w:ascii="Aptos" w:eastAsia="Aptos" w:hAnsi="Aptos" w:cs="Times New Roman"/>
          <w:sz w:val="22"/>
          <w:szCs w:val="22"/>
        </w:rPr>
        <w:t>collaborating</w:t>
      </w:r>
      <w:r>
        <w:rPr>
          <w:rFonts w:ascii="Aptos" w:eastAsia="Aptos" w:hAnsi="Aptos" w:cs="Times New Roman"/>
          <w:sz w:val="22"/>
          <w:szCs w:val="22"/>
        </w:rPr>
        <w:t xml:space="preserve"> with the federal government to advance meaningful use of AI in a manner that optimizes outcomes for all Americans while minimizing risks.</w:t>
      </w:r>
    </w:p>
    <w:p w14:paraId="0098248B" w14:textId="77777777" w:rsidR="00626E83" w:rsidRDefault="00626E83" w:rsidP="00626E83">
      <w:pPr>
        <w:ind w:left="1128"/>
        <w:contextualSpacing/>
        <w:rPr>
          <w:rFonts w:ascii="Aptos" w:eastAsia="Aptos" w:hAnsi="Aptos" w:cs="Times New Roman"/>
          <w:sz w:val="22"/>
          <w:szCs w:val="22"/>
        </w:rPr>
      </w:pPr>
    </w:p>
    <w:p w14:paraId="67BEA8C8" w14:textId="77777777" w:rsidR="00626E83" w:rsidRDefault="00626E83" w:rsidP="00626E83">
      <w:pPr>
        <w:spacing w:after="0"/>
        <w:ind w:left="1128"/>
        <w:contextualSpacing/>
        <w:rPr>
          <w:rFonts w:ascii="Aptos" w:eastAsia="Aptos" w:hAnsi="Aptos" w:cs="Times New Roman"/>
          <w:sz w:val="22"/>
          <w:szCs w:val="22"/>
        </w:rPr>
      </w:pPr>
      <w:r>
        <w:rPr>
          <w:rFonts w:ascii="Aptos" w:eastAsia="Aptos" w:hAnsi="Aptos" w:cs="Times New Roman"/>
          <w:sz w:val="22"/>
          <w:szCs w:val="22"/>
        </w:rPr>
        <w:t xml:space="preserve">Please contact me at </w:t>
      </w:r>
      <w:hyperlink r:id="rId7" w:history="1">
        <w:r>
          <w:rPr>
            <w:rStyle w:val="Hyperlink"/>
            <w:rFonts w:ascii="Aptos" w:eastAsia="Aptos" w:hAnsi="Aptos" w:cs="Times New Roman"/>
            <w:sz w:val="22"/>
            <w:szCs w:val="22"/>
          </w:rPr>
          <w:t>Christina.Nyquist@Point32Health.org</w:t>
        </w:r>
      </w:hyperlink>
      <w:r>
        <w:rPr>
          <w:rFonts w:ascii="Aptos" w:eastAsia="Aptos" w:hAnsi="Aptos" w:cs="Times New Roman"/>
          <w:sz w:val="22"/>
          <w:szCs w:val="22"/>
        </w:rPr>
        <w:t xml:space="preserve"> if we can provide additional assistance. </w:t>
      </w:r>
    </w:p>
    <w:p w14:paraId="185DFB05" w14:textId="77777777" w:rsidR="00626E83" w:rsidRDefault="00626E83" w:rsidP="00626E83">
      <w:pPr>
        <w:spacing w:after="0"/>
        <w:ind w:left="1128"/>
        <w:contextualSpacing/>
        <w:rPr>
          <w:rFonts w:ascii="Aptos" w:eastAsia="Aptos" w:hAnsi="Aptos" w:cs="Times New Roman"/>
          <w:sz w:val="22"/>
          <w:szCs w:val="22"/>
        </w:rPr>
      </w:pPr>
    </w:p>
    <w:p w14:paraId="68739F25" w14:textId="77777777" w:rsidR="00626E83" w:rsidRDefault="00626E83" w:rsidP="00626E83">
      <w:pPr>
        <w:spacing w:after="0"/>
        <w:ind w:left="1128"/>
        <w:contextualSpacing/>
        <w:rPr>
          <w:rFonts w:ascii="Aptos" w:eastAsia="Aptos" w:hAnsi="Aptos" w:cs="Times New Roman"/>
          <w:sz w:val="22"/>
          <w:szCs w:val="22"/>
        </w:rPr>
      </w:pPr>
      <w:r>
        <w:rPr>
          <w:rFonts w:ascii="Aptos" w:eastAsia="Aptos" w:hAnsi="Aptos" w:cs="Times New Roman"/>
          <w:sz w:val="22"/>
          <w:szCs w:val="22"/>
        </w:rPr>
        <w:t xml:space="preserve">Sincerely, </w:t>
      </w:r>
    </w:p>
    <w:p w14:paraId="36AD2E5A" w14:textId="701E8C24" w:rsidR="00626E83" w:rsidRDefault="00626E83" w:rsidP="00626E83">
      <w:pPr>
        <w:spacing w:after="0"/>
        <w:ind w:left="1128"/>
        <w:contextualSpacing/>
        <w:rPr>
          <w:rFonts w:ascii="Aptos" w:eastAsia="Aptos" w:hAnsi="Aptos" w:cs="Times New Roman"/>
          <w:sz w:val="22"/>
          <w:szCs w:val="22"/>
        </w:rPr>
      </w:pPr>
      <w:r>
        <w:rPr>
          <w:rFonts w:ascii="Aptos" w:eastAsia="Aptos" w:hAnsi="Aptos" w:cs="Times New Roman"/>
          <w:noProof/>
          <w:sz w:val="22"/>
          <w:szCs w:val="22"/>
        </w:rPr>
        <w:drawing>
          <wp:inline distT="0" distB="0" distL="0" distR="0" wp14:anchorId="13FD89B2" wp14:editId="481F22B7">
            <wp:extent cx="1219200" cy="428625"/>
            <wp:effectExtent l="0" t="0" r="0" b="9525"/>
            <wp:docPr id="856359764"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A close up of a sig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428625"/>
                    </a:xfrm>
                    <a:prstGeom prst="rect">
                      <a:avLst/>
                    </a:prstGeom>
                    <a:noFill/>
                    <a:ln>
                      <a:noFill/>
                    </a:ln>
                  </pic:spPr>
                </pic:pic>
              </a:graphicData>
            </a:graphic>
          </wp:inline>
        </w:drawing>
      </w:r>
    </w:p>
    <w:p w14:paraId="2CD7F95B" w14:textId="77777777" w:rsidR="00626E83" w:rsidRDefault="00626E83" w:rsidP="00626E83">
      <w:pPr>
        <w:spacing w:after="0"/>
        <w:ind w:left="1128"/>
        <w:contextualSpacing/>
        <w:rPr>
          <w:rFonts w:ascii="Aptos" w:eastAsia="Aptos" w:hAnsi="Aptos" w:cs="Times New Roman"/>
          <w:sz w:val="22"/>
          <w:szCs w:val="22"/>
        </w:rPr>
      </w:pPr>
      <w:r>
        <w:rPr>
          <w:rFonts w:ascii="Aptos" w:eastAsia="Aptos" w:hAnsi="Aptos" w:cs="Times New Roman"/>
          <w:sz w:val="22"/>
          <w:szCs w:val="22"/>
        </w:rPr>
        <w:t xml:space="preserve">Christina Nyquist </w:t>
      </w:r>
    </w:p>
    <w:p w14:paraId="7485D68C" w14:textId="77777777" w:rsidR="00626E83" w:rsidRDefault="00626E83" w:rsidP="00626E83">
      <w:pPr>
        <w:spacing w:after="0"/>
        <w:ind w:left="1128"/>
        <w:contextualSpacing/>
        <w:rPr>
          <w:rFonts w:ascii="Aptos" w:eastAsia="Aptos" w:hAnsi="Aptos" w:cs="Times New Roman"/>
          <w:sz w:val="22"/>
          <w:szCs w:val="22"/>
        </w:rPr>
      </w:pPr>
      <w:r>
        <w:rPr>
          <w:rFonts w:ascii="Aptos" w:eastAsia="Aptos" w:hAnsi="Aptos" w:cs="Times New Roman"/>
          <w:sz w:val="22"/>
          <w:szCs w:val="22"/>
        </w:rPr>
        <w:t>Vice President, Federal Affairs</w:t>
      </w:r>
    </w:p>
    <w:p w14:paraId="7E11BED1" w14:textId="77777777" w:rsidR="00FD6406" w:rsidRDefault="00FD6406"/>
    <w:sectPr w:rsidR="00FD640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169B" w14:textId="77777777" w:rsidR="00FD6406" w:rsidRDefault="00FD6406" w:rsidP="00FD6406">
      <w:pPr>
        <w:spacing w:after="0" w:line="240" w:lineRule="auto"/>
      </w:pPr>
      <w:r>
        <w:separator/>
      </w:r>
    </w:p>
  </w:endnote>
  <w:endnote w:type="continuationSeparator" w:id="0">
    <w:p w14:paraId="52F8F2BF" w14:textId="77777777" w:rsidR="00FD6406" w:rsidRDefault="00FD6406" w:rsidP="00FD6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3094" w14:textId="04A9C410" w:rsidR="00626E83" w:rsidRDefault="00626E83">
    <w:pPr>
      <w:pStyle w:val="Footer"/>
    </w:pPr>
    <w:r w:rsidRPr="00F1319D">
      <w:rPr>
        <w:rFonts w:ascii="Arial" w:eastAsia="Calibri" w:hAnsi="Arial" w:cs="Arial"/>
        <w:noProof/>
        <w:kern w:val="0"/>
        <w:sz w:val="20"/>
        <w:szCs w:val="20"/>
        <w14:ligatures w14:val="none"/>
      </w:rPr>
      <w:drawing>
        <wp:anchor distT="0" distB="0" distL="114300" distR="114300" simplePos="0" relativeHeight="251661312" behindDoc="1" locked="0" layoutInCell="1" allowOverlap="1" wp14:anchorId="7FD35095" wp14:editId="01B30D6F">
          <wp:simplePos x="0" y="0"/>
          <wp:positionH relativeFrom="margin">
            <wp:posOffset>1181100</wp:posOffset>
          </wp:positionH>
          <wp:positionV relativeFrom="page">
            <wp:posOffset>9357995</wp:posOffset>
          </wp:positionV>
          <wp:extent cx="3785616" cy="384048"/>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785616" cy="38404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6D1F9" w14:textId="77777777" w:rsidR="00FD6406" w:rsidRDefault="00FD6406" w:rsidP="00FD6406">
      <w:pPr>
        <w:spacing w:after="0" w:line="240" w:lineRule="auto"/>
      </w:pPr>
      <w:r>
        <w:separator/>
      </w:r>
    </w:p>
  </w:footnote>
  <w:footnote w:type="continuationSeparator" w:id="0">
    <w:p w14:paraId="084FFB7C" w14:textId="77777777" w:rsidR="00FD6406" w:rsidRDefault="00FD6406" w:rsidP="00FD6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E0F0" w14:textId="77777777" w:rsidR="00FD6406" w:rsidRPr="00FD6406" w:rsidRDefault="00FD6406" w:rsidP="00FD6406">
    <w:pPr>
      <w:tabs>
        <w:tab w:val="left" w:pos="1200"/>
      </w:tabs>
      <w:suppressAutoHyphens/>
      <w:autoSpaceDE w:val="0"/>
      <w:autoSpaceDN w:val="0"/>
      <w:adjustRightInd w:val="0"/>
      <w:spacing w:after="0" w:line="220" w:lineRule="atLeast"/>
      <w:textAlignment w:val="center"/>
      <w:rPr>
        <w:rFonts w:ascii="Calibri" w:eastAsia="Calibri" w:hAnsi="Calibri" w:cs="Calibri"/>
        <w:b/>
        <w:color w:val="000000"/>
        <w:kern w:val="0"/>
        <w:sz w:val="18"/>
        <w:szCs w:val="18"/>
        <w14:ligatures w14:val="none"/>
      </w:rPr>
    </w:pPr>
    <w:r w:rsidRPr="00FD6406">
      <w:rPr>
        <w:rFonts w:ascii="Calibri" w:eastAsia="Calibri" w:hAnsi="Calibri" w:cs="Calibri"/>
        <w:b/>
        <w:noProof/>
        <w:color w:val="000000"/>
        <w:kern w:val="0"/>
        <w:sz w:val="18"/>
        <w:szCs w:val="18"/>
        <w14:ligatures w14:val="none"/>
      </w:rPr>
      <w:drawing>
        <wp:anchor distT="0" distB="0" distL="114300" distR="114300" simplePos="0" relativeHeight="251659264" behindDoc="1" locked="0" layoutInCell="1" allowOverlap="1" wp14:anchorId="16E19CBC" wp14:editId="68468A1F">
          <wp:simplePos x="0" y="0"/>
          <wp:positionH relativeFrom="page">
            <wp:posOffset>5029200</wp:posOffset>
          </wp:positionH>
          <wp:positionV relativeFrom="page">
            <wp:posOffset>581660</wp:posOffset>
          </wp:positionV>
          <wp:extent cx="1828800" cy="237744"/>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28800" cy="237744"/>
                  </a:xfrm>
                  <a:prstGeom prst="rect">
                    <a:avLst/>
                  </a:prstGeom>
                </pic:spPr>
              </pic:pic>
            </a:graphicData>
          </a:graphic>
          <wp14:sizeRelH relativeFrom="margin">
            <wp14:pctWidth>0</wp14:pctWidth>
          </wp14:sizeRelH>
          <wp14:sizeRelV relativeFrom="margin">
            <wp14:pctHeight>0</wp14:pctHeight>
          </wp14:sizeRelV>
        </wp:anchor>
      </w:drawing>
    </w:r>
    <w:r w:rsidRPr="00FD6406">
      <w:rPr>
        <w:rFonts w:ascii="Calibri" w:eastAsia="Calibri" w:hAnsi="Calibri" w:cs="Calibri"/>
        <w:b/>
        <w:color w:val="000000"/>
        <w:kern w:val="0"/>
        <w:sz w:val="18"/>
        <w:szCs w:val="18"/>
        <w14:ligatures w14:val="none"/>
      </w:rPr>
      <w:t>Point32Health</w:t>
    </w:r>
  </w:p>
  <w:p w14:paraId="5882396B" w14:textId="77777777" w:rsidR="00FD6406" w:rsidRPr="00FD6406" w:rsidRDefault="00FD6406" w:rsidP="00FD6406">
    <w:pPr>
      <w:tabs>
        <w:tab w:val="left" w:pos="1200"/>
      </w:tabs>
      <w:suppressAutoHyphens/>
      <w:autoSpaceDE w:val="0"/>
      <w:autoSpaceDN w:val="0"/>
      <w:adjustRightInd w:val="0"/>
      <w:spacing w:after="0" w:line="220" w:lineRule="atLeast"/>
      <w:textAlignment w:val="center"/>
      <w:rPr>
        <w:rFonts w:ascii="Calibri" w:eastAsia="Calibri" w:hAnsi="Calibri" w:cs="Calibri"/>
        <w:noProof/>
        <w:color w:val="000000"/>
        <w:kern w:val="0"/>
        <w:sz w:val="18"/>
        <w:szCs w:val="18"/>
        <w14:ligatures w14:val="none"/>
      </w:rPr>
    </w:pPr>
    <w:r w:rsidRPr="00FD6406">
      <w:rPr>
        <w:rFonts w:ascii="Calibri" w:eastAsia="Calibri" w:hAnsi="Calibri" w:cs="Calibri"/>
        <w:noProof/>
        <w:color w:val="000000"/>
        <w:kern w:val="0"/>
        <w:sz w:val="18"/>
        <w:szCs w:val="18"/>
        <w14:ligatures w14:val="none"/>
      </w:rPr>
      <w:t xml:space="preserve">1 Wellness Way </w:t>
    </w:r>
    <w:r w:rsidRPr="00FD6406">
      <w:rPr>
        <w:rFonts w:ascii="Calibri" w:eastAsia="Calibri" w:hAnsi="Calibri" w:cs="Calibri"/>
        <w:noProof/>
        <w:color w:val="000000"/>
        <w:kern w:val="0"/>
        <w:sz w:val="18"/>
        <w:szCs w:val="18"/>
        <w14:ligatures w14:val="none"/>
      </w:rPr>
      <w:br/>
      <w:t>Canton, MA 02021</w:t>
    </w:r>
    <w:r w:rsidRPr="00FD6406">
      <w:rPr>
        <w:rFonts w:ascii="Calibri" w:eastAsia="Calibri" w:hAnsi="Calibri" w:cs="Calibri"/>
        <w:noProof/>
        <w:color w:val="000000"/>
        <w:kern w:val="0"/>
        <w:sz w:val="18"/>
        <w:szCs w:val="18"/>
        <w14:ligatures w14:val="none"/>
      </w:rPr>
      <w:br/>
      <w:t>point32health.org</w:t>
    </w:r>
  </w:p>
  <w:p w14:paraId="6F01016D" w14:textId="77777777" w:rsidR="00FD6406" w:rsidRPr="00FD6406" w:rsidRDefault="00FD6406" w:rsidP="00FD64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876E8"/>
    <w:multiLevelType w:val="hybridMultilevel"/>
    <w:tmpl w:val="CB9E182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6BD1FF2"/>
    <w:multiLevelType w:val="hybridMultilevel"/>
    <w:tmpl w:val="ACB89106"/>
    <w:lvl w:ilvl="0" w:tplc="856E2B84">
      <w:start w:val="1"/>
      <w:numFmt w:val="lowerRoman"/>
      <w:lvlText w:val="%1."/>
      <w:lvlJc w:val="right"/>
      <w:pPr>
        <w:ind w:left="1080" w:hanging="360"/>
      </w:pPr>
      <w:rPr>
        <w:b/>
        <w:bCs/>
      </w:rPr>
    </w:lvl>
    <w:lvl w:ilvl="1" w:tplc="04090001">
      <w:start w:val="1"/>
      <w:numFmt w:val="bullet"/>
      <w:lvlText w:val=""/>
      <w:lvlJc w:val="left"/>
      <w:pPr>
        <w:ind w:left="1488" w:hanging="360"/>
      </w:pPr>
      <w:rPr>
        <w:rFonts w:ascii="Symbol" w:hAnsi="Symbol" w:hint="default"/>
      </w:rPr>
    </w:lvl>
    <w:lvl w:ilvl="2" w:tplc="0409001B">
      <w:start w:val="1"/>
      <w:numFmt w:val="lowerRoman"/>
      <w:lvlText w:val="%3."/>
      <w:lvlJc w:val="right"/>
      <w:pPr>
        <w:ind w:left="2520" w:hanging="180"/>
      </w:pPr>
    </w:lvl>
    <w:lvl w:ilvl="3" w:tplc="F962D0B6">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BC2913"/>
    <w:multiLevelType w:val="hybridMultilevel"/>
    <w:tmpl w:val="F8B49850"/>
    <w:lvl w:ilvl="0" w:tplc="04090017">
      <w:start w:val="1"/>
      <w:numFmt w:val="lowerLetter"/>
      <w:lvlText w:val="%1)"/>
      <w:lvlJc w:val="left"/>
      <w:pPr>
        <w:ind w:left="2208" w:hanging="360"/>
      </w:pPr>
    </w:lvl>
    <w:lvl w:ilvl="1" w:tplc="04090019">
      <w:start w:val="1"/>
      <w:numFmt w:val="lowerLetter"/>
      <w:lvlText w:val="%2."/>
      <w:lvlJc w:val="left"/>
      <w:pPr>
        <w:ind w:left="2928" w:hanging="360"/>
      </w:pPr>
    </w:lvl>
    <w:lvl w:ilvl="2" w:tplc="0409001B">
      <w:start w:val="1"/>
      <w:numFmt w:val="lowerRoman"/>
      <w:lvlText w:val="%3."/>
      <w:lvlJc w:val="right"/>
      <w:pPr>
        <w:ind w:left="3648" w:hanging="180"/>
      </w:pPr>
    </w:lvl>
    <w:lvl w:ilvl="3" w:tplc="0409000F">
      <w:start w:val="1"/>
      <w:numFmt w:val="decimal"/>
      <w:lvlText w:val="%4."/>
      <w:lvlJc w:val="left"/>
      <w:pPr>
        <w:ind w:left="4368" w:hanging="360"/>
      </w:pPr>
    </w:lvl>
    <w:lvl w:ilvl="4" w:tplc="04090019" w:tentative="1">
      <w:start w:val="1"/>
      <w:numFmt w:val="lowerLetter"/>
      <w:lvlText w:val="%5."/>
      <w:lvlJc w:val="left"/>
      <w:pPr>
        <w:ind w:left="5088" w:hanging="360"/>
      </w:pPr>
    </w:lvl>
    <w:lvl w:ilvl="5" w:tplc="0409001B" w:tentative="1">
      <w:start w:val="1"/>
      <w:numFmt w:val="lowerRoman"/>
      <w:lvlText w:val="%6."/>
      <w:lvlJc w:val="right"/>
      <w:pPr>
        <w:ind w:left="5808" w:hanging="180"/>
      </w:pPr>
    </w:lvl>
    <w:lvl w:ilvl="6" w:tplc="0409000F" w:tentative="1">
      <w:start w:val="1"/>
      <w:numFmt w:val="decimal"/>
      <w:lvlText w:val="%7."/>
      <w:lvlJc w:val="left"/>
      <w:pPr>
        <w:ind w:left="6528" w:hanging="360"/>
      </w:pPr>
    </w:lvl>
    <w:lvl w:ilvl="7" w:tplc="04090019" w:tentative="1">
      <w:start w:val="1"/>
      <w:numFmt w:val="lowerLetter"/>
      <w:lvlText w:val="%8."/>
      <w:lvlJc w:val="left"/>
      <w:pPr>
        <w:ind w:left="7248" w:hanging="360"/>
      </w:pPr>
    </w:lvl>
    <w:lvl w:ilvl="8" w:tplc="0409001B" w:tentative="1">
      <w:start w:val="1"/>
      <w:numFmt w:val="lowerRoman"/>
      <w:lvlText w:val="%9."/>
      <w:lvlJc w:val="right"/>
      <w:pPr>
        <w:ind w:left="7968" w:hanging="180"/>
      </w:pPr>
    </w:lvl>
  </w:abstractNum>
  <w:abstractNum w:abstractNumId="3" w15:restartNumberingAfterBreak="0">
    <w:nsid w:val="6DCC6D28"/>
    <w:multiLevelType w:val="hybridMultilevel"/>
    <w:tmpl w:val="C45E047A"/>
    <w:lvl w:ilvl="0" w:tplc="FFFFFFFF">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04090003">
      <w:start w:val="1"/>
      <w:numFmt w:val="bullet"/>
      <w:lvlText w:val="o"/>
      <w:lvlJc w:val="left"/>
      <w:pPr>
        <w:ind w:left="3240" w:hanging="360"/>
      </w:pPr>
      <w:rPr>
        <w:rFonts w:ascii="Courier New" w:hAnsi="Courier New" w:cs="Courier New"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760105257">
    <w:abstractNumId w:val="1"/>
  </w:num>
  <w:num w:numId="2" w16cid:durableId="2002192221">
    <w:abstractNumId w:val="0"/>
  </w:num>
  <w:num w:numId="3" w16cid:durableId="1581060562">
    <w:abstractNumId w:val="3"/>
  </w:num>
  <w:num w:numId="4" w16cid:durableId="25568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06"/>
    <w:rsid w:val="00080D94"/>
    <w:rsid w:val="00294432"/>
    <w:rsid w:val="005D6F1D"/>
    <w:rsid w:val="00626E83"/>
    <w:rsid w:val="00663C7D"/>
    <w:rsid w:val="008D6B29"/>
    <w:rsid w:val="009659FA"/>
    <w:rsid w:val="00A6767D"/>
    <w:rsid w:val="00AB601F"/>
    <w:rsid w:val="00C64C00"/>
    <w:rsid w:val="00D24742"/>
    <w:rsid w:val="00D7196F"/>
    <w:rsid w:val="00F26EBE"/>
    <w:rsid w:val="00FD6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2A88D8A"/>
  <w15:chartTrackingRefBased/>
  <w15:docId w15:val="{F57FC16A-C446-4A2D-A0B5-6669B1C5E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406"/>
    <w:rPr>
      <w:rFonts w:eastAsiaTheme="majorEastAsia" w:cstheme="majorBidi"/>
      <w:color w:val="272727" w:themeColor="text1" w:themeTint="D8"/>
    </w:rPr>
  </w:style>
  <w:style w:type="paragraph" w:styleId="Title">
    <w:name w:val="Title"/>
    <w:basedOn w:val="Normal"/>
    <w:next w:val="Normal"/>
    <w:link w:val="TitleChar"/>
    <w:uiPriority w:val="10"/>
    <w:qFormat/>
    <w:rsid w:val="00FD6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406"/>
    <w:pPr>
      <w:spacing w:before="160"/>
      <w:jc w:val="center"/>
    </w:pPr>
    <w:rPr>
      <w:i/>
      <w:iCs/>
      <w:color w:val="404040" w:themeColor="text1" w:themeTint="BF"/>
    </w:rPr>
  </w:style>
  <w:style w:type="character" w:customStyle="1" w:styleId="QuoteChar">
    <w:name w:val="Quote Char"/>
    <w:basedOn w:val="DefaultParagraphFont"/>
    <w:link w:val="Quote"/>
    <w:uiPriority w:val="29"/>
    <w:rsid w:val="00FD6406"/>
    <w:rPr>
      <w:i/>
      <w:iCs/>
      <w:color w:val="404040" w:themeColor="text1" w:themeTint="BF"/>
    </w:rPr>
  </w:style>
  <w:style w:type="paragraph" w:styleId="ListParagraph">
    <w:name w:val="List Paragraph"/>
    <w:basedOn w:val="Normal"/>
    <w:uiPriority w:val="34"/>
    <w:qFormat/>
    <w:rsid w:val="00FD6406"/>
    <w:pPr>
      <w:ind w:left="720"/>
      <w:contextualSpacing/>
    </w:pPr>
  </w:style>
  <w:style w:type="character" w:styleId="IntenseEmphasis">
    <w:name w:val="Intense Emphasis"/>
    <w:basedOn w:val="DefaultParagraphFont"/>
    <w:uiPriority w:val="21"/>
    <w:qFormat/>
    <w:rsid w:val="00FD6406"/>
    <w:rPr>
      <w:i/>
      <w:iCs/>
      <w:color w:val="0F4761" w:themeColor="accent1" w:themeShade="BF"/>
    </w:rPr>
  </w:style>
  <w:style w:type="paragraph" w:styleId="IntenseQuote">
    <w:name w:val="Intense Quote"/>
    <w:basedOn w:val="Normal"/>
    <w:next w:val="Normal"/>
    <w:link w:val="IntenseQuoteChar"/>
    <w:uiPriority w:val="30"/>
    <w:qFormat/>
    <w:rsid w:val="00FD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406"/>
    <w:rPr>
      <w:i/>
      <w:iCs/>
      <w:color w:val="0F4761" w:themeColor="accent1" w:themeShade="BF"/>
    </w:rPr>
  </w:style>
  <w:style w:type="character" w:styleId="IntenseReference">
    <w:name w:val="Intense Reference"/>
    <w:basedOn w:val="DefaultParagraphFont"/>
    <w:uiPriority w:val="32"/>
    <w:qFormat/>
    <w:rsid w:val="00FD6406"/>
    <w:rPr>
      <w:b/>
      <w:bCs/>
      <w:smallCaps/>
      <w:color w:val="0F4761" w:themeColor="accent1" w:themeShade="BF"/>
      <w:spacing w:val="5"/>
    </w:rPr>
  </w:style>
  <w:style w:type="paragraph" w:styleId="Header">
    <w:name w:val="header"/>
    <w:basedOn w:val="Normal"/>
    <w:link w:val="HeaderChar"/>
    <w:uiPriority w:val="99"/>
    <w:unhideWhenUsed/>
    <w:rsid w:val="00FD6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406"/>
  </w:style>
  <w:style w:type="paragraph" w:styleId="Footer">
    <w:name w:val="footer"/>
    <w:basedOn w:val="Normal"/>
    <w:link w:val="FooterChar"/>
    <w:uiPriority w:val="99"/>
    <w:unhideWhenUsed/>
    <w:rsid w:val="00FD6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406"/>
  </w:style>
  <w:style w:type="character" w:styleId="Hyperlink">
    <w:name w:val="Hyperlink"/>
    <w:basedOn w:val="DefaultParagraphFont"/>
    <w:uiPriority w:val="99"/>
    <w:semiHidden/>
    <w:unhideWhenUsed/>
    <w:rsid w:val="00626E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Christina.Nyquist@Point32Health.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1350</Words>
  <Characters>7657</Characters>
  <Application>Microsoft Office Word</Application>
  <DocSecurity>4</DocSecurity>
  <Lines>141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Alec</dc:creator>
  <cp:keywords/>
  <dc:description/>
  <cp:lastModifiedBy>Webb, Alec</cp:lastModifiedBy>
  <cp:revision>2</cp:revision>
  <dcterms:created xsi:type="dcterms:W3CDTF">2026-02-23T15:39:00Z</dcterms:created>
  <dcterms:modified xsi:type="dcterms:W3CDTF">2026-02-23T15:39:00Z</dcterms:modified>
</cp:coreProperties>
</file>