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91790" w14:textId="77777777" w:rsidR="00CE61FD" w:rsidRPr="00327E38" w:rsidRDefault="008A600C">
      <w:pPr>
        <w:ind w:left="100"/>
        <w:rPr>
          <w:rFonts w:ascii="Times New Roman" w:hAnsi="Times New Roman" w:cs="Times New Roman"/>
        </w:rPr>
      </w:pPr>
      <w:r>
        <w:rPr>
          <w:rFonts w:ascii="Times New Roman" w:hAnsi="Times New Roman" w:cs="Times New Roman"/>
        </w:rPr>
      </w:r>
      <w:r>
        <w:rPr>
          <w:rFonts w:ascii="Times New Roman" w:hAnsi="Times New Roman" w:cs="Times New Roman"/>
        </w:rPr>
        <w:pict w14:anchorId="67384D8F">
          <v:group id="docshapegroup1" o:spid="_x0000_s1029" style="width:34.95pt;height:36.7pt;mso-position-horizontal-relative:char;mso-position-vertical-relative:line" coordsize="699,734">
            <v:rect id="docshape2" o:spid="_x0000_s1033" style="position:absolute;width:699;height:734" fillcolor="#472987"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 o:spid="_x0000_s1032" type="#_x0000_t75" style="position:absolute;left:228;top:111;width:247;height:196">
              <v:imagedata r:id="rId5" o:title=""/>
            </v:shape>
            <v:shape id="docshape4" o:spid="_x0000_s1031" style="position:absolute;left:100;top:200;width:496;height:270" coordorigin="101,201" coordsize="496,270" o:spt="100" adj="0,,0" path="m596,314r-2,-4l591,310,361,454r,-5l358,444,116,316r-8,2l101,332r2,8l349,471r7,l363,466,596,317r,-3xm596,260r-2,-4l591,255,361,399r,-4l358,390,116,262r-8,2l101,277r2,9l349,416r7,l363,412,596,262r,-2xm596,205r-2,-4l591,201,361,345r,-5l358,336,116,207r-8,3l101,223r2,8l349,362r7,l363,357,596,208r,-3xe" stroked="f">
              <v:stroke joinstyle="round"/>
              <v:formulas/>
              <v:path arrowok="t" o:connecttype="segments"/>
            </v:shape>
            <v:shape id="docshape5" o:spid="_x0000_s1030" type="#_x0000_t75" style="position:absolute;left:228;top:438;width:247;height:196">
              <v:imagedata r:id="rId6" o:title=""/>
            </v:shape>
            <w10:anchorlock/>
          </v:group>
        </w:pict>
      </w:r>
      <w:r w:rsidR="00C87732" w:rsidRPr="00327E38">
        <w:rPr>
          <w:rFonts w:ascii="Times New Roman" w:hAnsi="Times New Roman" w:cs="Times New Roman"/>
          <w:spacing w:val="28"/>
        </w:rPr>
        <w:t xml:space="preserve"> </w:t>
      </w:r>
      <w:r>
        <w:rPr>
          <w:rFonts w:ascii="Times New Roman" w:hAnsi="Times New Roman" w:cs="Times New Roman"/>
          <w:spacing w:val="28"/>
          <w:position w:val="17"/>
        </w:rPr>
      </w:r>
      <w:r>
        <w:rPr>
          <w:rFonts w:ascii="Times New Roman" w:hAnsi="Times New Roman" w:cs="Times New Roman"/>
          <w:spacing w:val="28"/>
          <w:position w:val="17"/>
        </w:rPr>
        <w:pict w14:anchorId="1D054DBF">
          <v:group id="docshapegroup6" o:spid="_x0000_s1026" style="width:93.65pt;height:19.65pt;mso-position-horizontal-relative:char;mso-position-vertical-relative:line" coordsize="1873,393">
            <v:shape id="docshape7" o:spid="_x0000_s1028" type="#_x0000_t75" style="position:absolute;left:1100;width:773;height:393">
              <v:imagedata r:id="rId7" o:title=""/>
            </v:shape>
            <v:shape id="docshape8" o:spid="_x0000_s1027" style="position:absolute;left:-1;width:1062;height:393" coordsize="1062,393" o:spt="100" adj="0,,0" path="m254,135l241,85,210,54,168,38,127,33,71,34,21,33,1,33r,19l23,52r10,2l43,67r2,11l45,351r-4,7l27,366,,367r,18l75,384r70,1l145,367r-27,-1l104,358r-4,-7l100,56r5,-1l119,55r25,4l170,72r19,26l197,140r-4,27l182,191r-18,17l138,215r-12,l116,214r,22l126,236r8,1l144,237r40,-8l219,208r25,-32l254,135xm464,364r-2,-4l456,349r-2,4l450,357r-7,3l437,360r-9,l428,359r-5,-4l423,336r,-60l423,197r-5,-12l416,177,399,164r-20,-9l359,153r-13,1l335,157r-10,6l289,182r-18,12l259,209r-5,19l254,232r2,9l279,241r18,-7l297,217r3,-14l307,193r11,-6l332,185r20,3l366,195r8,13l377,225r,31l377,256r,20l377,336r-12,11l353,355r-13,6l325,364r-12,-3l302,354r-7,-11l293,331r9,-21l324,295r28,-11l377,276r,-20l341,268r-28,10l291,287r-17,9l262,305r-8,11l249,328r-2,14l252,361r11,17l281,389r23,4l325,390r19,-7l361,373r11,-9l378,359r3,13l388,382r10,8l411,393r15,-3l440,384r11,-9l462,365r2,-1xm666,182r-3,-13l656,160r-10,-6l635,153r-20,4l598,168r-14,15l573,198r,-39l573,157r-3,-4l568,153r-6,l557,156r-29,14l502,182r,11l513,198r16,3l528,214r,147l526,363r-6,3l491,367r,18l553,384r73,1l626,367r-44,-1l576,363r-2,-2l574,223r6,-10l595,201r9,-3l615,198r17,12l656,210r10,-13l666,182xm936,368r-17,-2l910,364r-9,-7l889,344,807,254r53,-48l873,195r14,-9l902,181r17,-2l922,179r,-19l873,161r-55,-1l818,179r12,l840,181r2,2l842,186r1,4l831,202r-7,7l771,256r-12,2l759,6,758,r-6,l748,1r-3,2l730,11r-12,5l704,22r-17,6l687,40r14,4l708,49r4,9l713,77r,284l711,363r-6,3l681,367r,18l737,384r56,1l793,367r-25,-1l761,363r-2,-2l759,276r6,l848,370r11,15l883,384r28,l936,385r,-17xm1061,367r-24,-1l1034,365r-4,-2l1028,361r,-353l1028,6r-2,-4l1024,r-6,1l1015,3r-16,8l987,16r-14,6l956,28r,12l970,44r7,5l981,58r2,19l982,361r-1,2l974,366r-25,1l949,385r57,-1l1061,385r,-18xe" fillcolor="#949ca1" stroked="f">
              <v:stroke joinstyle="round"/>
              <v:formulas/>
              <v:path arrowok="t" o:connecttype="segments"/>
            </v:shape>
            <w10:anchorlock/>
          </v:group>
        </w:pict>
      </w:r>
    </w:p>
    <w:p w14:paraId="69299D51" w14:textId="77777777" w:rsidR="00CE61FD" w:rsidRPr="00327E38" w:rsidRDefault="00CE61FD">
      <w:pPr>
        <w:pStyle w:val="BodyText"/>
        <w:rPr>
          <w:rFonts w:ascii="Times New Roman" w:hAnsi="Times New Roman" w:cs="Times New Roman"/>
          <w:sz w:val="22"/>
          <w:szCs w:val="22"/>
        </w:rPr>
      </w:pPr>
    </w:p>
    <w:p w14:paraId="3A03B39F" w14:textId="77777777" w:rsidR="009D48DB" w:rsidRDefault="009D48DB" w:rsidP="00C174ED">
      <w:pPr>
        <w:pStyle w:val="BodyText"/>
        <w:spacing w:before="95"/>
        <w:ind w:left="100" w:right="-360"/>
        <w:rPr>
          <w:rFonts w:asciiTheme="minorHAnsi" w:hAnsiTheme="minorHAnsi" w:cstheme="minorHAnsi"/>
          <w:color w:val="231F20"/>
          <w:sz w:val="16"/>
          <w:szCs w:val="16"/>
        </w:rPr>
      </w:pPr>
    </w:p>
    <w:p w14:paraId="2ACE6290" w14:textId="77777777" w:rsidR="00FC57B9" w:rsidRPr="00A84A77" w:rsidRDefault="00FC57B9" w:rsidP="00FC57B9">
      <w:r w:rsidRPr="00A84A77">
        <w:t>Office of the Deputy Secretary</w:t>
      </w:r>
    </w:p>
    <w:p w14:paraId="4AA80514" w14:textId="77777777" w:rsidR="00FC57B9" w:rsidRPr="00A84A77" w:rsidRDefault="00FC57B9" w:rsidP="00FC57B9">
      <w:r w:rsidRPr="00A84A77">
        <w:t xml:space="preserve">Department of Health and Human Services </w:t>
      </w:r>
    </w:p>
    <w:p w14:paraId="2AD7B725" w14:textId="77777777" w:rsidR="00FC57B9" w:rsidRPr="00A84A77" w:rsidRDefault="00FC57B9" w:rsidP="00FC57B9"/>
    <w:p w14:paraId="3099C8FB" w14:textId="77777777" w:rsidR="00FC57B9" w:rsidRPr="00A84A77" w:rsidRDefault="00FC57B9" w:rsidP="00FC57B9">
      <w:pPr>
        <w:rPr>
          <w:b/>
          <w:bCs/>
        </w:rPr>
      </w:pPr>
      <w:r w:rsidRPr="00A84A77">
        <w:rPr>
          <w:b/>
          <w:bCs/>
        </w:rPr>
        <w:t>Re: HHS Health Sector AI RFI</w:t>
      </w:r>
    </w:p>
    <w:p w14:paraId="16C0040D" w14:textId="77777777" w:rsidR="00FC57B9" w:rsidRPr="00A84A77" w:rsidRDefault="00FC57B9" w:rsidP="00FC57B9"/>
    <w:p w14:paraId="5F682968" w14:textId="77777777" w:rsidR="00FC57B9" w:rsidRPr="00A84A77" w:rsidRDefault="00FC57B9" w:rsidP="00FC57B9">
      <w:r w:rsidRPr="00A84A77">
        <w:t>February XX, 2026</w:t>
      </w:r>
    </w:p>
    <w:p w14:paraId="3A096DF2" w14:textId="77777777" w:rsidR="00FC57B9" w:rsidRPr="00FD2CCF" w:rsidRDefault="00FC57B9" w:rsidP="00FC57B9">
      <w:pPr>
        <w:spacing w:before="360" w:after="120"/>
      </w:pPr>
      <w:r w:rsidRPr="00FD2CCF">
        <w:rPr>
          <w:b/>
          <w:bCs/>
        </w:rPr>
        <w:t>Introduction</w:t>
      </w:r>
    </w:p>
    <w:p w14:paraId="16CBBDB9" w14:textId="77777777" w:rsidR="00FC57B9" w:rsidRPr="00A84A77" w:rsidRDefault="00FC57B9" w:rsidP="00FC57B9">
      <w:pPr>
        <w:spacing w:after="120"/>
      </w:pPr>
      <w:r w:rsidRPr="00A84A77">
        <w:t>Parkland Health (“Parkland”) appreciates the opportunity to submit comments in response to the HHS Health Sector Request for Information on accelerating the adoption and use of artificial intelligence in clinical care. These comments reflect Parkland’s experience deploying AI within existing healthcare governance frameworks and provide concrete, experience</w:t>
      </w:r>
      <w:r w:rsidRPr="00A84A77">
        <w:noBreakHyphen/>
        <w:t>based feedback on regulatory and policy considerations</w:t>
      </w:r>
      <w:r>
        <w:t xml:space="preserve"> </w:t>
      </w:r>
      <w:r w:rsidRPr="00A84A77">
        <w:t xml:space="preserve">affecting responsible AI adoption. </w:t>
      </w:r>
    </w:p>
    <w:p w14:paraId="213A2FC3" w14:textId="77777777" w:rsidR="00FC57B9" w:rsidRPr="00A84A77" w:rsidRDefault="00FC57B9" w:rsidP="00FC57B9">
      <w:r w:rsidRPr="00A84A77">
        <w:t>As one of the largest safety-net health systems in Texas and nationwide, the Dallas County Hospital District dba Parkland Health has deployed AI to enhance care delivery and operational efficiency since 2012. Today, Parkland operates dozens of production AI solutions ranging from machine learning risk scores support</w:t>
      </w:r>
      <w:r>
        <w:t>ing</w:t>
      </w:r>
      <w:r w:rsidRPr="00A84A77">
        <w:t xml:space="preserve"> Level1 trauma care to generative-AI tools that assist with clinical documentation. As the public hospital for Dallas County, Parkland</w:t>
      </w:r>
      <w:r>
        <w:t xml:space="preserve"> serves a patient population that </w:t>
      </w:r>
      <w:r w:rsidRPr="00A84A77">
        <w:t xml:space="preserve">is </w:t>
      </w:r>
      <w:r>
        <w:t xml:space="preserve">predominantly </w:t>
      </w:r>
      <w:r w:rsidRPr="00A84A77">
        <w:t xml:space="preserve">uninsured </w:t>
      </w:r>
      <w:r>
        <w:t>or covered by</w:t>
      </w:r>
      <w:r w:rsidRPr="00A84A77">
        <w:t xml:space="preserve"> Medicaid</w:t>
      </w:r>
      <w:r>
        <w:t>, and r</w:t>
      </w:r>
      <w:r w:rsidRPr="00A84A77">
        <w:t xml:space="preserve">esponsibly deployed AI helps expand access to care </w:t>
      </w:r>
      <w:r>
        <w:t xml:space="preserve">for </w:t>
      </w:r>
      <w:r w:rsidRPr="00A84A77">
        <w:t>patients in underserved communities.</w:t>
      </w:r>
    </w:p>
    <w:p w14:paraId="5046FF3D" w14:textId="77777777" w:rsidR="00FC57B9" w:rsidRPr="00FD2CCF" w:rsidRDefault="00FC57B9" w:rsidP="00FC57B9">
      <w:pPr>
        <w:spacing w:before="240" w:after="120"/>
        <w:rPr>
          <w:b/>
          <w:bCs/>
        </w:rPr>
      </w:pPr>
      <w:r w:rsidRPr="00FD2CCF">
        <w:rPr>
          <w:b/>
          <w:bCs/>
        </w:rPr>
        <w:t>Core Themes</w:t>
      </w:r>
    </w:p>
    <w:p w14:paraId="4EBAB83A" w14:textId="77777777" w:rsidR="00FC57B9" w:rsidRPr="00A84A77" w:rsidRDefault="00FC57B9" w:rsidP="00FC57B9">
      <w:r w:rsidRPr="00A84A77">
        <w:t>Based on Parkland’s experience deploying AI within existing healthcare governance frameworks, the following themes reflect the operational considerations we believe are most relevant to HHS as it evaluates barriers to responsible AI adoption in clinical care.</w:t>
      </w:r>
    </w:p>
    <w:p w14:paraId="6C3A6694" w14:textId="77777777" w:rsidR="00FC57B9" w:rsidRPr="00A84A77" w:rsidRDefault="00FC57B9" w:rsidP="00FC57B9">
      <w:pPr>
        <w:spacing w:before="120"/>
        <w:rPr>
          <w:b/>
          <w:bCs/>
        </w:rPr>
      </w:pPr>
      <w:r w:rsidRPr="00A84A77">
        <w:rPr>
          <w:b/>
          <w:bCs/>
        </w:rPr>
        <w:t>Regulatory Consistency</w:t>
      </w:r>
    </w:p>
    <w:p w14:paraId="177E2FFB" w14:textId="77777777" w:rsidR="00FC57B9" w:rsidRPr="00D51A5A" w:rsidRDefault="00FC57B9" w:rsidP="00FC57B9">
      <w:pPr>
        <w:rPr>
          <w:rFonts w:eastAsia="Times New Roman"/>
        </w:rPr>
      </w:pPr>
      <w:r w:rsidRPr="00D51A5A">
        <w:rPr>
          <w:rFonts w:eastAsia="Times New Roman"/>
        </w:rPr>
        <w:t>Consistent, universal federal oversight of AI is a strategic and sustainable alternative to a by</w:t>
      </w:r>
      <w:r w:rsidRPr="00D51A5A">
        <w:rPr>
          <w:rFonts w:eastAsia="Times New Roman"/>
        </w:rPr>
        <w:noBreakHyphen/>
        <w:t xml:space="preserve">state patchwork of regulations resulting in barriers for patients, healthcare providers, and solution developers alike. A national framework can help ensure consistent safety, privacy, and performance expectations while reducing unnecessary compliance complexity. </w:t>
      </w:r>
    </w:p>
    <w:p w14:paraId="5F037F88" w14:textId="77777777" w:rsidR="00FC57B9" w:rsidRPr="00A84A77" w:rsidRDefault="00FC57B9" w:rsidP="00FC57B9">
      <w:pPr>
        <w:spacing w:before="180"/>
        <w:rPr>
          <w:b/>
          <w:bCs/>
        </w:rPr>
      </w:pPr>
      <w:r w:rsidRPr="00D51A5A">
        <w:rPr>
          <w:b/>
          <w:bCs/>
        </w:rPr>
        <w:t>Public</w:t>
      </w:r>
      <w:r w:rsidRPr="00D51A5A">
        <w:rPr>
          <w:b/>
          <w:bCs/>
        </w:rPr>
        <w:noBreakHyphen/>
        <w:t>Sector Parity</w:t>
      </w:r>
      <w:r w:rsidRPr="00A84A77">
        <w:rPr>
          <w:b/>
          <w:bCs/>
        </w:rPr>
        <w:t xml:space="preserve"> </w:t>
      </w:r>
    </w:p>
    <w:p w14:paraId="24406BF6" w14:textId="77777777" w:rsidR="00FC57B9" w:rsidRPr="00A84A77" w:rsidRDefault="00FC57B9" w:rsidP="00FC57B9">
      <w:pPr>
        <w:rPr>
          <w:rFonts w:eastAsia="Times New Roman"/>
        </w:rPr>
      </w:pPr>
      <w:r>
        <w:t>Equitable treatment of public- and private-sector providers is essential. P</w:t>
      </w:r>
      <w:r w:rsidRPr="00044495">
        <w:t>ublic-sector providers include large, complex health systems that support teaching, research, and the deployment of AI across a wide range of clinical settings.</w:t>
      </w:r>
      <w:r w:rsidRPr="00A84A77">
        <w:t xml:space="preserve"> </w:t>
      </w:r>
      <w:r>
        <w:t xml:space="preserve">Consistent </w:t>
      </w:r>
      <w:r w:rsidRPr="00A84A77">
        <w:t xml:space="preserve">regulatory approaches across healthcare </w:t>
      </w:r>
      <w:r>
        <w:t xml:space="preserve">environments </w:t>
      </w:r>
      <w:r w:rsidRPr="00A84A77">
        <w:t>help avoid a two</w:t>
      </w:r>
      <w:r w:rsidRPr="00A84A77">
        <w:noBreakHyphen/>
        <w:t xml:space="preserve">tier system </w:t>
      </w:r>
      <w:r w:rsidRPr="00A84A77">
        <w:rPr>
          <w:rFonts w:eastAsia="Times New Roman"/>
        </w:rPr>
        <w:t>that could otherwise amplify disparities in quality, access, cost, innovation, patient experience, or population health.</w:t>
      </w:r>
    </w:p>
    <w:p w14:paraId="567A70E4" w14:textId="77777777" w:rsidR="00FC57B9" w:rsidRPr="00A84A77" w:rsidRDefault="00FC57B9" w:rsidP="00FC57B9">
      <w:pPr>
        <w:spacing w:before="180"/>
        <w:rPr>
          <w:b/>
          <w:bCs/>
        </w:rPr>
      </w:pPr>
      <w:r w:rsidRPr="00A84A77">
        <w:rPr>
          <w:b/>
          <w:bCs/>
        </w:rPr>
        <w:t>Governance and Accountability</w:t>
      </w:r>
    </w:p>
    <w:p w14:paraId="3249C155" w14:textId="10D4407A" w:rsidR="00FC57B9" w:rsidRPr="00A84A77" w:rsidRDefault="00FC57B9" w:rsidP="00FC57B9">
      <w:pPr>
        <w:spacing w:after="120"/>
        <w:rPr>
          <w:rFonts w:eastAsia="Times New Roman"/>
        </w:rPr>
      </w:pPr>
      <w:r w:rsidRPr="003D54EF">
        <w:rPr>
          <w:rFonts w:eastAsia="Times New Roman"/>
        </w:rPr>
        <w:t>Health care providers already operate under one of the most comprehensive regulatory environments in the U.S., with extensive oversight governing patient safety, data privacy, clinical quality, and technology use. Layering additional, AI</w:t>
      </w:r>
      <w:r w:rsidRPr="003D54EF">
        <w:rPr>
          <w:rFonts w:eastAsia="Times New Roman"/>
        </w:rPr>
        <w:noBreakHyphen/>
        <w:t xml:space="preserve">specific requirements on providers risks duplicating existing safeguards and </w:t>
      </w:r>
      <w:r>
        <w:t xml:space="preserve">diverting resources from patient care, </w:t>
      </w:r>
      <w:r>
        <w:rPr>
          <w:rStyle w:val="Strong"/>
        </w:rPr>
        <w:t>while many AI</w:t>
      </w:r>
      <w:r>
        <w:rPr>
          <w:rStyle w:val="Strong"/>
        </w:rPr>
        <w:noBreakHyphen/>
        <w:t>specific risks may be more effectively addressed through obligations placed on those who design, develop, and maintain AI systems.</w:t>
      </w:r>
    </w:p>
    <w:p w14:paraId="528A9FF0" w14:textId="77777777" w:rsidR="00FC57B9" w:rsidRPr="00FD2CCF" w:rsidRDefault="00FC57B9" w:rsidP="00FC57B9">
      <w:pPr>
        <w:spacing w:before="240" w:after="120"/>
        <w:rPr>
          <w:b/>
          <w:bCs/>
        </w:rPr>
      </w:pPr>
      <w:r w:rsidRPr="00FD2CCF">
        <w:rPr>
          <w:b/>
          <w:bCs/>
        </w:rPr>
        <w:t>Illustrative Use Cases</w:t>
      </w:r>
    </w:p>
    <w:p w14:paraId="2B268DA9" w14:textId="77777777" w:rsidR="00FC57B9" w:rsidRPr="00A84A77" w:rsidRDefault="00FC57B9" w:rsidP="00FC57B9">
      <w:pPr>
        <w:rPr>
          <w:b/>
          <w:bCs/>
        </w:rPr>
      </w:pPr>
      <w:r w:rsidRPr="00A84A77">
        <w:rPr>
          <w:rFonts w:eastAsia="Times New Roman"/>
        </w:rPr>
        <w:t xml:space="preserve">The examples below illustrate how AI is currently being deployed within Parkland’s existing clinical, safety, and governance frameworks, and </w:t>
      </w:r>
      <w:r>
        <w:rPr>
          <w:rFonts w:eastAsia="Times New Roman"/>
        </w:rPr>
        <w:t xml:space="preserve">the types of operational contexts that shape </w:t>
      </w:r>
      <w:r w:rsidRPr="00A84A77">
        <w:rPr>
          <w:rFonts w:eastAsia="Times New Roman"/>
        </w:rPr>
        <w:t>responsible use in real</w:t>
      </w:r>
      <w:r w:rsidRPr="00A84A77">
        <w:rPr>
          <w:rFonts w:eastAsia="Times New Roman"/>
        </w:rPr>
        <w:noBreakHyphen/>
        <w:t>world healthcare settings.</w:t>
      </w:r>
    </w:p>
    <w:p w14:paraId="01154D36" w14:textId="77777777" w:rsidR="00FC57B9" w:rsidRPr="00A84A77" w:rsidRDefault="00FC57B9" w:rsidP="00FC57B9">
      <w:pPr>
        <w:spacing w:before="180"/>
        <w:rPr>
          <w:b/>
          <w:bCs/>
        </w:rPr>
      </w:pPr>
      <w:r w:rsidRPr="00A84A77">
        <w:rPr>
          <w:b/>
          <w:bCs/>
        </w:rPr>
        <w:lastRenderedPageBreak/>
        <w:t>Workforce Safety</w:t>
      </w:r>
    </w:p>
    <w:p w14:paraId="293FC8AA" w14:textId="77777777" w:rsidR="00FC57B9" w:rsidRPr="00A84A77" w:rsidRDefault="00FC57B9" w:rsidP="00FC57B9">
      <w:r w:rsidRPr="00A84A77">
        <w:t xml:space="preserve">Parkland’s Center for Clinical Innovation (PCCI) developed a predictive machine-learning model designed to help protect the Parkland workforce by identifying patients at higher risk of escalating to violent behavior early in the care journey. </w:t>
      </w:r>
      <w:r>
        <w:t>T</w:t>
      </w:r>
      <w:r w:rsidRPr="00A84A77">
        <w:t>he model supports targeted use of clinical risk assessments and timely behavioral interventions, allowing care teams to focus attention where it is most needed. By shifting from reactive response to early risk identification, Parkland strengthens staff safety and situational awareness while maintaining compassionate, patient</w:t>
      </w:r>
      <w:r w:rsidRPr="00A84A77">
        <w:rPr>
          <w:rFonts w:ascii="Cambria Math" w:hAnsi="Cambria Math" w:cs="Cambria Math"/>
        </w:rPr>
        <w:t>‑</w:t>
      </w:r>
      <w:r w:rsidRPr="00A84A77">
        <w:t>centered care.</w:t>
      </w:r>
    </w:p>
    <w:p w14:paraId="0F01F682" w14:textId="77777777" w:rsidR="00FC57B9" w:rsidRPr="00A84A77" w:rsidRDefault="00FC57B9" w:rsidP="00FC57B9">
      <w:pPr>
        <w:spacing w:before="180"/>
        <w:rPr>
          <w:b/>
          <w:bCs/>
        </w:rPr>
      </w:pPr>
      <w:r w:rsidRPr="00A84A77">
        <w:rPr>
          <w:b/>
          <w:bCs/>
        </w:rPr>
        <w:t>Early Warning System</w:t>
      </w:r>
    </w:p>
    <w:p w14:paraId="595A828C" w14:textId="77777777" w:rsidR="00FC57B9" w:rsidRPr="00A84A77" w:rsidRDefault="00FC57B9" w:rsidP="00FC57B9">
      <w:r w:rsidRPr="00A84A77">
        <w:t>In the inpatient setting, Parkland uses an Early Warning System (EWS)</w:t>
      </w:r>
      <w:r>
        <w:t xml:space="preserve">, </w:t>
      </w:r>
      <w:r w:rsidRPr="00A84A77">
        <w:t xml:space="preserve">monitored by the Rapid Assessment Team, to proactively identify signs of patient clinical deterioration before they become life-threatening. This system analyzes real-time clinical data </w:t>
      </w:r>
      <w:r>
        <w:t xml:space="preserve">within the electronic health record </w:t>
      </w:r>
      <w:r w:rsidRPr="00A84A77">
        <w:t>and generates alerts that prompt timely bedside assessment and escalation when appropriate. By supporting early recognition and rapid response, EWS strengthens patient safety and accelerates intervention for Parkland’s most vulnerable patients.</w:t>
      </w:r>
    </w:p>
    <w:p w14:paraId="004F2897" w14:textId="77777777" w:rsidR="00FC57B9" w:rsidRPr="00A84A77" w:rsidRDefault="00FC57B9" w:rsidP="00FC57B9">
      <w:pPr>
        <w:spacing w:before="180"/>
        <w:rPr>
          <w:b/>
          <w:bCs/>
        </w:rPr>
      </w:pPr>
      <w:r w:rsidRPr="00A84A77">
        <w:rPr>
          <w:b/>
          <w:bCs/>
        </w:rPr>
        <w:t>Ambient Listening</w:t>
      </w:r>
    </w:p>
    <w:p w14:paraId="77D4DE0D" w14:textId="77777777" w:rsidR="00FC57B9" w:rsidRPr="00A84A77" w:rsidRDefault="00FC57B9" w:rsidP="00FC57B9">
      <w:r w:rsidRPr="00A84A77">
        <w:t xml:space="preserve">In the outpatient setting, Parkland </w:t>
      </w:r>
      <w:r>
        <w:t xml:space="preserve">uses </w:t>
      </w:r>
      <w:r w:rsidRPr="00A84A77">
        <w:t xml:space="preserve">ambient listening tools </w:t>
      </w:r>
      <w:r>
        <w:t xml:space="preserve">that </w:t>
      </w:r>
      <w:r w:rsidRPr="00A84A77">
        <w:t>allow physicians to engage patients face</w:t>
      </w:r>
      <w:r w:rsidRPr="00A84A77">
        <w:rPr>
          <w:rFonts w:ascii="Cambria Math" w:hAnsi="Cambria Math" w:cs="Cambria Math"/>
        </w:rPr>
        <w:t>‑</w:t>
      </w:r>
      <w:r w:rsidRPr="00A84A77">
        <w:t>to</w:t>
      </w:r>
      <w:r w:rsidRPr="00A84A77">
        <w:rPr>
          <w:rFonts w:ascii="Cambria Math" w:hAnsi="Cambria Math" w:cs="Cambria Math"/>
        </w:rPr>
        <w:t>‑</w:t>
      </w:r>
      <w:r w:rsidRPr="00A84A77">
        <w:t xml:space="preserve">face while large language models and generative AI assists with clinical documentation in the background. </w:t>
      </w:r>
      <w:r>
        <w:t>W</w:t>
      </w:r>
      <w:r w:rsidRPr="00A84A77">
        <w:t>ith patient consent</w:t>
      </w:r>
      <w:r>
        <w:t xml:space="preserve">, </w:t>
      </w:r>
      <w:r w:rsidRPr="00A84A77">
        <w:t>clinicians</w:t>
      </w:r>
      <w:r>
        <w:t xml:space="preserve"> </w:t>
      </w:r>
      <w:r w:rsidRPr="00A84A77">
        <w:t>spend less time documenting and more time listening, observing, and connecting with patients. This approach reduces cognitive and administrative burden, enhanc</w:t>
      </w:r>
      <w:r>
        <w:t>ing</w:t>
      </w:r>
      <w:r w:rsidRPr="00A84A77">
        <w:t xml:space="preserve"> both care quality and patient experience while preserving clinician oversight and accountability for the final note.</w:t>
      </w:r>
    </w:p>
    <w:p w14:paraId="3C579794" w14:textId="77777777" w:rsidR="00FC57B9" w:rsidRPr="00A84A77" w:rsidRDefault="00FC57B9" w:rsidP="00FC57B9">
      <w:pPr>
        <w:spacing w:before="180"/>
        <w:rPr>
          <w:b/>
          <w:bCs/>
        </w:rPr>
      </w:pPr>
      <w:r w:rsidRPr="00A84A77">
        <w:rPr>
          <w:b/>
          <w:bCs/>
        </w:rPr>
        <w:t xml:space="preserve">Translation Services </w:t>
      </w:r>
    </w:p>
    <w:p w14:paraId="075EDE90" w14:textId="77777777" w:rsidR="00FC57B9" w:rsidRPr="00A84A77" w:rsidRDefault="00FC57B9" w:rsidP="00FC57B9">
      <w:pPr>
        <w:rPr>
          <w:rFonts w:eastAsia="Times New Roman"/>
        </w:rPr>
      </w:pPr>
      <w:r w:rsidRPr="00A84A77">
        <w:rPr>
          <w:rFonts w:eastAsia="Times New Roman"/>
        </w:rPr>
        <w:t>One area where regulatory requirements may limit the practical use of AI in clinical care is patient translation services for individuals with limited English proficiency (LEP). Section 1557 of the Affordable Care Act requires meaningful access to language services and, in certain circumstances, mandates qualified human review of machine-translated content. While these protections are critical to patient safety and equity, workforce shortages and cost constraints can limit the timely provision of written materials—such as discharge instructions, consent forms, or patient education—in patients’ preferred languages, contributing to gaps in comprehension and outcomes. Parkland’s experience suggests that advances in AI</w:t>
      </w:r>
      <w:r w:rsidRPr="00A84A77">
        <w:rPr>
          <w:rFonts w:eastAsia="Times New Roman"/>
        </w:rPr>
        <w:noBreakHyphen/>
        <w:t xml:space="preserve">enabled translation </w:t>
      </w:r>
      <w:r>
        <w:rPr>
          <w:rFonts w:eastAsia="Times New Roman"/>
        </w:rPr>
        <w:t xml:space="preserve">could help </w:t>
      </w:r>
      <w:r w:rsidRPr="00A84A77">
        <w:rPr>
          <w:rFonts w:eastAsia="Times New Roman"/>
        </w:rPr>
        <w:t xml:space="preserve">expand </w:t>
      </w:r>
      <w:r>
        <w:rPr>
          <w:rFonts w:eastAsia="Times New Roman"/>
        </w:rPr>
        <w:t xml:space="preserve">timely </w:t>
      </w:r>
      <w:r w:rsidRPr="00A84A77">
        <w:rPr>
          <w:rFonts w:eastAsia="Times New Roman"/>
        </w:rPr>
        <w:t xml:space="preserve">access to written materials </w:t>
      </w:r>
      <w:r>
        <w:rPr>
          <w:rFonts w:eastAsia="Times New Roman"/>
        </w:rPr>
        <w:t>for LEP patients</w:t>
      </w:r>
      <w:r w:rsidRPr="00A84A77">
        <w:rPr>
          <w:rFonts w:eastAsia="Times New Roman"/>
        </w:rPr>
        <w:t xml:space="preserve">. </w:t>
      </w:r>
    </w:p>
    <w:p w14:paraId="5D8CECF6" w14:textId="77777777" w:rsidR="00FC57B9" w:rsidRPr="00FD2CCF" w:rsidRDefault="00FC57B9" w:rsidP="00FC57B9">
      <w:pPr>
        <w:spacing w:before="240" w:after="120"/>
        <w:rPr>
          <w:b/>
          <w:bCs/>
        </w:rPr>
      </w:pPr>
      <w:r w:rsidRPr="00FD2CCF">
        <w:rPr>
          <w:b/>
          <w:bCs/>
        </w:rPr>
        <w:t>What HHS Can Do</w:t>
      </w:r>
    </w:p>
    <w:p w14:paraId="026B917B" w14:textId="77777777" w:rsidR="00FC57B9" w:rsidRPr="00A84A77" w:rsidRDefault="00FC57B9" w:rsidP="00FC57B9">
      <w:pPr>
        <w:rPr>
          <w:rFonts w:eastAsia="Times New Roman"/>
        </w:rPr>
      </w:pPr>
      <w:r w:rsidRPr="00A84A77">
        <w:rPr>
          <w:rFonts w:eastAsia="Times New Roman"/>
        </w:rPr>
        <w:t xml:space="preserve">Based on Parkland’s experience deploying AI within existing clinical, safety, and governance frameworks, HHS can play an important role in accelerating responsible adoption by providing clarity, flexibility, and alignment across federal policies—without introducing duplicative or prescriptive requirements. This is particularly important for safety-net health systems whose patients are disproportionately uninsured or covered by Medicaid. </w:t>
      </w:r>
    </w:p>
    <w:p w14:paraId="73B8D5AD" w14:textId="77777777" w:rsidR="00FC57B9" w:rsidRPr="00A5337D" w:rsidRDefault="00FC57B9" w:rsidP="00FC57B9">
      <w:pPr>
        <w:widowControl/>
        <w:numPr>
          <w:ilvl w:val="0"/>
          <w:numId w:val="1"/>
        </w:numPr>
        <w:autoSpaceDE/>
        <w:autoSpaceDN/>
        <w:spacing w:before="120" w:after="120"/>
        <w:ind w:left="360"/>
        <w:rPr>
          <w:rFonts w:eastAsia="Times New Roman"/>
        </w:rPr>
      </w:pPr>
      <w:r>
        <w:rPr>
          <w:rFonts w:eastAsia="Times New Roman"/>
          <w:b/>
          <w:bCs/>
        </w:rPr>
        <w:t xml:space="preserve">Support </w:t>
      </w:r>
      <w:r w:rsidRPr="00A5337D">
        <w:rPr>
          <w:rFonts w:eastAsia="Times New Roman"/>
          <w:b/>
          <w:bCs/>
        </w:rPr>
        <w:t>a coordinated federal approach to healthcare AI oversight.</w:t>
      </w:r>
      <w:r>
        <w:rPr>
          <w:rFonts w:eastAsia="Times New Roman"/>
          <w:b/>
          <w:bCs/>
        </w:rPr>
        <w:t xml:space="preserve"> </w:t>
      </w:r>
      <w:r w:rsidRPr="00A5337D">
        <w:rPr>
          <w:rFonts w:eastAsia="Times New Roman"/>
        </w:rPr>
        <w:t xml:space="preserve">HHS </w:t>
      </w:r>
      <w:r>
        <w:rPr>
          <w:rFonts w:eastAsia="Times New Roman"/>
        </w:rPr>
        <w:t xml:space="preserve">can </w:t>
      </w:r>
      <w:r w:rsidRPr="00A5337D">
        <w:rPr>
          <w:rFonts w:eastAsia="Times New Roman"/>
        </w:rPr>
        <w:t xml:space="preserve">align AI-related guidance and expectations across CMS, OCR, FDA, ONC, and other relevant agencies to </w:t>
      </w:r>
      <w:r>
        <w:rPr>
          <w:rFonts w:eastAsia="Times New Roman"/>
        </w:rPr>
        <w:t xml:space="preserve">reduce </w:t>
      </w:r>
      <w:r w:rsidRPr="00A5337D">
        <w:rPr>
          <w:rFonts w:eastAsia="Times New Roman"/>
        </w:rPr>
        <w:t xml:space="preserve">duplicative requirements </w:t>
      </w:r>
      <w:r>
        <w:rPr>
          <w:rFonts w:eastAsia="Times New Roman"/>
        </w:rPr>
        <w:t xml:space="preserve">and improve clarity for </w:t>
      </w:r>
      <w:r w:rsidRPr="00A5337D">
        <w:rPr>
          <w:rFonts w:eastAsia="Times New Roman"/>
        </w:rPr>
        <w:t>healthcare providers and vendors while preserving patient safety, privacy, and accountability.</w:t>
      </w:r>
    </w:p>
    <w:p w14:paraId="14EA3E52" w14:textId="77777777" w:rsidR="00FC57B9" w:rsidRPr="00A5337D" w:rsidRDefault="00FC57B9" w:rsidP="00FC57B9">
      <w:pPr>
        <w:widowControl/>
        <w:numPr>
          <w:ilvl w:val="0"/>
          <w:numId w:val="1"/>
        </w:numPr>
        <w:autoSpaceDE/>
        <w:autoSpaceDN/>
        <w:spacing w:before="120" w:after="120"/>
        <w:ind w:left="360"/>
        <w:rPr>
          <w:rFonts w:eastAsia="Times New Roman"/>
        </w:rPr>
      </w:pPr>
      <w:r>
        <w:rPr>
          <w:rFonts w:eastAsia="Times New Roman"/>
          <w:b/>
          <w:bCs/>
        </w:rPr>
        <w:t xml:space="preserve">Reinforce </w:t>
      </w:r>
      <w:r w:rsidRPr="00A5337D">
        <w:rPr>
          <w:rFonts w:eastAsia="Times New Roman"/>
          <w:b/>
          <w:bCs/>
        </w:rPr>
        <w:t>existing provider accountability frameworks</w:t>
      </w:r>
      <w:r>
        <w:rPr>
          <w:rFonts w:eastAsia="Times New Roman"/>
          <w:b/>
          <w:bCs/>
        </w:rPr>
        <w:t xml:space="preserve"> rather than adding duplicative AI mandates</w:t>
      </w:r>
      <w:r w:rsidRPr="00A5337D">
        <w:rPr>
          <w:rFonts w:eastAsia="Times New Roman"/>
          <w:b/>
          <w:bCs/>
        </w:rPr>
        <w:t>.</w:t>
      </w:r>
      <w:r>
        <w:rPr>
          <w:rFonts w:eastAsia="Times New Roman"/>
        </w:rPr>
        <w:t xml:space="preserve"> </w:t>
      </w:r>
      <w:r w:rsidRPr="00A5337D">
        <w:rPr>
          <w:rFonts w:eastAsia="Times New Roman"/>
        </w:rPr>
        <w:t xml:space="preserve">HHS </w:t>
      </w:r>
      <w:r>
        <w:rPr>
          <w:rFonts w:eastAsia="Times New Roman"/>
        </w:rPr>
        <w:t xml:space="preserve">can </w:t>
      </w:r>
      <w:r w:rsidRPr="00A5337D">
        <w:rPr>
          <w:rFonts w:eastAsia="Times New Roman"/>
        </w:rPr>
        <w:t>recognize that healthcare organizations already operate under robust clinical, safety, privacy, and liability regimes</w:t>
      </w:r>
      <w:r>
        <w:rPr>
          <w:rFonts w:eastAsia="Times New Roman"/>
        </w:rPr>
        <w:t xml:space="preserve">, and can </w:t>
      </w:r>
      <w:r w:rsidRPr="00A5337D">
        <w:rPr>
          <w:rFonts w:eastAsia="Times New Roman"/>
        </w:rPr>
        <w:t>emphasize organizational accountability for outcomes rather than prescribing uniform, technology-specific controls or workflow mandates.</w:t>
      </w:r>
    </w:p>
    <w:p w14:paraId="79658C8D" w14:textId="77777777" w:rsidR="00FC57B9" w:rsidRDefault="00FC57B9" w:rsidP="00FC57B9">
      <w:pPr>
        <w:widowControl/>
        <w:numPr>
          <w:ilvl w:val="0"/>
          <w:numId w:val="1"/>
        </w:numPr>
        <w:autoSpaceDE/>
        <w:autoSpaceDN/>
        <w:spacing w:before="120" w:after="120"/>
        <w:ind w:left="360"/>
        <w:rPr>
          <w:rFonts w:eastAsia="Times New Roman"/>
        </w:rPr>
      </w:pPr>
      <w:r w:rsidRPr="00A5337D">
        <w:rPr>
          <w:rFonts w:eastAsia="Times New Roman"/>
          <w:b/>
          <w:bCs/>
        </w:rPr>
        <w:t xml:space="preserve">Clarify that </w:t>
      </w:r>
      <w:r>
        <w:rPr>
          <w:rFonts w:eastAsia="Times New Roman"/>
          <w:b/>
          <w:bCs/>
        </w:rPr>
        <w:t xml:space="preserve">providers </w:t>
      </w:r>
      <w:r w:rsidRPr="00A5337D">
        <w:rPr>
          <w:rFonts w:eastAsia="Times New Roman"/>
          <w:b/>
          <w:bCs/>
        </w:rPr>
        <w:t>may determine appropriate levels of human oversight based on risk and use case.</w:t>
      </w:r>
      <w:r>
        <w:rPr>
          <w:rFonts w:eastAsia="Times New Roman"/>
          <w:b/>
          <w:bCs/>
        </w:rPr>
        <w:t xml:space="preserve"> </w:t>
      </w:r>
      <w:r>
        <w:rPr>
          <w:rFonts w:eastAsia="Times New Roman"/>
        </w:rPr>
        <w:t xml:space="preserve">HHS can </w:t>
      </w:r>
      <w:r w:rsidRPr="00A5337D">
        <w:rPr>
          <w:rFonts w:eastAsia="Times New Roman"/>
        </w:rPr>
        <w:t xml:space="preserve">affirm that </w:t>
      </w:r>
      <w:r>
        <w:rPr>
          <w:rFonts w:eastAsia="Times New Roman"/>
        </w:rPr>
        <w:t xml:space="preserve">healthcare organizations </w:t>
      </w:r>
      <w:r w:rsidRPr="00A5337D">
        <w:rPr>
          <w:rFonts w:eastAsia="Times New Roman"/>
        </w:rPr>
        <w:t xml:space="preserve">are </w:t>
      </w:r>
      <w:r>
        <w:rPr>
          <w:rFonts w:eastAsia="Times New Roman"/>
        </w:rPr>
        <w:t xml:space="preserve">well </w:t>
      </w:r>
      <w:r w:rsidRPr="00A5337D">
        <w:rPr>
          <w:rFonts w:eastAsia="Times New Roman"/>
        </w:rPr>
        <w:t xml:space="preserve">positioned to assess when </w:t>
      </w:r>
      <w:r>
        <w:rPr>
          <w:rFonts w:eastAsia="Times New Roman"/>
        </w:rPr>
        <w:t>h</w:t>
      </w:r>
      <w:r w:rsidRPr="00A5337D">
        <w:rPr>
          <w:rFonts w:eastAsia="Times New Roman"/>
        </w:rPr>
        <w:t>uman</w:t>
      </w:r>
      <w:r w:rsidRPr="00A5337D">
        <w:rPr>
          <w:rFonts w:eastAsia="Times New Roman"/>
        </w:rPr>
        <w:noBreakHyphen/>
      </w:r>
      <w:r>
        <w:rPr>
          <w:rFonts w:eastAsia="Times New Roman"/>
        </w:rPr>
        <w:t>i</w:t>
      </w:r>
      <w:r w:rsidRPr="00A5337D">
        <w:rPr>
          <w:rFonts w:eastAsia="Times New Roman"/>
        </w:rPr>
        <w:t>n</w:t>
      </w:r>
      <w:r w:rsidRPr="00A5337D">
        <w:rPr>
          <w:rFonts w:eastAsia="Times New Roman"/>
        </w:rPr>
        <w:noBreakHyphen/>
      </w:r>
      <w:r>
        <w:rPr>
          <w:rFonts w:eastAsia="Times New Roman"/>
        </w:rPr>
        <w:t>t</w:t>
      </w:r>
      <w:r w:rsidRPr="00A5337D">
        <w:rPr>
          <w:rFonts w:eastAsia="Times New Roman"/>
        </w:rPr>
        <w:t>he</w:t>
      </w:r>
      <w:r w:rsidRPr="00A5337D">
        <w:rPr>
          <w:rFonts w:eastAsia="Times New Roman"/>
        </w:rPr>
        <w:noBreakHyphen/>
      </w:r>
      <w:r>
        <w:rPr>
          <w:rFonts w:eastAsia="Times New Roman"/>
        </w:rPr>
        <w:t>l</w:t>
      </w:r>
      <w:r w:rsidRPr="00A5337D">
        <w:rPr>
          <w:rFonts w:eastAsia="Times New Roman"/>
        </w:rPr>
        <w:t xml:space="preserve">oop, </w:t>
      </w:r>
      <w:r>
        <w:rPr>
          <w:rFonts w:eastAsia="Times New Roman"/>
        </w:rPr>
        <w:t>h</w:t>
      </w:r>
      <w:r w:rsidRPr="00A5337D">
        <w:rPr>
          <w:rFonts w:eastAsia="Times New Roman"/>
        </w:rPr>
        <w:t>uman</w:t>
      </w:r>
      <w:r w:rsidRPr="00A5337D">
        <w:rPr>
          <w:rFonts w:eastAsia="Times New Roman"/>
        </w:rPr>
        <w:noBreakHyphen/>
      </w:r>
      <w:r>
        <w:rPr>
          <w:rFonts w:eastAsia="Times New Roman"/>
        </w:rPr>
        <w:t>o</w:t>
      </w:r>
      <w:r w:rsidRPr="00A5337D">
        <w:rPr>
          <w:rFonts w:eastAsia="Times New Roman"/>
        </w:rPr>
        <w:t>n</w:t>
      </w:r>
      <w:r w:rsidRPr="00A5337D">
        <w:rPr>
          <w:rFonts w:eastAsia="Times New Roman"/>
        </w:rPr>
        <w:noBreakHyphen/>
      </w:r>
      <w:r>
        <w:rPr>
          <w:rFonts w:eastAsia="Times New Roman"/>
        </w:rPr>
        <w:t>t</w:t>
      </w:r>
      <w:r w:rsidRPr="00A5337D">
        <w:rPr>
          <w:rFonts w:eastAsia="Times New Roman"/>
        </w:rPr>
        <w:t>he</w:t>
      </w:r>
      <w:r w:rsidRPr="00A5337D">
        <w:rPr>
          <w:rFonts w:eastAsia="Times New Roman"/>
        </w:rPr>
        <w:noBreakHyphen/>
      </w:r>
      <w:r>
        <w:rPr>
          <w:rFonts w:eastAsia="Times New Roman"/>
        </w:rPr>
        <w:t>l</w:t>
      </w:r>
      <w:r w:rsidRPr="00A5337D">
        <w:rPr>
          <w:rFonts w:eastAsia="Times New Roman"/>
        </w:rPr>
        <w:t xml:space="preserve">oop, or </w:t>
      </w:r>
      <w:r>
        <w:rPr>
          <w:rFonts w:eastAsia="Times New Roman"/>
        </w:rPr>
        <w:t>h</w:t>
      </w:r>
      <w:r w:rsidRPr="00A5337D">
        <w:rPr>
          <w:rFonts w:eastAsia="Times New Roman"/>
        </w:rPr>
        <w:t>uman</w:t>
      </w:r>
      <w:r w:rsidRPr="00A5337D">
        <w:rPr>
          <w:rFonts w:eastAsia="Times New Roman"/>
        </w:rPr>
        <w:noBreakHyphen/>
      </w:r>
      <w:r>
        <w:rPr>
          <w:rFonts w:eastAsia="Times New Roman"/>
        </w:rPr>
        <w:t>o</w:t>
      </w:r>
      <w:r w:rsidRPr="00A5337D">
        <w:rPr>
          <w:rFonts w:eastAsia="Times New Roman"/>
        </w:rPr>
        <w:t>ut</w:t>
      </w:r>
      <w:r w:rsidRPr="00A5337D">
        <w:rPr>
          <w:rFonts w:eastAsia="Times New Roman"/>
        </w:rPr>
        <w:noBreakHyphen/>
      </w:r>
      <w:r>
        <w:rPr>
          <w:rFonts w:eastAsia="Times New Roman"/>
        </w:rPr>
        <w:t>o</w:t>
      </w:r>
      <w:r w:rsidRPr="00A5337D">
        <w:rPr>
          <w:rFonts w:eastAsia="Times New Roman"/>
        </w:rPr>
        <w:t>f</w:t>
      </w:r>
      <w:r w:rsidRPr="00A5337D">
        <w:rPr>
          <w:rFonts w:eastAsia="Times New Roman"/>
        </w:rPr>
        <w:noBreakHyphen/>
      </w:r>
      <w:r>
        <w:rPr>
          <w:rFonts w:eastAsia="Times New Roman"/>
        </w:rPr>
        <w:t>t</w:t>
      </w:r>
      <w:r w:rsidRPr="00A5337D">
        <w:rPr>
          <w:rFonts w:eastAsia="Times New Roman"/>
        </w:rPr>
        <w:t>he</w:t>
      </w:r>
      <w:r w:rsidRPr="00A5337D">
        <w:rPr>
          <w:rFonts w:eastAsia="Times New Roman"/>
        </w:rPr>
        <w:noBreakHyphen/>
      </w:r>
      <w:r>
        <w:rPr>
          <w:rFonts w:eastAsia="Times New Roman"/>
        </w:rPr>
        <w:t>l</w:t>
      </w:r>
      <w:r w:rsidRPr="00A5337D">
        <w:rPr>
          <w:rFonts w:eastAsia="Times New Roman"/>
        </w:rPr>
        <w:t>oop AI is appropriate, consistent with clinical risk, patient impact, and existing standards of care—without default requirements for continuous human review.</w:t>
      </w:r>
    </w:p>
    <w:p w14:paraId="47CE0957" w14:textId="77777777" w:rsidR="00FC57B9" w:rsidRDefault="00FC57B9" w:rsidP="00FC57B9">
      <w:pPr>
        <w:widowControl/>
        <w:numPr>
          <w:ilvl w:val="0"/>
          <w:numId w:val="1"/>
        </w:numPr>
        <w:autoSpaceDE/>
        <w:autoSpaceDN/>
        <w:spacing w:before="120" w:after="120"/>
        <w:ind w:left="360"/>
        <w:rPr>
          <w:rFonts w:eastAsia="Times New Roman"/>
        </w:rPr>
      </w:pPr>
      <w:r w:rsidRPr="00AD2383">
        <w:rPr>
          <w:rFonts w:eastAsia="Times New Roman"/>
          <w:b/>
          <w:bCs/>
        </w:rPr>
        <w:lastRenderedPageBreak/>
        <w:t xml:space="preserve">Consider modernizing interpretation of Section 1557 language access requirements for written materials (with safeguards). </w:t>
      </w:r>
      <w:r w:rsidRPr="005B2441">
        <w:rPr>
          <w:rFonts w:eastAsia="Times New Roman"/>
        </w:rPr>
        <w:t xml:space="preserve"> </w:t>
      </w:r>
      <w:r w:rsidRPr="00AD2383">
        <w:rPr>
          <w:rFonts w:eastAsia="Times New Roman"/>
        </w:rPr>
        <w:t>HHS could consider clarifying that advanced AI-enabled translation may be used for written patient materials without mandatory qualified human post</w:t>
      </w:r>
      <w:r w:rsidRPr="00AD2383">
        <w:rPr>
          <w:rFonts w:eastAsia="Times New Roman"/>
        </w:rPr>
        <w:noBreakHyphen/>
        <w:t xml:space="preserve">editing when appropriate safeguards are met, including: (a) timely verbal explanation from a qualified interpreter or qualified bilingual staff member, (b) </w:t>
      </w:r>
      <w:r w:rsidRPr="005B2441" w:rsidDel="006256ED">
        <w:rPr>
          <w:rFonts w:eastAsia="Times New Roman"/>
        </w:rPr>
        <w:t xml:space="preserve"> </w:t>
      </w:r>
      <w:r w:rsidRPr="00A5337D">
        <w:rPr>
          <w:rFonts w:eastAsia="Times New Roman"/>
        </w:rPr>
        <w:t xml:space="preserve">clear notice in the individual’s preferred language that the document was machine-translated and </w:t>
      </w:r>
      <w:r>
        <w:rPr>
          <w:rFonts w:eastAsia="Times New Roman"/>
        </w:rPr>
        <w:t xml:space="preserve">that assistance or </w:t>
      </w:r>
      <w:r w:rsidRPr="00A5337D">
        <w:rPr>
          <w:rFonts w:eastAsia="Times New Roman"/>
        </w:rPr>
        <w:t>clarification</w:t>
      </w:r>
      <w:r>
        <w:rPr>
          <w:rFonts w:eastAsia="Times New Roman"/>
        </w:rPr>
        <w:t xml:space="preserve"> is available upon request, and (c) </w:t>
      </w:r>
      <w:r w:rsidRPr="005B2441">
        <w:rPr>
          <w:rFonts w:eastAsia="Times New Roman"/>
        </w:rPr>
        <w:t xml:space="preserve"> </w:t>
      </w:r>
      <w:r>
        <w:rPr>
          <w:rFonts w:eastAsia="Times New Roman"/>
        </w:rPr>
        <w:t>continued p</w:t>
      </w:r>
      <w:r w:rsidRPr="00A5337D">
        <w:rPr>
          <w:rFonts w:eastAsia="Times New Roman"/>
        </w:rPr>
        <w:t>rovider responsibility for meaningful access</w:t>
      </w:r>
      <w:r>
        <w:rPr>
          <w:rFonts w:eastAsia="Times New Roman"/>
        </w:rPr>
        <w:t>, accuracy,</w:t>
      </w:r>
      <w:r w:rsidRPr="00A5337D">
        <w:rPr>
          <w:rFonts w:eastAsia="Times New Roman"/>
        </w:rPr>
        <w:t xml:space="preserve"> and patient understanding.</w:t>
      </w:r>
    </w:p>
    <w:p w14:paraId="46491BDB" w14:textId="37C2FC39" w:rsidR="00FC57B9" w:rsidRPr="00A5337D" w:rsidRDefault="00FC57B9" w:rsidP="00FC57B9">
      <w:pPr>
        <w:widowControl/>
        <w:numPr>
          <w:ilvl w:val="0"/>
          <w:numId w:val="1"/>
        </w:numPr>
        <w:autoSpaceDE/>
        <w:autoSpaceDN/>
        <w:spacing w:before="120" w:after="120"/>
        <w:ind w:left="360"/>
        <w:rPr>
          <w:rFonts w:eastAsia="Times New Roman"/>
        </w:rPr>
      </w:pPr>
      <w:r>
        <w:rPr>
          <w:rFonts w:eastAsia="Times New Roman"/>
          <w:b/>
          <w:bCs/>
        </w:rPr>
        <w:t xml:space="preserve">Encourage vendor transparency and </w:t>
      </w:r>
      <w:r w:rsidRPr="00A5337D">
        <w:rPr>
          <w:rFonts w:eastAsia="Times New Roman"/>
          <w:b/>
          <w:bCs/>
        </w:rPr>
        <w:t xml:space="preserve">performance </w:t>
      </w:r>
      <w:r>
        <w:rPr>
          <w:rFonts w:eastAsia="Times New Roman"/>
          <w:b/>
          <w:bCs/>
        </w:rPr>
        <w:t>substantiation to support responsible adoption</w:t>
      </w:r>
      <w:r w:rsidRPr="00A5337D">
        <w:rPr>
          <w:rFonts w:eastAsia="Times New Roman"/>
          <w:b/>
          <w:bCs/>
        </w:rPr>
        <w:t>.</w:t>
      </w:r>
      <w:r>
        <w:rPr>
          <w:rFonts w:eastAsia="Times New Roman"/>
          <w:b/>
          <w:bCs/>
        </w:rPr>
        <w:t xml:space="preserve"> </w:t>
      </w:r>
      <w:r w:rsidRPr="00A5337D">
        <w:rPr>
          <w:rFonts w:eastAsia="Times New Roman"/>
        </w:rPr>
        <w:t xml:space="preserve">HHS </w:t>
      </w:r>
      <w:r>
        <w:rPr>
          <w:rFonts w:eastAsia="Times New Roman"/>
        </w:rPr>
        <w:t xml:space="preserve">can develop regulatory guidance that requires </w:t>
      </w:r>
      <w:r w:rsidRPr="00A5337D">
        <w:rPr>
          <w:rFonts w:eastAsia="Times New Roman"/>
        </w:rPr>
        <w:t xml:space="preserve"> AI </w:t>
      </w:r>
      <w:r>
        <w:rPr>
          <w:rFonts w:eastAsia="Times New Roman"/>
        </w:rPr>
        <w:t xml:space="preserve">developers and </w:t>
      </w:r>
      <w:r w:rsidRPr="00A5337D">
        <w:rPr>
          <w:rFonts w:eastAsia="Times New Roman"/>
        </w:rPr>
        <w:t>vendors provide standardized information regarding model performance, limitations, appropriate use cases, and monitoring requirements</w:t>
      </w:r>
      <w:r>
        <w:rPr>
          <w:rFonts w:eastAsia="Times New Roman"/>
        </w:rPr>
        <w:t xml:space="preserve"> to enable responsible diligence and adoption decisions by </w:t>
      </w:r>
      <w:r w:rsidRPr="00A5337D">
        <w:rPr>
          <w:rFonts w:eastAsia="Times New Roman"/>
        </w:rPr>
        <w:t xml:space="preserve">healthcare </w:t>
      </w:r>
      <w:r>
        <w:rPr>
          <w:rFonts w:eastAsia="Times New Roman"/>
        </w:rPr>
        <w:t>organizations</w:t>
      </w:r>
      <w:r w:rsidRPr="00A5337D">
        <w:rPr>
          <w:rFonts w:eastAsia="Times New Roman"/>
        </w:rPr>
        <w:t>.</w:t>
      </w:r>
    </w:p>
    <w:p w14:paraId="7DBE84CF" w14:textId="77777777" w:rsidR="00FC57B9" w:rsidRPr="00A5337D" w:rsidRDefault="00FC57B9" w:rsidP="00FC57B9">
      <w:pPr>
        <w:widowControl/>
        <w:numPr>
          <w:ilvl w:val="0"/>
          <w:numId w:val="1"/>
        </w:numPr>
        <w:autoSpaceDE/>
        <w:autoSpaceDN/>
        <w:spacing w:before="120" w:after="120"/>
        <w:ind w:left="360"/>
        <w:rPr>
          <w:rFonts w:eastAsia="Times New Roman"/>
        </w:rPr>
      </w:pPr>
      <w:r w:rsidRPr="00A5337D">
        <w:rPr>
          <w:rFonts w:eastAsia="Times New Roman"/>
          <w:b/>
          <w:bCs/>
        </w:rPr>
        <w:t>Focus federal funding</w:t>
      </w:r>
      <w:r>
        <w:rPr>
          <w:rFonts w:eastAsia="Times New Roman"/>
          <w:b/>
          <w:bCs/>
        </w:rPr>
        <w:t xml:space="preserve"> and</w:t>
      </w:r>
      <w:r w:rsidRPr="00A5337D">
        <w:rPr>
          <w:rFonts w:eastAsia="Times New Roman"/>
          <w:b/>
          <w:bCs/>
        </w:rPr>
        <w:t xml:space="preserve"> pilots on healthcare deployers </w:t>
      </w:r>
      <w:r>
        <w:rPr>
          <w:rFonts w:eastAsia="Times New Roman"/>
          <w:b/>
          <w:bCs/>
        </w:rPr>
        <w:t>(with guardrails)</w:t>
      </w:r>
      <w:r w:rsidRPr="00A5337D">
        <w:rPr>
          <w:rFonts w:eastAsia="Times New Roman"/>
          <w:b/>
          <w:bCs/>
        </w:rPr>
        <w:t>.</w:t>
      </w:r>
      <w:r>
        <w:rPr>
          <w:rFonts w:eastAsia="Times New Roman"/>
          <w:b/>
          <w:bCs/>
        </w:rPr>
        <w:t xml:space="preserve"> </w:t>
      </w:r>
      <w:r>
        <w:rPr>
          <w:rFonts w:eastAsia="Times New Roman"/>
        </w:rPr>
        <w:t>HHS can prioritize g</w:t>
      </w:r>
      <w:r w:rsidRPr="00A5337D">
        <w:rPr>
          <w:rFonts w:eastAsia="Times New Roman"/>
        </w:rPr>
        <w:t>rant</w:t>
      </w:r>
      <w:r>
        <w:rPr>
          <w:rFonts w:eastAsia="Times New Roman"/>
        </w:rPr>
        <w:t>s</w:t>
      </w:r>
      <w:r w:rsidRPr="00A5337D">
        <w:rPr>
          <w:rFonts w:eastAsia="Times New Roman"/>
        </w:rPr>
        <w:t xml:space="preserve">, demonstrations, or payment incentives </w:t>
      </w:r>
      <w:r>
        <w:rPr>
          <w:rFonts w:eastAsia="Times New Roman"/>
        </w:rPr>
        <w:t xml:space="preserve">that support </w:t>
      </w:r>
      <w:r w:rsidRPr="00A5337D">
        <w:rPr>
          <w:rFonts w:eastAsia="Times New Roman"/>
        </w:rPr>
        <w:t>healthcare organizations implementing AI in real-world clinical settings</w:t>
      </w:r>
      <w:r>
        <w:rPr>
          <w:rFonts w:eastAsia="Times New Roman"/>
        </w:rPr>
        <w:t xml:space="preserve">, including safety-net providers, while limiting </w:t>
      </w:r>
      <w:r w:rsidRPr="00A5337D">
        <w:rPr>
          <w:rFonts w:eastAsia="Times New Roman"/>
        </w:rPr>
        <w:t xml:space="preserve">exposure to fraud, waste, and abuse </w:t>
      </w:r>
      <w:r>
        <w:rPr>
          <w:rFonts w:eastAsia="Times New Roman"/>
        </w:rPr>
        <w:t>through deployer-focused design</w:t>
      </w:r>
      <w:r w:rsidRPr="00A5337D">
        <w:rPr>
          <w:rFonts w:eastAsia="Times New Roman"/>
        </w:rPr>
        <w:t>.</w:t>
      </w:r>
    </w:p>
    <w:p w14:paraId="10F9FAC1" w14:textId="77777777" w:rsidR="00FC57B9" w:rsidRPr="00A5337D" w:rsidRDefault="00FC57B9" w:rsidP="00FC57B9">
      <w:pPr>
        <w:widowControl/>
        <w:numPr>
          <w:ilvl w:val="0"/>
          <w:numId w:val="1"/>
        </w:numPr>
        <w:autoSpaceDE/>
        <w:autoSpaceDN/>
        <w:spacing w:before="120" w:after="120"/>
        <w:ind w:left="360"/>
        <w:rPr>
          <w:rFonts w:eastAsia="Times New Roman"/>
        </w:rPr>
      </w:pPr>
      <w:r>
        <w:rPr>
          <w:rFonts w:eastAsia="Times New Roman"/>
          <w:b/>
          <w:bCs/>
        </w:rPr>
        <w:t xml:space="preserve">Clarify that </w:t>
      </w:r>
      <w:r w:rsidRPr="00A5337D">
        <w:rPr>
          <w:rFonts w:eastAsia="Times New Roman"/>
          <w:b/>
          <w:bCs/>
        </w:rPr>
        <w:t>federal policy does not impede responsible automation of documentation and workflow.</w:t>
      </w:r>
      <w:r>
        <w:rPr>
          <w:rFonts w:eastAsia="Times New Roman"/>
          <w:b/>
          <w:bCs/>
        </w:rPr>
        <w:t xml:space="preserve"> </w:t>
      </w:r>
      <w:r w:rsidRPr="00A5337D">
        <w:rPr>
          <w:rFonts w:eastAsia="Times New Roman"/>
        </w:rPr>
        <w:t xml:space="preserve">HHS </w:t>
      </w:r>
      <w:r>
        <w:rPr>
          <w:rFonts w:eastAsia="Times New Roman"/>
        </w:rPr>
        <w:t xml:space="preserve">can </w:t>
      </w:r>
      <w:r w:rsidRPr="00A5337D">
        <w:rPr>
          <w:rFonts w:eastAsia="Times New Roman"/>
        </w:rPr>
        <w:t>clarify that appropriately governed AI tools supporting clinical documentation, care coordination, and administrative workflows are consistent with existing health IT, billing, and information-sharing rules</w:t>
      </w:r>
      <w:r>
        <w:rPr>
          <w:rFonts w:eastAsia="Times New Roman"/>
        </w:rPr>
        <w:t>,</w:t>
      </w:r>
      <w:r w:rsidRPr="00A5337D">
        <w:rPr>
          <w:rFonts w:eastAsia="Times New Roman"/>
        </w:rPr>
        <w:t xml:space="preserve"> </w:t>
      </w:r>
      <w:r>
        <w:rPr>
          <w:rFonts w:eastAsia="Times New Roman"/>
        </w:rPr>
        <w:t>r</w:t>
      </w:r>
      <w:r w:rsidRPr="00A5337D">
        <w:rPr>
          <w:rFonts w:eastAsia="Times New Roman"/>
        </w:rPr>
        <w:t xml:space="preserve">educing ambiguity </w:t>
      </w:r>
      <w:r>
        <w:rPr>
          <w:rFonts w:eastAsia="Times New Roman"/>
        </w:rPr>
        <w:t xml:space="preserve">that contributes to </w:t>
      </w:r>
      <w:r w:rsidRPr="00A5337D">
        <w:rPr>
          <w:rFonts w:eastAsia="Times New Roman"/>
        </w:rPr>
        <w:t xml:space="preserve">clinician burden and access </w:t>
      </w:r>
      <w:r>
        <w:rPr>
          <w:rFonts w:eastAsia="Times New Roman"/>
        </w:rPr>
        <w:t>constraints</w:t>
      </w:r>
      <w:r w:rsidRPr="00A5337D">
        <w:rPr>
          <w:rFonts w:eastAsia="Times New Roman"/>
        </w:rPr>
        <w:t>.</w:t>
      </w:r>
    </w:p>
    <w:p w14:paraId="611573D6" w14:textId="77777777" w:rsidR="00FC57B9" w:rsidRPr="00A5337D" w:rsidRDefault="00FC57B9" w:rsidP="00FC57B9">
      <w:pPr>
        <w:widowControl/>
        <w:numPr>
          <w:ilvl w:val="0"/>
          <w:numId w:val="1"/>
        </w:numPr>
        <w:autoSpaceDE/>
        <w:autoSpaceDN/>
        <w:spacing w:before="120" w:after="120"/>
        <w:ind w:left="360"/>
        <w:rPr>
          <w:rFonts w:eastAsia="Times New Roman"/>
        </w:rPr>
      </w:pPr>
      <w:r w:rsidRPr="00A5337D">
        <w:rPr>
          <w:rFonts w:eastAsia="Times New Roman"/>
          <w:b/>
          <w:bCs/>
        </w:rPr>
        <w:t xml:space="preserve">Adopt principles-based, future-ready policy that scales across </w:t>
      </w:r>
      <w:r>
        <w:rPr>
          <w:rFonts w:eastAsia="Times New Roman"/>
          <w:b/>
          <w:bCs/>
        </w:rPr>
        <w:t>the healthcare landscape</w:t>
      </w:r>
      <w:r w:rsidRPr="00A5337D">
        <w:rPr>
          <w:rFonts w:eastAsia="Times New Roman"/>
          <w:b/>
          <w:bCs/>
        </w:rPr>
        <w:t>.</w:t>
      </w:r>
      <w:r>
        <w:rPr>
          <w:rFonts w:eastAsia="Times New Roman"/>
          <w:b/>
          <w:bCs/>
        </w:rPr>
        <w:t xml:space="preserve"> </w:t>
      </w:r>
      <w:r w:rsidRPr="00A5337D">
        <w:rPr>
          <w:rFonts w:eastAsia="Times New Roman"/>
        </w:rPr>
        <w:t xml:space="preserve">HHS </w:t>
      </w:r>
      <w:r>
        <w:rPr>
          <w:rFonts w:eastAsia="Times New Roman"/>
        </w:rPr>
        <w:t xml:space="preserve">can </w:t>
      </w:r>
      <w:r w:rsidRPr="00A5337D">
        <w:rPr>
          <w:rFonts w:eastAsia="Times New Roman"/>
        </w:rPr>
        <w:t>favor flexible, outcomes-focused approaches that can evolve as AI capabilities advance</w:t>
      </w:r>
      <w:r>
        <w:rPr>
          <w:rFonts w:eastAsia="Times New Roman"/>
        </w:rPr>
        <w:t xml:space="preserve"> so that </w:t>
      </w:r>
      <w:r w:rsidRPr="00A5337D">
        <w:rPr>
          <w:rFonts w:eastAsia="Times New Roman"/>
        </w:rPr>
        <w:t>smaller, rural, and safety-net providers—and the patients they serve—are not disadvantaged by overly prescriptive or resource-intensive mandates.</w:t>
      </w:r>
    </w:p>
    <w:p w14:paraId="0F09BBA7" w14:textId="77777777" w:rsidR="00FC57B9" w:rsidRPr="00253EFF" w:rsidDel="00FB684F" w:rsidRDefault="00FC57B9" w:rsidP="00FC57B9">
      <w:pPr>
        <w:pStyle w:val="ListParagraph"/>
        <w:spacing w:before="240" w:after="120"/>
        <w:rPr>
          <w:b/>
          <w:bCs/>
        </w:rPr>
      </w:pPr>
      <w:r w:rsidRPr="00253EFF">
        <w:rPr>
          <w:b/>
          <w:bCs/>
        </w:rPr>
        <w:t>Conclusion</w:t>
      </w:r>
    </w:p>
    <w:p w14:paraId="0370A028" w14:textId="77777777" w:rsidR="00FC57B9" w:rsidRDefault="00FC57B9" w:rsidP="00FC57B9">
      <w:r w:rsidRPr="00A84A77">
        <w:t xml:space="preserve">In closing, Parkland Health’s decadelong experience deploying artificial intelligence demonstrates that, when implemented responsibly within existing clinical, safety, and accountability frameworks, AI can support improved patient outcomes, expand access to care, protect the workforce, and reduce administrative burden. We </w:t>
      </w:r>
      <w:r>
        <w:t>value</w:t>
      </w:r>
      <w:r w:rsidRPr="00A84A77">
        <w:t xml:space="preserve"> HHS’s efforts to solicit experience</w:t>
      </w:r>
      <w:r w:rsidRPr="00A84A77">
        <w:noBreakHyphen/>
        <w:t>based input through this RFI and believe that thoughtful, evidence-based approaches promoting consistency, equity, and responsible innovation can strengthen clinical care while maintaining patient trust and accountability. Thank you for considering Parkland’s perspective as part of this process.</w:t>
      </w:r>
    </w:p>
    <w:p w14:paraId="105A7EF8" w14:textId="77777777" w:rsidR="00FC57B9" w:rsidRDefault="00FC57B9" w:rsidP="00FC57B9"/>
    <w:p w14:paraId="0A4F1328" w14:textId="233715C6" w:rsidR="00FC57B9" w:rsidRDefault="00FC57B9" w:rsidP="00FC57B9">
      <w:r>
        <w:t>Respectfully submitted,</w:t>
      </w:r>
    </w:p>
    <w:p w14:paraId="41F36994" w14:textId="77777777" w:rsidR="00FC57B9" w:rsidRDefault="00FC57B9" w:rsidP="00FC57B9"/>
    <w:p w14:paraId="7E89DC78" w14:textId="77777777" w:rsidR="00FC57B9" w:rsidRDefault="00FC57B9" w:rsidP="00FC57B9"/>
    <w:p w14:paraId="510E14D3" w14:textId="53CCAD62" w:rsidR="00FC57B9" w:rsidRDefault="00FC57B9" w:rsidP="00FC57B9">
      <w:r>
        <w:t>Joseph Longo, MBA, CDH-E, CHCIO</w:t>
      </w:r>
    </w:p>
    <w:p w14:paraId="5E5BF2AA" w14:textId="44CE5384" w:rsidR="00FC57B9" w:rsidRDefault="00FC57B9" w:rsidP="00FC57B9">
      <w:r>
        <w:t xml:space="preserve">Senior Vice President/Chief Digital &amp; Information Officer </w:t>
      </w:r>
    </w:p>
    <w:p w14:paraId="33D9F810" w14:textId="77777777" w:rsidR="00FC57B9" w:rsidRDefault="00FC57B9" w:rsidP="00FC57B9"/>
    <w:p w14:paraId="59689FD4" w14:textId="77777777" w:rsidR="00FC57B9" w:rsidRDefault="00FC57B9" w:rsidP="00FC57B9"/>
    <w:p w14:paraId="2B08A41D" w14:textId="77777777" w:rsidR="00FC57B9" w:rsidRDefault="00FC57B9" w:rsidP="00FC57B9"/>
    <w:p w14:paraId="0019D6CC" w14:textId="1D483196" w:rsidR="00FC57B9" w:rsidRDefault="00FC57B9" w:rsidP="00FC57B9">
      <w:r>
        <w:t>Brett Moran, MD</w:t>
      </w:r>
    </w:p>
    <w:p w14:paraId="0868091F" w14:textId="6B59F8F2" w:rsidR="00FC57B9" w:rsidRDefault="00FC57B9" w:rsidP="00FC57B9">
      <w:r>
        <w:t>Senior Vice President/Chief Health Officer</w:t>
      </w:r>
    </w:p>
    <w:p w14:paraId="0C1ABB63" w14:textId="77777777" w:rsidR="00FC57B9" w:rsidRPr="00A84A77" w:rsidRDefault="00FC57B9" w:rsidP="00FC57B9"/>
    <w:p w14:paraId="3D44B45A" w14:textId="77777777" w:rsidR="009D48DB" w:rsidRDefault="009D48DB" w:rsidP="00C174ED">
      <w:pPr>
        <w:pStyle w:val="BodyText"/>
        <w:spacing w:before="95"/>
        <w:ind w:left="100" w:right="-360"/>
        <w:rPr>
          <w:rFonts w:asciiTheme="minorHAnsi" w:hAnsiTheme="minorHAnsi" w:cstheme="minorHAnsi"/>
          <w:color w:val="231F20"/>
          <w:sz w:val="16"/>
          <w:szCs w:val="16"/>
        </w:rPr>
      </w:pPr>
    </w:p>
    <w:p w14:paraId="30E5CF68" w14:textId="77777777" w:rsidR="009D48DB" w:rsidRDefault="009D48DB" w:rsidP="00C174ED">
      <w:pPr>
        <w:pStyle w:val="BodyText"/>
        <w:spacing w:before="95"/>
        <w:ind w:left="100" w:right="-360"/>
        <w:rPr>
          <w:rFonts w:asciiTheme="minorHAnsi" w:hAnsiTheme="minorHAnsi" w:cstheme="minorHAnsi"/>
          <w:color w:val="231F20"/>
          <w:sz w:val="16"/>
          <w:szCs w:val="16"/>
        </w:rPr>
      </w:pPr>
    </w:p>
    <w:p w14:paraId="6D1096F6" w14:textId="77777777" w:rsidR="009D48DB" w:rsidRDefault="009D48DB" w:rsidP="00C174ED">
      <w:pPr>
        <w:pStyle w:val="BodyText"/>
        <w:spacing w:before="95"/>
        <w:ind w:left="100" w:right="-360"/>
        <w:rPr>
          <w:rFonts w:asciiTheme="minorHAnsi" w:hAnsiTheme="minorHAnsi" w:cstheme="minorHAnsi"/>
          <w:color w:val="231F20"/>
          <w:sz w:val="16"/>
          <w:szCs w:val="16"/>
        </w:rPr>
      </w:pPr>
    </w:p>
    <w:p w14:paraId="6B331BC5" w14:textId="29A654D1" w:rsidR="00CE61FD" w:rsidRPr="00C174ED" w:rsidRDefault="00C174ED" w:rsidP="00C174ED">
      <w:pPr>
        <w:pStyle w:val="BodyText"/>
        <w:spacing w:before="95"/>
        <w:ind w:left="100" w:right="-360"/>
        <w:rPr>
          <w:rFonts w:asciiTheme="minorHAnsi" w:hAnsiTheme="minorHAnsi" w:cstheme="minorHAnsi"/>
          <w:sz w:val="16"/>
          <w:szCs w:val="16"/>
        </w:rPr>
      </w:pPr>
      <w:r w:rsidRPr="00C174ED">
        <w:rPr>
          <w:rFonts w:asciiTheme="minorHAnsi" w:hAnsiTheme="minorHAnsi" w:cstheme="minorHAnsi"/>
          <w:color w:val="231F20"/>
          <w:sz w:val="16"/>
          <w:szCs w:val="16"/>
        </w:rPr>
        <w:t>Par</w:t>
      </w:r>
      <w:r w:rsidR="00C87732" w:rsidRPr="00C174ED">
        <w:rPr>
          <w:rFonts w:asciiTheme="minorHAnsi" w:hAnsiTheme="minorHAnsi" w:cstheme="minorHAnsi"/>
          <w:color w:val="231F20"/>
          <w:sz w:val="16"/>
          <w:szCs w:val="16"/>
        </w:rPr>
        <w:t>kland</w:t>
      </w:r>
      <w:r w:rsidR="00C87732" w:rsidRPr="00C174ED">
        <w:rPr>
          <w:rFonts w:asciiTheme="minorHAnsi" w:hAnsiTheme="minorHAnsi" w:cstheme="minorHAnsi"/>
          <w:color w:val="231F20"/>
          <w:spacing w:val="13"/>
          <w:sz w:val="16"/>
          <w:szCs w:val="16"/>
        </w:rPr>
        <w:t xml:space="preserve"> </w:t>
      </w:r>
      <w:r w:rsidR="00C87732" w:rsidRPr="00C174ED">
        <w:rPr>
          <w:rFonts w:asciiTheme="minorHAnsi" w:hAnsiTheme="minorHAnsi" w:cstheme="minorHAnsi"/>
          <w:color w:val="231F20"/>
          <w:sz w:val="16"/>
          <w:szCs w:val="16"/>
        </w:rPr>
        <w:t>Health</w:t>
      </w:r>
    </w:p>
    <w:p w14:paraId="22BD3A3F" w14:textId="77777777" w:rsidR="00CE61FD" w:rsidRPr="00C174ED" w:rsidRDefault="00C87732">
      <w:pPr>
        <w:pStyle w:val="BodyText"/>
        <w:spacing w:before="48" w:line="307" w:lineRule="auto"/>
        <w:ind w:left="100" w:right="6446"/>
        <w:rPr>
          <w:rFonts w:asciiTheme="minorHAnsi" w:hAnsiTheme="minorHAnsi" w:cstheme="minorHAnsi"/>
          <w:sz w:val="16"/>
          <w:szCs w:val="16"/>
        </w:rPr>
      </w:pPr>
      <w:r w:rsidRPr="00C174ED">
        <w:rPr>
          <w:rFonts w:asciiTheme="minorHAnsi" w:hAnsiTheme="minorHAnsi" w:cstheme="minorHAnsi"/>
          <w:color w:val="231F20"/>
          <w:sz w:val="16"/>
          <w:szCs w:val="16"/>
        </w:rPr>
        <w:t>5200 Harry Hines Blvd.</w:t>
      </w:r>
      <w:r w:rsidRPr="00C174ED">
        <w:rPr>
          <w:rFonts w:asciiTheme="minorHAnsi" w:hAnsiTheme="minorHAnsi" w:cstheme="minorHAnsi"/>
          <w:color w:val="231F20"/>
          <w:spacing w:val="1"/>
          <w:sz w:val="16"/>
          <w:szCs w:val="16"/>
        </w:rPr>
        <w:t xml:space="preserve"> </w:t>
      </w:r>
      <w:r w:rsidRPr="00C174ED">
        <w:rPr>
          <w:rFonts w:asciiTheme="minorHAnsi" w:hAnsiTheme="minorHAnsi" w:cstheme="minorHAnsi"/>
          <w:color w:val="231F20"/>
          <w:sz w:val="16"/>
          <w:szCs w:val="16"/>
        </w:rPr>
        <w:t>|</w:t>
      </w:r>
      <w:r w:rsidRPr="00C174ED">
        <w:rPr>
          <w:rFonts w:asciiTheme="minorHAnsi" w:hAnsiTheme="minorHAnsi" w:cstheme="minorHAnsi"/>
          <w:color w:val="231F20"/>
          <w:spacing w:val="1"/>
          <w:sz w:val="16"/>
          <w:szCs w:val="16"/>
        </w:rPr>
        <w:t xml:space="preserve"> </w:t>
      </w:r>
      <w:r w:rsidRPr="00C174ED">
        <w:rPr>
          <w:rFonts w:asciiTheme="minorHAnsi" w:hAnsiTheme="minorHAnsi" w:cstheme="minorHAnsi"/>
          <w:color w:val="231F20"/>
          <w:sz w:val="16"/>
          <w:szCs w:val="16"/>
        </w:rPr>
        <w:t>Dallas, TX 75235</w:t>
      </w:r>
      <w:r w:rsidRPr="00C174ED">
        <w:rPr>
          <w:rFonts w:asciiTheme="minorHAnsi" w:hAnsiTheme="minorHAnsi" w:cstheme="minorHAnsi"/>
          <w:color w:val="231F20"/>
          <w:spacing w:val="-39"/>
          <w:sz w:val="16"/>
          <w:szCs w:val="16"/>
        </w:rPr>
        <w:t xml:space="preserve"> </w:t>
      </w:r>
      <w:r w:rsidRPr="00C174ED">
        <w:rPr>
          <w:rFonts w:asciiTheme="minorHAnsi" w:hAnsiTheme="minorHAnsi" w:cstheme="minorHAnsi"/>
          <w:color w:val="231F20"/>
          <w:sz w:val="16"/>
          <w:szCs w:val="16"/>
        </w:rPr>
        <w:t>214-590-8000</w:t>
      </w:r>
      <w:r w:rsidRPr="00C174ED">
        <w:rPr>
          <w:rFonts w:asciiTheme="minorHAnsi" w:hAnsiTheme="minorHAnsi" w:cstheme="minorHAnsi"/>
          <w:color w:val="231F20"/>
          <w:spacing w:val="15"/>
          <w:sz w:val="16"/>
          <w:szCs w:val="16"/>
        </w:rPr>
        <w:t xml:space="preserve"> </w:t>
      </w:r>
      <w:r w:rsidRPr="00C174ED">
        <w:rPr>
          <w:rFonts w:asciiTheme="minorHAnsi" w:hAnsiTheme="minorHAnsi" w:cstheme="minorHAnsi"/>
          <w:color w:val="231F20"/>
          <w:sz w:val="16"/>
          <w:szCs w:val="16"/>
        </w:rPr>
        <w:t>|</w:t>
      </w:r>
      <w:r w:rsidRPr="00C174ED">
        <w:rPr>
          <w:rFonts w:asciiTheme="minorHAnsi" w:hAnsiTheme="minorHAnsi" w:cstheme="minorHAnsi"/>
          <w:color w:val="231F20"/>
          <w:spacing w:val="15"/>
          <w:sz w:val="16"/>
          <w:szCs w:val="16"/>
        </w:rPr>
        <w:t xml:space="preserve"> </w:t>
      </w:r>
      <w:r w:rsidRPr="00C174ED">
        <w:rPr>
          <w:rFonts w:asciiTheme="minorHAnsi" w:hAnsiTheme="minorHAnsi" w:cstheme="minorHAnsi"/>
          <w:color w:val="231F20"/>
          <w:sz w:val="16"/>
          <w:szCs w:val="16"/>
        </w:rPr>
        <w:t>fax</w:t>
      </w:r>
      <w:r w:rsidRPr="00C174ED">
        <w:rPr>
          <w:rFonts w:asciiTheme="minorHAnsi" w:hAnsiTheme="minorHAnsi" w:cstheme="minorHAnsi"/>
          <w:color w:val="231F20"/>
          <w:spacing w:val="7"/>
          <w:sz w:val="16"/>
          <w:szCs w:val="16"/>
        </w:rPr>
        <w:t xml:space="preserve"> </w:t>
      </w:r>
      <w:r w:rsidRPr="00C174ED">
        <w:rPr>
          <w:rFonts w:asciiTheme="minorHAnsi" w:hAnsiTheme="minorHAnsi" w:cstheme="minorHAnsi"/>
          <w:color w:val="231F20"/>
          <w:sz w:val="16"/>
          <w:szCs w:val="16"/>
        </w:rPr>
        <w:t>214-590-8096</w:t>
      </w:r>
    </w:p>
    <w:p w14:paraId="50704918" w14:textId="77777777" w:rsidR="00CE61FD" w:rsidRPr="00C174ED" w:rsidRDefault="00C87732">
      <w:pPr>
        <w:pStyle w:val="BodyText"/>
        <w:spacing w:line="171" w:lineRule="exact"/>
        <w:ind w:left="100"/>
        <w:rPr>
          <w:rFonts w:asciiTheme="minorHAnsi" w:hAnsiTheme="minorHAnsi" w:cstheme="minorHAnsi"/>
          <w:sz w:val="16"/>
          <w:szCs w:val="16"/>
        </w:rPr>
      </w:pPr>
      <w:r w:rsidRPr="00C174ED">
        <w:rPr>
          <w:rFonts w:asciiTheme="minorHAnsi" w:hAnsiTheme="minorHAnsi" w:cstheme="minorHAnsi"/>
          <w:color w:val="231F20"/>
          <w:sz w:val="16"/>
          <w:szCs w:val="16"/>
        </w:rPr>
        <w:t>parklandhealth.org</w:t>
      </w:r>
    </w:p>
    <w:sectPr w:rsidR="00CE61FD" w:rsidRPr="00C174ED">
      <w:type w:val="continuous"/>
      <w:pgSz w:w="12240" w:h="15840"/>
      <w:pgMar w:top="1080" w:right="1720" w:bottom="280" w:left="9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92AAC"/>
    <w:multiLevelType w:val="hybridMultilevel"/>
    <w:tmpl w:val="6A1294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4226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CE61FD"/>
    <w:rsid w:val="00040ED4"/>
    <w:rsid w:val="00070864"/>
    <w:rsid w:val="00124329"/>
    <w:rsid w:val="00220742"/>
    <w:rsid w:val="00327E38"/>
    <w:rsid w:val="003A3CDE"/>
    <w:rsid w:val="003B793A"/>
    <w:rsid w:val="004832EE"/>
    <w:rsid w:val="004B7CAD"/>
    <w:rsid w:val="004F6D59"/>
    <w:rsid w:val="005779B6"/>
    <w:rsid w:val="007056D2"/>
    <w:rsid w:val="007C61F0"/>
    <w:rsid w:val="008A600C"/>
    <w:rsid w:val="008E507F"/>
    <w:rsid w:val="00903C49"/>
    <w:rsid w:val="00973444"/>
    <w:rsid w:val="009D48DB"/>
    <w:rsid w:val="00A21F7C"/>
    <w:rsid w:val="00A22F49"/>
    <w:rsid w:val="00AE5949"/>
    <w:rsid w:val="00B025C5"/>
    <w:rsid w:val="00B06340"/>
    <w:rsid w:val="00C10983"/>
    <w:rsid w:val="00C174ED"/>
    <w:rsid w:val="00C44AC2"/>
    <w:rsid w:val="00C87732"/>
    <w:rsid w:val="00CB564D"/>
    <w:rsid w:val="00CE61FD"/>
    <w:rsid w:val="00CF3BCF"/>
    <w:rsid w:val="00E606B2"/>
    <w:rsid w:val="00F12553"/>
    <w:rsid w:val="00FA6501"/>
    <w:rsid w:val="00FC5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42DA9DE3"/>
  <w15:docId w15:val="{B2E83DDD-4464-4B68-A46D-3A5312575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5"/>
      <w:szCs w:val="15"/>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F6D59"/>
    <w:rPr>
      <w:color w:val="0000FF" w:themeColor="hyperlink"/>
      <w:u w:val="single"/>
    </w:rPr>
  </w:style>
  <w:style w:type="character" w:styleId="UnresolvedMention">
    <w:name w:val="Unresolved Mention"/>
    <w:basedOn w:val="DefaultParagraphFont"/>
    <w:uiPriority w:val="99"/>
    <w:semiHidden/>
    <w:unhideWhenUsed/>
    <w:rsid w:val="004F6D59"/>
    <w:rPr>
      <w:color w:val="605E5C"/>
      <w:shd w:val="clear" w:color="auto" w:fill="E1DFDD"/>
    </w:rPr>
  </w:style>
  <w:style w:type="paragraph" w:customStyle="1" w:styleId="xxxxxxxxxxxxxxxmsonormal">
    <w:name w:val="x_xxxxxxxxxxxxxxmsonormal"/>
    <w:basedOn w:val="Normal"/>
    <w:rsid w:val="00040ED4"/>
    <w:pPr>
      <w:widowControl/>
      <w:autoSpaceDE/>
      <w:autoSpaceDN/>
    </w:pPr>
    <w:rPr>
      <w:rFonts w:ascii="Times New Roman" w:eastAsia="Calibri" w:hAnsi="Times New Roman" w:cs="Times New Roman"/>
      <w:sz w:val="24"/>
      <w:szCs w:val="24"/>
    </w:rPr>
  </w:style>
  <w:style w:type="paragraph" w:styleId="NormalWeb">
    <w:name w:val="Normal (Web)"/>
    <w:basedOn w:val="Normal"/>
    <w:uiPriority w:val="99"/>
    <w:semiHidden/>
    <w:unhideWhenUsed/>
    <w:rsid w:val="00327E3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C57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6389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245</TotalTime>
  <Pages>3</Pages>
  <Words>1554</Words>
  <Characters>8864</Characters>
  <Application>Microsoft Office Word</Application>
  <DocSecurity>4</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Katherine Yoder</cp:lastModifiedBy>
  <cp:revision>2</cp:revision>
  <dcterms:created xsi:type="dcterms:W3CDTF">2026-02-23T21:02:00Z</dcterms:created>
  <dcterms:modified xsi:type="dcterms:W3CDTF">2026-02-23T21:02:00Z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2022-02-09T00:00:00Z</vt:filetime>
  </property>
  <property fmtid="{D5CDD505-2E9C-101B-9397-08002B2CF9AE}" pid="3" name="Creator">
    <vt:lpwstr>Adobe InDesign 17.0 (Macintosh)</vt:lpwstr>
  </property>
  <property fmtid="{D5CDD505-2E9C-101B-9397-08002B2CF9AE}" pid="4" name="LastSaved">
    <vt:filetime>2022-02-09T00:00:00Z</vt:filetime>
  </property>
</Properties>
</file>