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1908F" w14:textId="77777777" w:rsidR="00F322DE" w:rsidRDefault="00F322DE" w:rsidP="00F322DE">
      <w:pPr>
        <w:spacing w:before="210" w:after="0"/>
        <w:rPr>
          <w:rFonts w:ascii="Lato" w:hAnsi="Lato"/>
        </w:rPr>
      </w:pPr>
    </w:p>
    <w:p w14:paraId="64C38EA6" w14:textId="662675C9" w:rsidR="00F322DE" w:rsidRDefault="00F322DE" w:rsidP="00F322DE">
      <w:pPr>
        <w:spacing w:before="210" w:after="0"/>
        <w:rPr>
          <w:rFonts w:ascii="Lato" w:hAnsi="Lato"/>
        </w:rPr>
      </w:pPr>
      <w:r>
        <w:rPr>
          <w:rFonts w:ascii="Lato" w:hAnsi="Lato"/>
        </w:rPr>
        <w:t xml:space="preserve">In response to the </w:t>
      </w:r>
      <w:r w:rsidRPr="009C19AE">
        <w:rPr>
          <w:rFonts w:ascii="Lato" w:hAnsi="Lato"/>
        </w:rPr>
        <w:t>Request for Information: Accelerating the Adoption and Use of Artificial Intelligence as Part of Clinical Care</w:t>
      </w:r>
      <w:r>
        <w:rPr>
          <w:rFonts w:ascii="Lato" w:hAnsi="Lato"/>
        </w:rPr>
        <w:t xml:space="preserve"> (</w:t>
      </w:r>
      <w:r w:rsidRPr="009C19AE">
        <w:rPr>
          <w:rFonts w:ascii="Lato" w:hAnsi="Lato"/>
        </w:rPr>
        <w:t>Published Document: 2025-23641 (90 FR 60108)</w:t>
      </w:r>
      <w:r>
        <w:rPr>
          <w:rFonts w:ascii="Lato" w:hAnsi="Lato"/>
        </w:rPr>
        <w:t>) by the US Department of Health and Human Services, Office of the Secretary (</w:t>
      </w:r>
      <w:r w:rsidRPr="009C19AE">
        <w:rPr>
          <w:rFonts w:ascii="Lato" w:hAnsi="Lato"/>
        </w:rPr>
        <w:t>RIN 0955-AA13</w:t>
      </w:r>
      <w:r>
        <w:rPr>
          <w:rFonts w:ascii="Lato" w:hAnsi="Lato"/>
        </w:rPr>
        <w:t xml:space="preserve">), </w:t>
      </w:r>
      <w:hyperlink r:id="rId11" w:history="1">
        <w:r w:rsidRPr="009C19AE">
          <w:rPr>
            <w:rStyle w:val="Hyperlink"/>
            <w:rFonts w:ascii="Lato" w:hAnsi="Lato"/>
          </w:rPr>
          <w:t>Reveleer</w:t>
        </w:r>
      </w:hyperlink>
      <w:r>
        <w:rPr>
          <w:rFonts w:ascii="Lato" w:hAnsi="Lato"/>
        </w:rPr>
        <w:t xml:space="preserve"> is submitting the following information for consideration to the specific questions outlined in the published document. </w:t>
      </w:r>
    </w:p>
    <w:p w14:paraId="3D446BF1" w14:textId="77777777" w:rsidR="00F322DE" w:rsidRDefault="00F322DE" w:rsidP="00F322DE">
      <w:pPr>
        <w:spacing w:before="210" w:after="0"/>
        <w:rPr>
          <w:rFonts w:ascii="Lato" w:hAnsi="Lato"/>
        </w:rPr>
      </w:pPr>
      <w:r>
        <w:rPr>
          <w:rFonts w:ascii="Lato" w:hAnsi="Lato"/>
        </w:rPr>
        <w:t xml:space="preserve">Please direct any questions to the responses below to </w:t>
      </w:r>
      <w:hyperlink r:id="rId12" w:history="1">
        <w:r w:rsidRPr="00A0104A">
          <w:rPr>
            <w:rStyle w:val="Hyperlink"/>
            <w:rFonts w:ascii="Lato" w:hAnsi="Lato"/>
          </w:rPr>
          <w:t>alan.tam@reveleer.com</w:t>
        </w:r>
      </w:hyperlink>
      <w:r>
        <w:rPr>
          <w:rFonts w:ascii="Lato" w:hAnsi="Lato"/>
        </w:rPr>
        <w:t xml:space="preserve">. </w:t>
      </w:r>
    </w:p>
    <w:p w14:paraId="04EDDD23" w14:textId="77777777" w:rsidR="00F322DE" w:rsidRPr="00550BCB" w:rsidRDefault="00F322DE" w:rsidP="00F322DE">
      <w:pPr>
        <w:spacing w:before="210" w:after="0"/>
        <w:rPr>
          <w:rFonts w:ascii="Lato" w:hAnsi="Lato"/>
        </w:rPr>
      </w:pPr>
      <w:r>
        <w:rPr>
          <w:noProof/>
        </w:rPr>
        <mc:AlternateContent>
          <mc:Choice Requires="wps">
            <w:drawing>
              <wp:inline distT="0" distB="0" distL="0" distR="0" wp14:anchorId="0FE39B3D" wp14:editId="29C72AD5">
                <wp:extent cx="6038850" cy="635"/>
                <wp:effectExtent l="0" t="0" r="19050" b="24765"/>
                <wp:docPr id="533961623"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C8C5BF0" id="Rectangle 2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3449405D" w14:textId="77777777" w:rsidR="00F322DE" w:rsidRPr="00550BCB" w:rsidRDefault="00F322DE" w:rsidP="00F322DE">
      <w:pPr>
        <w:spacing w:before="315" w:after="105"/>
        <w:ind w:left="-30"/>
        <w:rPr>
          <w:rFonts w:ascii="Lato" w:hAnsi="Lato"/>
        </w:rPr>
      </w:pPr>
      <w:bookmarkStart w:id="0" w:name="bm_1_biggest_barriers_to_ai_innov_2a69dd"/>
      <w:r w:rsidRPr="00550BCB">
        <w:rPr>
          <w:rFonts w:ascii="Lato" w:eastAsia="inter" w:hAnsi="Lato" w:cs="inter"/>
          <w:b/>
          <w:color w:val="000000"/>
        </w:rPr>
        <w:t>1. Biggest barriers to AI innovation and adoption in clinical care</w:t>
      </w:r>
      <w:bookmarkEnd w:id="0"/>
    </w:p>
    <w:p w14:paraId="7936EF8C" w14:textId="77777777" w:rsidR="00F322DE" w:rsidRPr="00550BCB" w:rsidRDefault="00F322DE" w:rsidP="00F322DE">
      <w:pPr>
        <w:spacing w:after="210"/>
        <w:rPr>
          <w:rFonts w:ascii="Lato" w:hAnsi="Lato"/>
        </w:rPr>
      </w:pPr>
      <w:r w:rsidRPr="00550BCB">
        <w:rPr>
          <w:rFonts w:ascii="Lato" w:eastAsia="inter" w:hAnsi="Lato" w:cs="inter"/>
          <w:color w:val="000000"/>
        </w:rPr>
        <w:t>From Reveleer’s work with health plans and risk</w:t>
      </w:r>
      <w:r w:rsidRPr="00550BCB">
        <w:rPr>
          <w:rFonts w:ascii="Cambria Math" w:eastAsia="inter" w:hAnsi="Cambria Math" w:cs="Cambria Math"/>
          <w:color w:val="000000"/>
        </w:rPr>
        <w:t>‑</w:t>
      </w:r>
      <w:r w:rsidRPr="00550BCB">
        <w:rPr>
          <w:rFonts w:ascii="Lato" w:eastAsia="inter" w:hAnsi="Lato" w:cs="inter"/>
          <w:color w:val="000000"/>
        </w:rPr>
        <w:t>bearing providers in value</w:t>
      </w:r>
      <w:r w:rsidRPr="00550BCB">
        <w:rPr>
          <w:rFonts w:ascii="Cambria Math" w:eastAsia="inter" w:hAnsi="Cambria Math" w:cs="Cambria Math"/>
          <w:color w:val="000000"/>
        </w:rPr>
        <w:t>‑</w:t>
      </w:r>
      <w:r w:rsidRPr="00550BCB">
        <w:rPr>
          <w:rFonts w:ascii="Lato" w:eastAsia="inter" w:hAnsi="Lato" w:cs="inter"/>
          <w:color w:val="000000"/>
        </w:rPr>
        <w:t>based care, the primary barriers are:</w:t>
      </w:r>
    </w:p>
    <w:p w14:paraId="4B90BDCD" w14:textId="77777777" w:rsidR="00F322DE" w:rsidRPr="00550BCB" w:rsidRDefault="00F322DE" w:rsidP="00F322DE">
      <w:pPr>
        <w:numPr>
          <w:ilvl w:val="0"/>
          <w:numId w:val="7"/>
        </w:numPr>
        <w:spacing w:before="105" w:after="105"/>
        <w:rPr>
          <w:rFonts w:ascii="Lato" w:hAnsi="Lato"/>
        </w:rPr>
      </w:pPr>
      <w:r w:rsidRPr="008304CC">
        <w:rPr>
          <w:rFonts w:ascii="Lato" w:eastAsia="inter" w:hAnsi="Lato" w:cs="inter"/>
          <w:b/>
          <w:bCs/>
          <w:color w:val="000000"/>
        </w:rPr>
        <w:t xml:space="preserve">Fragmented data and limited interoperability. </w:t>
      </w:r>
      <w:r w:rsidRPr="00052097">
        <w:rPr>
          <w:rFonts w:ascii="Lato" w:eastAsia="inter" w:hAnsi="Lato" w:cs="inter"/>
          <w:color w:val="000000"/>
        </w:rPr>
        <w:t>Despite interoperability policies,</w:t>
      </w:r>
      <w:r>
        <w:rPr>
          <w:rFonts w:ascii="Lato" w:eastAsia="inter" w:hAnsi="Lato" w:cs="inter"/>
          <w:b/>
          <w:bCs/>
          <w:color w:val="000000"/>
        </w:rPr>
        <w:t xml:space="preserve"> </w:t>
      </w:r>
      <w:r>
        <w:rPr>
          <w:rFonts w:ascii="Lato" w:eastAsia="inter" w:hAnsi="Lato" w:cs="inter"/>
          <w:color w:val="000000"/>
        </w:rPr>
        <w:t>c</w:t>
      </w:r>
      <w:r w:rsidRPr="00550BCB">
        <w:rPr>
          <w:rFonts w:ascii="Lato" w:eastAsia="inter" w:hAnsi="Lato" w:cs="inter"/>
          <w:color w:val="000000"/>
        </w:rPr>
        <w:t xml:space="preserve">linical and administrative data </w:t>
      </w:r>
      <w:r>
        <w:rPr>
          <w:rFonts w:ascii="Lato" w:eastAsia="inter" w:hAnsi="Lato" w:cs="inter"/>
          <w:color w:val="000000"/>
        </w:rPr>
        <w:t>remain</w:t>
      </w:r>
      <w:r w:rsidRPr="00550BCB">
        <w:rPr>
          <w:rFonts w:ascii="Lato" w:eastAsia="inter" w:hAnsi="Lato" w:cs="inter"/>
          <w:color w:val="000000"/>
        </w:rPr>
        <w:t xml:space="preserve"> scattered across </w:t>
      </w:r>
      <w:r>
        <w:rPr>
          <w:rFonts w:ascii="Lato" w:eastAsia="inter" w:hAnsi="Lato" w:cs="inter"/>
          <w:color w:val="000000"/>
        </w:rPr>
        <w:t xml:space="preserve">an array of systems </w:t>
      </w:r>
      <w:r w:rsidRPr="00550BCB">
        <w:rPr>
          <w:rFonts w:ascii="Lato" w:eastAsia="inter" w:hAnsi="Lato" w:cs="inter"/>
          <w:color w:val="000000"/>
        </w:rPr>
        <w:t xml:space="preserve">EHRs, claims platforms, HIEs, point solutions, and document repositories, with critical signal buried in unstructured notes. </w:t>
      </w:r>
      <w:r>
        <w:rPr>
          <w:rFonts w:ascii="Lato" w:eastAsia="inter" w:hAnsi="Lato" w:cs="inter"/>
          <w:color w:val="000000"/>
        </w:rPr>
        <w:t xml:space="preserve">There is some adoption of transmission standards through standard FHIR based </w:t>
      </w:r>
      <w:proofErr w:type="gramStart"/>
      <w:r>
        <w:rPr>
          <w:rFonts w:ascii="Lato" w:eastAsia="inter" w:hAnsi="Lato" w:cs="inter"/>
          <w:color w:val="000000"/>
        </w:rPr>
        <w:t>APIs</w:t>
      </w:r>
      <w:proofErr w:type="gramEnd"/>
      <w:r>
        <w:rPr>
          <w:rFonts w:ascii="Lato" w:eastAsia="inter" w:hAnsi="Lato" w:cs="inter"/>
          <w:color w:val="000000"/>
        </w:rPr>
        <w:t xml:space="preserve"> but this only covers part of the data needs required for AI to comprehensively and reliably gather the context for an accurate response. Given the variety of formats driving the source data, w</w:t>
      </w:r>
      <w:r w:rsidRPr="00550BCB">
        <w:rPr>
          <w:rFonts w:ascii="Lato" w:eastAsia="inter" w:hAnsi="Lato" w:cs="inter"/>
          <w:color w:val="000000"/>
        </w:rPr>
        <w:t xml:space="preserve">hen AI is deployed on this landscape without first </w:t>
      </w:r>
      <w:r>
        <w:rPr>
          <w:rFonts w:ascii="Lato" w:eastAsia="inter" w:hAnsi="Lato" w:cs="inter"/>
          <w:color w:val="000000"/>
        </w:rPr>
        <w:t>standardizing and normalizing the inputs</w:t>
      </w:r>
      <w:r w:rsidRPr="00550BCB">
        <w:rPr>
          <w:rFonts w:ascii="Lato" w:eastAsia="inter" w:hAnsi="Lato" w:cs="inter"/>
          <w:color w:val="000000"/>
        </w:rPr>
        <w:t>, it tends to amplify gaps, increase hallucination risk, and produce inconsistent outputs that clinicians do not trust.</w:t>
      </w:r>
    </w:p>
    <w:p w14:paraId="0ACE498D" w14:textId="77777777" w:rsidR="00F322DE" w:rsidRPr="00550BCB" w:rsidRDefault="00F322DE" w:rsidP="00F322DE">
      <w:pPr>
        <w:numPr>
          <w:ilvl w:val="0"/>
          <w:numId w:val="7"/>
        </w:numPr>
        <w:spacing w:before="105" w:after="105"/>
        <w:rPr>
          <w:rFonts w:ascii="Lato" w:hAnsi="Lato"/>
        </w:rPr>
      </w:pPr>
      <w:r w:rsidRPr="008304CC">
        <w:rPr>
          <w:rFonts w:ascii="Lato" w:eastAsia="inter" w:hAnsi="Lato" w:cs="inter"/>
          <w:b/>
          <w:bCs/>
          <w:color w:val="000000"/>
        </w:rPr>
        <w:t>Lack of an AI</w:t>
      </w:r>
      <w:r w:rsidRPr="008304CC">
        <w:rPr>
          <w:rFonts w:ascii="Cambria Math" w:eastAsia="inter" w:hAnsi="Cambria Math" w:cs="Cambria Math"/>
          <w:b/>
          <w:bCs/>
          <w:color w:val="000000"/>
        </w:rPr>
        <w:t>‑</w:t>
      </w:r>
      <w:r w:rsidRPr="008304CC">
        <w:rPr>
          <w:rFonts w:ascii="Lato" w:eastAsia="inter" w:hAnsi="Lato" w:cs="inter"/>
          <w:b/>
          <w:bCs/>
          <w:color w:val="000000"/>
        </w:rPr>
        <w:t xml:space="preserve">ready evidence layer. </w:t>
      </w:r>
      <w:r w:rsidRPr="00550BCB">
        <w:rPr>
          <w:rFonts w:ascii="Lato" w:eastAsia="inter" w:hAnsi="Lato" w:cs="inter"/>
          <w:color w:val="000000"/>
        </w:rPr>
        <w:t xml:space="preserve">Many organizations still depend on partial claims feeds, limited EHR connections, and manual chart retrieval, preventing the creation of longitudinal, </w:t>
      </w:r>
      <w:commentRangeStart w:id="1"/>
      <w:r w:rsidRPr="00550BCB">
        <w:rPr>
          <w:rFonts w:ascii="Lato" w:eastAsia="inter" w:hAnsi="Lato" w:cs="inter"/>
          <w:color w:val="000000"/>
        </w:rPr>
        <w:t>provenance</w:t>
      </w:r>
      <w:r w:rsidRPr="00550BCB">
        <w:rPr>
          <w:rFonts w:ascii="Cambria Math" w:eastAsia="inter" w:hAnsi="Cambria Math" w:cs="Cambria Math"/>
          <w:color w:val="000000"/>
        </w:rPr>
        <w:t>‑</w:t>
      </w:r>
      <w:r>
        <w:rPr>
          <w:rFonts w:ascii="Lato" w:eastAsia="inter" w:hAnsi="Lato" w:cs="inter"/>
          <w:color w:val="000000"/>
        </w:rPr>
        <w:t>managed</w:t>
      </w:r>
      <w:r w:rsidRPr="00550BCB">
        <w:rPr>
          <w:rFonts w:ascii="Lato" w:eastAsia="inter" w:hAnsi="Lato" w:cs="inter"/>
          <w:color w:val="000000"/>
        </w:rPr>
        <w:t xml:space="preserve"> </w:t>
      </w:r>
      <w:commentRangeEnd w:id="1"/>
      <w:r w:rsidRPr="00550BCB">
        <w:rPr>
          <w:rStyle w:val="CommentReference"/>
          <w:rFonts w:ascii="Lato" w:eastAsia="inter" w:hAnsi="Lato" w:cs="inter"/>
          <w:color w:val="000000"/>
          <w:sz w:val="21"/>
          <w:szCs w:val="22"/>
        </w:rPr>
        <w:commentReference w:id="1"/>
      </w:r>
      <w:r w:rsidRPr="00550BCB">
        <w:rPr>
          <w:rFonts w:ascii="Lato" w:eastAsia="inter" w:hAnsi="Lato" w:cs="inter"/>
          <w:color w:val="000000"/>
        </w:rPr>
        <w:t xml:space="preserve">member records that can support risk adjustment, quality, </w:t>
      </w:r>
      <w:r>
        <w:rPr>
          <w:rFonts w:ascii="Lato" w:eastAsia="inter" w:hAnsi="Lato" w:cs="inter"/>
          <w:color w:val="000000"/>
        </w:rPr>
        <w:t xml:space="preserve">member eligibility, </w:t>
      </w:r>
      <w:r w:rsidRPr="00550BCB">
        <w:rPr>
          <w:rFonts w:ascii="Lato" w:eastAsia="inter" w:hAnsi="Lato" w:cs="inter"/>
          <w:color w:val="000000"/>
        </w:rPr>
        <w:t>and care management consistently</w:t>
      </w:r>
      <w:r>
        <w:rPr>
          <w:rFonts w:ascii="Lato" w:eastAsia="inter" w:hAnsi="Lato" w:cs="inter"/>
          <w:color w:val="000000"/>
        </w:rPr>
        <w:t xml:space="preserve"> across the care continuum</w:t>
      </w:r>
      <w:r w:rsidRPr="00550BCB">
        <w:rPr>
          <w:rFonts w:ascii="Lato" w:eastAsia="inter" w:hAnsi="Lato" w:cs="inter"/>
          <w:color w:val="000000"/>
        </w:rPr>
        <w:t>.</w:t>
      </w:r>
    </w:p>
    <w:p w14:paraId="26E8652A" w14:textId="77777777" w:rsidR="00F322DE" w:rsidRPr="00550BCB" w:rsidRDefault="00F322DE" w:rsidP="00F322DE">
      <w:pPr>
        <w:numPr>
          <w:ilvl w:val="0"/>
          <w:numId w:val="7"/>
        </w:numPr>
        <w:spacing w:before="105" w:after="105"/>
        <w:rPr>
          <w:rFonts w:ascii="Lato" w:hAnsi="Lato"/>
        </w:rPr>
      </w:pPr>
      <w:r w:rsidRPr="008304CC">
        <w:rPr>
          <w:rFonts w:ascii="Lato" w:eastAsia="inter" w:hAnsi="Lato" w:cs="inter"/>
          <w:b/>
          <w:bCs/>
          <w:color w:val="000000"/>
        </w:rPr>
        <w:lastRenderedPageBreak/>
        <w:t xml:space="preserve">Insufficient governance, explainability, and auditability. </w:t>
      </w:r>
      <w:r w:rsidRPr="00550BCB">
        <w:rPr>
          <w:rFonts w:ascii="Lato" w:eastAsia="inter" w:hAnsi="Lato" w:cs="inter"/>
          <w:color w:val="000000"/>
        </w:rPr>
        <w:t>Leaders are wary of “black box” AI, hallucinations, bias, and opaque decision paths—especially where AI touches coding, quality reporting, or point</w:t>
      </w:r>
      <w:r w:rsidRPr="00550BCB">
        <w:rPr>
          <w:rFonts w:ascii="Cambria Math" w:eastAsia="inter" w:hAnsi="Cambria Math" w:cs="Cambria Math"/>
          <w:color w:val="000000"/>
        </w:rPr>
        <w:t>‑</w:t>
      </w:r>
      <w:r w:rsidRPr="00550BCB">
        <w:rPr>
          <w:rFonts w:ascii="Lato" w:eastAsia="inter" w:hAnsi="Lato" w:cs="inter"/>
          <w:color w:val="000000"/>
        </w:rPr>
        <w:t>of</w:t>
      </w:r>
      <w:r w:rsidRPr="00550BCB">
        <w:rPr>
          <w:rFonts w:ascii="Cambria Math" w:eastAsia="inter" w:hAnsi="Cambria Math" w:cs="Cambria Math"/>
          <w:color w:val="000000"/>
        </w:rPr>
        <w:t>‑</w:t>
      </w:r>
      <w:r w:rsidRPr="00550BCB">
        <w:rPr>
          <w:rFonts w:ascii="Lato" w:eastAsia="inter" w:hAnsi="Lato" w:cs="inter"/>
          <w:color w:val="000000"/>
        </w:rPr>
        <w:t xml:space="preserve">care decision support. Many offerings lack strong </w:t>
      </w:r>
      <w:proofErr w:type="spellStart"/>
      <w:r w:rsidRPr="00550BCB">
        <w:rPr>
          <w:rFonts w:ascii="Lato" w:eastAsia="inter" w:hAnsi="Lato" w:cs="inter"/>
          <w:color w:val="000000"/>
        </w:rPr>
        <w:t>MLOps</w:t>
      </w:r>
      <w:proofErr w:type="spellEnd"/>
      <w:r w:rsidRPr="00550BCB">
        <w:rPr>
          <w:rFonts w:ascii="Lato" w:eastAsia="inter" w:hAnsi="Lato" w:cs="inter"/>
          <w:color w:val="000000"/>
        </w:rPr>
        <w:t>, traceability to source documents, or clear human</w:t>
      </w:r>
      <w:r w:rsidRPr="00550BCB">
        <w:rPr>
          <w:rFonts w:ascii="Cambria Math" w:eastAsia="inter" w:hAnsi="Cambria Math" w:cs="Cambria Math"/>
          <w:color w:val="000000"/>
        </w:rPr>
        <w:t>‑</w:t>
      </w:r>
      <w:r w:rsidRPr="00550BCB">
        <w:rPr>
          <w:rFonts w:ascii="Lato" w:eastAsia="inter" w:hAnsi="Lato" w:cs="inter"/>
          <w:color w:val="000000"/>
        </w:rPr>
        <w:t>in</w:t>
      </w:r>
      <w:r w:rsidRPr="00550BCB">
        <w:rPr>
          <w:rFonts w:ascii="Cambria Math" w:eastAsia="inter" w:hAnsi="Cambria Math" w:cs="Cambria Math"/>
          <w:color w:val="000000"/>
        </w:rPr>
        <w:t>‑</w:t>
      </w:r>
      <w:r w:rsidRPr="00550BCB">
        <w:rPr>
          <w:rFonts w:ascii="Lato" w:eastAsia="inter" w:hAnsi="Lato" w:cs="inter"/>
          <w:color w:val="000000"/>
        </w:rPr>
        <w:t>the</w:t>
      </w:r>
      <w:r w:rsidRPr="00550BCB">
        <w:rPr>
          <w:rFonts w:ascii="Cambria Math" w:eastAsia="inter" w:hAnsi="Cambria Math" w:cs="Cambria Math"/>
          <w:color w:val="000000"/>
        </w:rPr>
        <w:t>‑</w:t>
      </w:r>
      <w:r w:rsidRPr="00550BCB">
        <w:rPr>
          <w:rFonts w:ascii="Lato" w:eastAsia="inter" w:hAnsi="Lato" w:cs="inter"/>
          <w:color w:val="000000"/>
        </w:rPr>
        <w:t>loop controls.</w:t>
      </w:r>
      <w:r>
        <w:rPr>
          <w:rFonts w:ascii="Lato" w:eastAsia="inter" w:hAnsi="Lato" w:cs="inter"/>
          <w:color w:val="000000"/>
        </w:rPr>
        <w:t xml:space="preserve"> Explainable AI requires new approaches like our “clinical corpus” model that delivers reliable medical </w:t>
      </w:r>
      <w:proofErr w:type="gramStart"/>
      <w:r>
        <w:rPr>
          <w:rFonts w:ascii="Lato" w:eastAsia="inter" w:hAnsi="Lato" w:cs="inter"/>
          <w:color w:val="000000"/>
        </w:rPr>
        <w:t>evidences</w:t>
      </w:r>
      <w:proofErr w:type="gramEnd"/>
      <w:r>
        <w:rPr>
          <w:rFonts w:ascii="Lato" w:eastAsia="inter" w:hAnsi="Lato" w:cs="inter"/>
          <w:color w:val="000000"/>
        </w:rPr>
        <w:t xml:space="preserve"> in a language familiar to clinicians and auditors to reduce the cognitive load driving administrative burden. By using this approach, evidence is clear and defensible.   </w:t>
      </w:r>
    </w:p>
    <w:p w14:paraId="3C7DC5EA" w14:textId="77777777" w:rsidR="00F322DE" w:rsidRPr="00550BCB" w:rsidRDefault="00F322DE" w:rsidP="00F322DE">
      <w:pPr>
        <w:numPr>
          <w:ilvl w:val="0"/>
          <w:numId w:val="7"/>
        </w:numPr>
        <w:spacing w:before="105" w:after="105"/>
        <w:rPr>
          <w:rFonts w:ascii="Lato" w:hAnsi="Lato"/>
        </w:rPr>
      </w:pPr>
      <w:r w:rsidRPr="008304CC">
        <w:rPr>
          <w:rFonts w:ascii="Lato" w:eastAsia="inter" w:hAnsi="Lato" w:cs="inter"/>
          <w:b/>
          <w:bCs/>
          <w:color w:val="000000"/>
        </w:rPr>
        <w:t xml:space="preserve">Misaligned incentives and unclear measurement. </w:t>
      </w:r>
      <w:r w:rsidRPr="00550BCB">
        <w:rPr>
          <w:rFonts w:ascii="Lato" w:eastAsia="inter" w:hAnsi="Lato" w:cs="inter"/>
          <w:color w:val="000000"/>
        </w:rPr>
        <w:t>Value</w:t>
      </w:r>
      <w:r w:rsidRPr="00550BCB">
        <w:rPr>
          <w:rFonts w:ascii="Cambria Math" w:eastAsia="inter" w:hAnsi="Cambria Math" w:cs="Cambria Math"/>
          <w:color w:val="000000"/>
        </w:rPr>
        <w:t>‑</w:t>
      </w:r>
      <w:r w:rsidRPr="00550BCB">
        <w:rPr>
          <w:rFonts w:ascii="Lato" w:eastAsia="inter" w:hAnsi="Lato" w:cs="inter"/>
          <w:color w:val="000000"/>
        </w:rPr>
        <w:t>based contracts increasingly emphasize digital quality, equity, and downside risk, but organizations lack standardized outcome and ROI frameworks to compare AI</w:t>
      </w:r>
      <w:r w:rsidRPr="00550BCB">
        <w:rPr>
          <w:rFonts w:ascii="Cambria Math" w:eastAsia="inter" w:hAnsi="Cambria Math" w:cs="Cambria Math"/>
          <w:color w:val="000000"/>
        </w:rPr>
        <w:t>‑</w:t>
      </w:r>
      <w:r w:rsidRPr="00550BCB">
        <w:rPr>
          <w:rFonts w:ascii="Lato" w:eastAsia="inter" w:hAnsi="Lato" w:cs="inter"/>
          <w:color w:val="000000"/>
        </w:rPr>
        <w:t>assisted versus human</w:t>
      </w:r>
      <w:r w:rsidRPr="00550BCB">
        <w:rPr>
          <w:rFonts w:ascii="Cambria Math" w:eastAsia="inter" w:hAnsi="Cambria Math" w:cs="Cambria Math"/>
          <w:color w:val="000000"/>
        </w:rPr>
        <w:t>‑</w:t>
      </w:r>
      <w:r w:rsidRPr="00550BCB">
        <w:rPr>
          <w:rFonts w:ascii="Lato" w:eastAsia="inter" w:hAnsi="Lato" w:cs="inter"/>
          <w:color w:val="000000"/>
        </w:rPr>
        <w:t>only workflows. This uncertainty slows investment and scale.</w:t>
      </w:r>
      <w:r>
        <w:rPr>
          <w:rFonts w:ascii="Lato" w:eastAsia="inter" w:hAnsi="Lato" w:cs="inter"/>
          <w:color w:val="000000"/>
        </w:rPr>
        <w:t xml:space="preserve"> By using incentive management solutions like our Care Gap Manager, value alignment streamlines the coordination between payer and provider to focus on patient outcomes leading to lower costs for all. </w:t>
      </w:r>
    </w:p>
    <w:p w14:paraId="401E6AB0" w14:textId="77777777" w:rsidR="00F322DE" w:rsidRPr="00550BCB" w:rsidRDefault="00F322DE" w:rsidP="00F322DE">
      <w:pPr>
        <w:numPr>
          <w:ilvl w:val="0"/>
          <w:numId w:val="7"/>
        </w:numPr>
        <w:spacing w:before="105" w:after="105"/>
        <w:rPr>
          <w:rFonts w:ascii="Lato" w:hAnsi="Lato"/>
        </w:rPr>
      </w:pPr>
      <w:commentRangeStart w:id="2"/>
      <w:r w:rsidRPr="008304CC">
        <w:rPr>
          <w:rFonts w:ascii="Lato" w:eastAsia="inter" w:hAnsi="Lato" w:cs="inter"/>
          <w:b/>
          <w:bCs/>
          <w:color w:val="000000"/>
        </w:rPr>
        <w:t xml:space="preserve">Workflow disruption and provider abrasion. </w:t>
      </w:r>
      <w:r w:rsidRPr="00550BCB">
        <w:rPr>
          <w:rFonts w:ascii="Lato" w:eastAsia="inter" w:hAnsi="Lato" w:cs="inter"/>
          <w:color w:val="000000"/>
        </w:rPr>
        <w:t>AI tools that require new portals, double documentation, or low</w:t>
      </w:r>
      <w:r w:rsidRPr="00550BCB">
        <w:rPr>
          <w:rFonts w:ascii="Cambria Math" w:eastAsia="inter" w:hAnsi="Cambria Math" w:cs="Cambria Math"/>
          <w:color w:val="000000"/>
        </w:rPr>
        <w:t>‑</w:t>
      </w:r>
      <w:r w:rsidRPr="00550BCB">
        <w:rPr>
          <w:rFonts w:ascii="Lato" w:eastAsia="inter" w:hAnsi="Lato" w:cs="inter"/>
          <w:color w:val="000000"/>
        </w:rPr>
        <w:t>precision suspect lists create extra work and “audit anxiety,” leading clinicians and coders to disengage even when underlying models are accurate.</w:t>
      </w:r>
      <w:r>
        <w:rPr>
          <w:rFonts w:ascii="Lato" w:eastAsia="inter" w:hAnsi="Lato" w:cs="inter"/>
          <w:color w:val="000000"/>
        </w:rPr>
        <w:t xml:space="preserve"> AI prediction and recommendation engines like our Hybrid AI, are built to support the placement of high value clinical next best actions in the right interface at the right time. EMRs must allow these tools into their ecosystems so that the richest and most reliable insight can drive the best patient outcome. </w:t>
      </w:r>
      <w:commentRangeEnd w:id="2"/>
      <w:r w:rsidRPr="00550BCB">
        <w:rPr>
          <w:rStyle w:val="CommentReference"/>
          <w:rFonts w:ascii="Lato" w:hAnsi="Lato"/>
          <w:sz w:val="21"/>
          <w:szCs w:val="22"/>
        </w:rPr>
        <w:commentReference w:id="2"/>
      </w:r>
    </w:p>
    <w:p w14:paraId="69EFC31E" w14:textId="77777777" w:rsidR="00F322DE" w:rsidRPr="00550BCB" w:rsidRDefault="00F322DE" w:rsidP="00F322DE">
      <w:pPr>
        <w:numPr>
          <w:ilvl w:val="0"/>
          <w:numId w:val="7"/>
        </w:numPr>
        <w:spacing w:before="105" w:after="105"/>
        <w:rPr>
          <w:rFonts w:ascii="Lato" w:hAnsi="Lato"/>
        </w:rPr>
      </w:pPr>
      <w:r w:rsidRPr="008304CC">
        <w:rPr>
          <w:rFonts w:ascii="Lato" w:eastAsia="inter" w:hAnsi="Lato" w:cs="inter"/>
          <w:b/>
          <w:bCs/>
          <w:color w:val="000000"/>
        </w:rPr>
        <w:t xml:space="preserve">Regulatory uncertainty and overlapping oversight. </w:t>
      </w:r>
      <w:r w:rsidRPr="00550BCB">
        <w:rPr>
          <w:rFonts w:ascii="Lato" w:eastAsia="inter" w:hAnsi="Lato" w:cs="inter"/>
          <w:color w:val="000000"/>
        </w:rPr>
        <w:t>Rapidly evolving rules around interoperability, PHI use, and expectations for transparency and safety create perceived legal and compliance risk, particularly for non</w:t>
      </w:r>
      <w:r w:rsidRPr="00550BCB">
        <w:rPr>
          <w:rFonts w:ascii="Cambria Math" w:eastAsia="inter" w:hAnsi="Cambria Math" w:cs="Cambria Math"/>
          <w:color w:val="000000"/>
        </w:rPr>
        <w:t>‑</w:t>
      </w:r>
      <w:r w:rsidRPr="00550BCB">
        <w:rPr>
          <w:rFonts w:ascii="Lato" w:eastAsia="inter" w:hAnsi="Lato" w:cs="inter"/>
          <w:color w:val="000000"/>
        </w:rPr>
        <w:t xml:space="preserve">device clinical AI that does not fit neatly into existing </w:t>
      </w:r>
      <w:r>
        <w:rPr>
          <w:rFonts w:ascii="Lato" w:eastAsia="inter" w:hAnsi="Lato" w:cs="inter"/>
          <w:color w:val="000000"/>
        </w:rPr>
        <w:t>FDA, CMS, HSS, and TEFCA</w:t>
      </w:r>
      <w:r w:rsidRPr="00550BCB">
        <w:rPr>
          <w:rFonts w:ascii="Lato" w:eastAsia="inter" w:hAnsi="Lato" w:cs="inter"/>
          <w:color w:val="000000"/>
        </w:rPr>
        <w:t xml:space="preserve"> paradigms.</w:t>
      </w:r>
    </w:p>
    <w:p w14:paraId="2E1D464B" w14:textId="77777777" w:rsidR="00F322DE" w:rsidRPr="00550BCB" w:rsidRDefault="00F322DE" w:rsidP="00F322DE">
      <w:pPr>
        <w:spacing w:after="210"/>
        <w:rPr>
          <w:rFonts w:ascii="Lato" w:hAnsi="Lato"/>
        </w:rPr>
      </w:pPr>
      <w:r>
        <w:rPr>
          <w:rFonts w:ascii="Lato" w:eastAsia="inter" w:hAnsi="Lato" w:cs="inter"/>
          <w:color w:val="000000"/>
        </w:rPr>
        <w:t xml:space="preserve">As noted above, the </w:t>
      </w:r>
      <w:r w:rsidRPr="00550BCB">
        <w:rPr>
          <w:rFonts w:ascii="Lato" w:eastAsia="inter" w:hAnsi="Lato" w:cs="inter"/>
          <w:color w:val="000000"/>
        </w:rPr>
        <w:t xml:space="preserve">Reveleer EVE </w:t>
      </w:r>
      <w:r>
        <w:rPr>
          <w:rFonts w:ascii="Lato" w:eastAsia="inter" w:hAnsi="Lato" w:cs="inter"/>
          <w:color w:val="000000"/>
        </w:rPr>
        <w:t xml:space="preserve">framework </w:t>
      </w:r>
      <w:r w:rsidRPr="00550BCB">
        <w:rPr>
          <w:rFonts w:ascii="Lato" w:eastAsia="inter" w:hAnsi="Lato" w:cs="inter"/>
          <w:color w:val="000000"/>
        </w:rPr>
        <w:t>—a predictive, explainable AI layer operating over a unified evidence foundation—is designed to mitigate these barriers, but they remain systemic obstacles to broader private</w:t>
      </w:r>
      <w:r w:rsidRPr="00550BCB">
        <w:rPr>
          <w:rFonts w:ascii="Cambria Math" w:eastAsia="inter" w:hAnsi="Cambria Math" w:cs="Cambria Math"/>
          <w:color w:val="000000"/>
        </w:rPr>
        <w:t>‑</w:t>
      </w:r>
      <w:r w:rsidRPr="00550BCB">
        <w:rPr>
          <w:rFonts w:ascii="Lato" w:eastAsia="inter" w:hAnsi="Lato" w:cs="inter"/>
          <w:color w:val="000000"/>
        </w:rPr>
        <w:t>sector innovation and adoption.</w:t>
      </w:r>
    </w:p>
    <w:p w14:paraId="341E7068" w14:textId="77777777" w:rsidR="00F322DE" w:rsidRPr="00550BCB" w:rsidRDefault="00F322DE" w:rsidP="00F322DE">
      <w:pPr>
        <w:spacing w:before="210" w:after="0"/>
        <w:rPr>
          <w:rFonts w:ascii="Lato" w:hAnsi="Lato"/>
        </w:rPr>
      </w:pPr>
      <w:r>
        <w:rPr>
          <w:noProof/>
        </w:rPr>
        <w:lastRenderedPageBreak/>
        <mc:AlternateContent>
          <mc:Choice Requires="wps">
            <w:drawing>
              <wp:inline distT="0" distB="0" distL="0" distR="0" wp14:anchorId="58C305A5" wp14:editId="4CBC63BB">
                <wp:extent cx="6038850" cy="635"/>
                <wp:effectExtent l="0" t="0" r="19050" b="24765"/>
                <wp:docPr id="209429631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FC66E0E" id="Rectangle 2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r>
        <w:rPr>
          <w:noProof/>
        </w:rPr>
        <mc:AlternateContent>
          <mc:Choice Requires="wps">
            <w:drawing>
              <wp:inline distT="0" distB="0" distL="0" distR="0" wp14:anchorId="724AE023" wp14:editId="3D858B70">
                <wp:extent cx="6038850" cy="635"/>
                <wp:effectExtent l="0" t="0" r="19050" b="24765"/>
                <wp:docPr id="146770430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54B4036" id="Rectangle 2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0ECB125C" w14:textId="77777777" w:rsidR="00F322DE" w:rsidRPr="00550BCB" w:rsidRDefault="00F322DE" w:rsidP="00F322DE">
      <w:pPr>
        <w:spacing w:before="315" w:after="105"/>
        <w:ind w:left="-30"/>
        <w:rPr>
          <w:rFonts w:ascii="Lato" w:hAnsi="Lato"/>
        </w:rPr>
      </w:pPr>
      <w:bookmarkStart w:id="3" w:name="bm_2_regulatory_payment_and_progr_e9e4a4"/>
      <w:r w:rsidRPr="00550BCB">
        <w:rPr>
          <w:rFonts w:ascii="Lato" w:eastAsia="inter" w:hAnsi="Lato" w:cs="inter"/>
          <w:b/>
          <w:color w:val="000000"/>
        </w:rPr>
        <w:t>2. Regulatory, payment, and programmatic changes HHS should prioritize</w:t>
      </w:r>
      <w:bookmarkEnd w:id="3"/>
    </w:p>
    <w:p w14:paraId="1F8C1F54" w14:textId="77777777" w:rsidR="00F322DE" w:rsidRPr="00550BCB" w:rsidRDefault="00F322DE" w:rsidP="00F322DE">
      <w:pPr>
        <w:spacing w:after="210"/>
        <w:rPr>
          <w:rFonts w:ascii="Lato" w:hAnsi="Lato"/>
        </w:rPr>
      </w:pPr>
      <w:r w:rsidRPr="00550BCB">
        <w:rPr>
          <w:rFonts w:ascii="Lato" w:eastAsia="inter" w:hAnsi="Lato" w:cs="inter"/>
          <w:color w:val="000000"/>
        </w:rPr>
        <w:t>Reveleer recommends that HHS prioritize the following changes to accelerate effective, safe AI use in clinical care, especially for non</w:t>
      </w:r>
      <w:r w:rsidRPr="00550BCB">
        <w:rPr>
          <w:rFonts w:ascii="Cambria Math" w:eastAsia="inter" w:hAnsi="Cambria Math" w:cs="Cambria Math"/>
          <w:color w:val="000000"/>
        </w:rPr>
        <w:t>‑</w:t>
      </w:r>
      <w:r w:rsidRPr="00550BCB">
        <w:rPr>
          <w:rFonts w:ascii="Lato" w:eastAsia="inter" w:hAnsi="Lato" w:cs="inter"/>
          <w:color w:val="000000"/>
        </w:rPr>
        <w:t>device AI used in risk adjustment and quality workflows.</w:t>
      </w:r>
    </w:p>
    <w:p w14:paraId="5D9A8D11" w14:textId="77777777" w:rsidR="00F322DE" w:rsidRPr="00550BCB" w:rsidRDefault="00F322DE" w:rsidP="00F322DE">
      <w:pPr>
        <w:spacing w:before="315" w:after="105"/>
        <w:ind w:left="-30"/>
        <w:rPr>
          <w:rFonts w:ascii="Lato" w:hAnsi="Lato"/>
        </w:rPr>
      </w:pPr>
      <w:bookmarkStart w:id="4" w:name="bm_2_1_codify_expectations_for_ex_db0056"/>
      <w:r w:rsidRPr="00550BCB">
        <w:rPr>
          <w:rFonts w:ascii="Lato" w:eastAsia="inter" w:hAnsi="Lato" w:cs="inter"/>
          <w:b/>
          <w:color w:val="000000"/>
        </w:rPr>
        <w:t>2.1. Codify expectations for explainable, evidence</w:t>
      </w:r>
      <w:r w:rsidRPr="00550BCB">
        <w:rPr>
          <w:rFonts w:ascii="Cambria Math" w:eastAsia="inter" w:hAnsi="Cambria Math" w:cs="Cambria Math"/>
          <w:b/>
          <w:color w:val="000000"/>
        </w:rPr>
        <w:t>‑</w:t>
      </w:r>
      <w:r w:rsidRPr="00550BCB">
        <w:rPr>
          <w:rFonts w:ascii="Lato" w:eastAsia="inter" w:hAnsi="Lato" w:cs="inter"/>
          <w:b/>
          <w:color w:val="000000"/>
        </w:rPr>
        <w:t>linked AI</w:t>
      </w:r>
      <w:bookmarkEnd w:id="4"/>
    </w:p>
    <w:p w14:paraId="0D229DD2" w14:textId="77777777" w:rsidR="00F322DE" w:rsidRPr="00550BCB" w:rsidRDefault="00F322DE" w:rsidP="00F322DE">
      <w:pPr>
        <w:numPr>
          <w:ilvl w:val="0"/>
          <w:numId w:val="8"/>
        </w:numPr>
        <w:spacing w:before="105" w:after="105"/>
        <w:rPr>
          <w:rFonts w:ascii="Lato" w:hAnsi="Lato"/>
        </w:rPr>
      </w:pPr>
      <w:r w:rsidRPr="00550BCB">
        <w:rPr>
          <w:rFonts w:ascii="Lato" w:eastAsia="inter" w:hAnsi="Lato" w:cs="inter"/>
          <w:color w:val="000000"/>
        </w:rPr>
        <w:t xml:space="preserve">Establish </w:t>
      </w:r>
      <w:r>
        <w:rPr>
          <w:rFonts w:ascii="Lato" w:eastAsia="inter" w:hAnsi="Lato" w:cs="inter"/>
          <w:color w:val="000000"/>
        </w:rPr>
        <w:t>industry-wide</w:t>
      </w:r>
      <w:r w:rsidRPr="00550BCB">
        <w:rPr>
          <w:rFonts w:ascii="Lato" w:eastAsia="inter" w:hAnsi="Lato" w:cs="inter"/>
          <w:color w:val="000000"/>
        </w:rPr>
        <w:t xml:space="preserve"> guidance that clinical AI used in coding, quality measurement, and decision support must provide traceable links from each recommendation back to specific clinical evidence (e.g., note, lab, report) and maintain reproducible audit trails.</w:t>
      </w:r>
    </w:p>
    <w:p w14:paraId="040D3033" w14:textId="77777777" w:rsidR="00F322DE" w:rsidRPr="00550BCB" w:rsidRDefault="00F322DE" w:rsidP="00F322DE">
      <w:pPr>
        <w:numPr>
          <w:ilvl w:val="0"/>
          <w:numId w:val="8"/>
        </w:numPr>
        <w:spacing w:before="105" w:after="105"/>
        <w:rPr>
          <w:rFonts w:ascii="Lato" w:hAnsi="Lato"/>
        </w:rPr>
      </w:pPr>
      <w:r w:rsidRPr="00550BCB">
        <w:rPr>
          <w:rFonts w:ascii="Lato" w:eastAsia="inter" w:hAnsi="Lato" w:cs="inter"/>
          <w:color w:val="000000"/>
        </w:rPr>
        <w:t xml:space="preserve">Encourage architectures that explicitly separate evidence extraction (which may use generative or agentic techniques) from deterministic clinical reasoning </w:t>
      </w:r>
      <w:r>
        <w:rPr>
          <w:rFonts w:ascii="Lato" w:eastAsia="inter" w:hAnsi="Lato" w:cs="inter"/>
          <w:color w:val="000000"/>
        </w:rPr>
        <w:t xml:space="preserve">to establish a clear boundary separating </w:t>
      </w:r>
      <w:r w:rsidRPr="00550BCB">
        <w:rPr>
          <w:rFonts w:ascii="Lato" w:eastAsia="inter" w:hAnsi="Lato" w:cs="inter"/>
          <w:color w:val="000000"/>
        </w:rPr>
        <w:t xml:space="preserve">AI </w:t>
      </w:r>
      <w:r>
        <w:rPr>
          <w:rFonts w:ascii="Lato" w:eastAsia="inter" w:hAnsi="Lato" w:cs="inter"/>
          <w:color w:val="000000"/>
        </w:rPr>
        <w:t xml:space="preserve">from </w:t>
      </w:r>
      <w:r w:rsidRPr="00550BCB">
        <w:rPr>
          <w:rFonts w:ascii="Lato" w:eastAsia="inter" w:hAnsi="Lato" w:cs="inter"/>
          <w:color w:val="000000"/>
        </w:rPr>
        <w:t>diagnoses</w:t>
      </w:r>
      <w:r>
        <w:rPr>
          <w:rFonts w:ascii="Lato" w:eastAsia="inter" w:hAnsi="Lato" w:cs="inter"/>
          <w:color w:val="000000"/>
        </w:rPr>
        <w:t xml:space="preserve"> generation</w:t>
      </w:r>
      <w:r w:rsidRPr="00550BCB">
        <w:rPr>
          <w:rFonts w:ascii="Lato" w:eastAsia="inter" w:hAnsi="Lato" w:cs="inter"/>
          <w:color w:val="000000"/>
        </w:rPr>
        <w:t xml:space="preserve"> or </w:t>
      </w:r>
      <w:r>
        <w:rPr>
          <w:rFonts w:ascii="Lato" w:eastAsia="inter" w:hAnsi="Lato" w:cs="inter"/>
          <w:color w:val="000000"/>
        </w:rPr>
        <w:t xml:space="preserve">authoritative </w:t>
      </w:r>
      <w:r w:rsidRPr="00550BCB">
        <w:rPr>
          <w:rFonts w:ascii="Lato" w:eastAsia="inter" w:hAnsi="Lato" w:cs="inter"/>
          <w:color w:val="000000"/>
        </w:rPr>
        <w:t xml:space="preserve">narrative content but instead organizes existing evidence </w:t>
      </w:r>
      <w:r>
        <w:rPr>
          <w:rFonts w:ascii="Lato" w:eastAsia="inter" w:hAnsi="Lato" w:cs="inter"/>
          <w:color w:val="000000"/>
        </w:rPr>
        <w:t xml:space="preserve">and suggestions </w:t>
      </w:r>
      <w:r w:rsidRPr="00550BCB">
        <w:rPr>
          <w:rFonts w:ascii="Lato" w:eastAsia="inter" w:hAnsi="Lato" w:cs="inter"/>
          <w:color w:val="000000"/>
        </w:rPr>
        <w:t>for human review. This is core to Reveleer’s design of EVE</w:t>
      </w:r>
      <w:r>
        <w:rPr>
          <w:rFonts w:ascii="Lato" w:eastAsia="inter" w:hAnsi="Lato" w:cs="inter"/>
          <w:color w:val="000000"/>
        </w:rPr>
        <w:t xml:space="preserve"> Hybrid AI</w:t>
      </w:r>
      <w:r w:rsidRPr="00550BCB">
        <w:rPr>
          <w:rFonts w:ascii="Lato" w:eastAsia="inter" w:hAnsi="Lato" w:cs="inter"/>
          <w:color w:val="000000"/>
        </w:rPr>
        <w:t xml:space="preserve">, which </w:t>
      </w:r>
      <w:r>
        <w:rPr>
          <w:rFonts w:ascii="Lato" w:eastAsia="inter" w:hAnsi="Lato" w:cs="inter"/>
          <w:color w:val="000000"/>
        </w:rPr>
        <w:t>combines two sequenced services—</w:t>
      </w:r>
      <w:r w:rsidRPr="00550BCB">
        <w:rPr>
          <w:rFonts w:ascii="Lato" w:eastAsia="inter" w:hAnsi="Lato" w:cs="inter"/>
          <w:color w:val="000000"/>
        </w:rPr>
        <w:t xml:space="preserve">agentic evidence extraction </w:t>
      </w:r>
      <w:proofErr w:type="gramStart"/>
      <w:r>
        <w:rPr>
          <w:rFonts w:ascii="Lato" w:eastAsia="inter" w:hAnsi="Lato" w:cs="inter"/>
          <w:color w:val="000000"/>
        </w:rPr>
        <w:t xml:space="preserve">and </w:t>
      </w:r>
      <w:r w:rsidRPr="00550BCB">
        <w:rPr>
          <w:rFonts w:ascii="Lato" w:eastAsia="inter" w:hAnsi="Lato" w:cs="inter"/>
          <w:color w:val="000000"/>
        </w:rPr>
        <w:t xml:space="preserve"> clinician</w:t>
      </w:r>
      <w:proofErr w:type="gramEnd"/>
      <w:r w:rsidRPr="00550BCB">
        <w:rPr>
          <w:rFonts w:ascii="Cambria Math" w:eastAsia="inter" w:hAnsi="Cambria Math" w:cs="Cambria Math"/>
          <w:color w:val="000000"/>
        </w:rPr>
        <w:t>‑</w:t>
      </w:r>
      <w:r w:rsidRPr="00550BCB">
        <w:rPr>
          <w:rFonts w:ascii="Lato" w:eastAsia="inter" w:hAnsi="Lato" w:cs="inter"/>
          <w:color w:val="000000"/>
        </w:rPr>
        <w:t>authored rules</w:t>
      </w:r>
      <w:r>
        <w:rPr>
          <w:rFonts w:ascii="Lato" w:eastAsia="inter" w:hAnsi="Lato" w:cs="inter"/>
          <w:color w:val="000000"/>
        </w:rPr>
        <w:t xml:space="preserve"> in a human managed clinical corpus—</w:t>
      </w:r>
      <w:r w:rsidRPr="00550BCB">
        <w:rPr>
          <w:rFonts w:ascii="Lato" w:eastAsia="inter" w:hAnsi="Lato" w:cs="inter"/>
          <w:color w:val="000000"/>
        </w:rPr>
        <w:t>to produce audit</w:t>
      </w:r>
      <w:r w:rsidRPr="00550BCB">
        <w:rPr>
          <w:rFonts w:ascii="Cambria Math" w:eastAsia="inter" w:hAnsi="Cambria Math" w:cs="Cambria Math"/>
          <w:color w:val="000000"/>
        </w:rPr>
        <w:t>‑</w:t>
      </w:r>
      <w:r w:rsidRPr="00550BCB">
        <w:rPr>
          <w:rFonts w:ascii="Lato" w:eastAsia="inter" w:hAnsi="Lato" w:cs="inter"/>
          <w:color w:val="000000"/>
        </w:rPr>
        <w:t>ready suspects.</w:t>
      </w:r>
    </w:p>
    <w:p w14:paraId="08FEBCC4" w14:textId="77777777" w:rsidR="00F322DE" w:rsidRPr="00550BCB" w:rsidRDefault="00F322DE" w:rsidP="00F322DE">
      <w:pPr>
        <w:spacing w:after="210"/>
        <w:rPr>
          <w:rFonts w:ascii="Lato" w:hAnsi="Lato"/>
        </w:rPr>
      </w:pPr>
      <w:r w:rsidRPr="00550BCB">
        <w:rPr>
          <w:rFonts w:ascii="Lato" w:eastAsia="inter" w:hAnsi="Lato" w:cs="inter"/>
          <w:color w:val="000000"/>
        </w:rPr>
        <w:t>Possible regulatory anchors (illustrative):</w:t>
      </w:r>
    </w:p>
    <w:p w14:paraId="2F9C736F" w14:textId="77777777" w:rsidR="00F322DE" w:rsidRPr="00550BCB" w:rsidRDefault="00F322DE" w:rsidP="00F322DE">
      <w:pPr>
        <w:numPr>
          <w:ilvl w:val="0"/>
          <w:numId w:val="9"/>
        </w:numPr>
        <w:spacing w:before="105" w:after="105"/>
        <w:rPr>
          <w:rFonts w:ascii="Lato" w:hAnsi="Lato"/>
        </w:rPr>
      </w:pPr>
      <w:r w:rsidRPr="00550BCB">
        <w:rPr>
          <w:rFonts w:ascii="Lato" w:eastAsia="inter" w:hAnsi="Lato" w:cs="inter"/>
          <w:color w:val="000000"/>
        </w:rPr>
        <w:t>Under 42 CFR part 422 (Medicare Advantage) and 42 CFR part 438 (Medicaid managed care), clarify that AI</w:t>
      </w:r>
      <w:r w:rsidRPr="00550BCB">
        <w:rPr>
          <w:rFonts w:ascii="Cambria Math" w:eastAsia="inter" w:hAnsi="Cambria Math" w:cs="Cambria Math"/>
          <w:color w:val="000000"/>
        </w:rPr>
        <w:t>‑</w:t>
      </w:r>
      <w:r w:rsidRPr="00550BCB">
        <w:rPr>
          <w:rFonts w:ascii="Lato" w:eastAsia="inter" w:hAnsi="Lato" w:cs="inter"/>
          <w:color w:val="000000"/>
        </w:rPr>
        <w:t>assisted risk adjustment and quality workflows are acceptable when diagnoses and quality elements meet existing documentation standards, maintain traceability to source records, and are validated by human experts.</w:t>
      </w:r>
    </w:p>
    <w:p w14:paraId="20054710" w14:textId="77777777" w:rsidR="00F322DE" w:rsidRPr="00550BCB" w:rsidRDefault="00F322DE" w:rsidP="00F322DE">
      <w:pPr>
        <w:numPr>
          <w:ilvl w:val="0"/>
          <w:numId w:val="9"/>
        </w:numPr>
        <w:spacing w:before="105" w:after="105"/>
        <w:rPr>
          <w:rFonts w:ascii="Lato" w:hAnsi="Lato"/>
        </w:rPr>
      </w:pPr>
      <w:r w:rsidRPr="00550BCB">
        <w:rPr>
          <w:rFonts w:ascii="Lato" w:eastAsia="inter" w:hAnsi="Lato" w:cs="inter"/>
          <w:color w:val="000000"/>
        </w:rPr>
        <w:t>Through ONC’s health IT rulemaking, align deregulatory steps on certification with explicit expectations around standards</w:t>
      </w:r>
      <w:r w:rsidRPr="00550BCB">
        <w:rPr>
          <w:rFonts w:ascii="Cambria Math" w:eastAsia="inter" w:hAnsi="Cambria Math" w:cs="Cambria Math"/>
          <w:color w:val="000000"/>
        </w:rPr>
        <w:t>‑</w:t>
      </w:r>
      <w:r w:rsidRPr="00550BCB">
        <w:rPr>
          <w:rFonts w:ascii="Lato" w:eastAsia="inter" w:hAnsi="Lato" w:cs="inter"/>
          <w:color w:val="000000"/>
        </w:rPr>
        <w:t>based APIs, provenance metadata, and logging sufficient to support explainable AI.</w:t>
      </w:r>
    </w:p>
    <w:p w14:paraId="0583ED35" w14:textId="77777777" w:rsidR="00F322DE" w:rsidRPr="00550BCB" w:rsidRDefault="00F322DE" w:rsidP="00F322DE">
      <w:pPr>
        <w:spacing w:before="315" w:after="105"/>
        <w:ind w:left="-30"/>
        <w:rPr>
          <w:rFonts w:ascii="Lato" w:hAnsi="Lato"/>
        </w:rPr>
      </w:pPr>
      <w:bookmarkStart w:id="5" w:name="bm_2_2_align_reimbursement_and_pr_270b40"/>
      <w:r w:rsidRPr="00550BCB">
        <w:rPr>
          <w:rFonts w:ascii="Lato" w:eastAsia="inter" w:hAnsi="Lato" w:cs="inter"/>
          <w:b/>
          <w:color w:val="000000"/>
        </w:rPr>
        <w:lastRenderedPageBreak/>
        <w:t>2.2. Align reimbursement and program design with AI</w:t>
      </w:r>
      <w:r w:rsidRPr="00550BCB">
        <w:rPr>
          <w:rFonts w:ascii="Cambria Math" w:eastAsia="inter" w:hAnsi="Cambria Math" w:cs="Cambria Math"/>
          <w:b/>
          <w:color w:val="000000"/>
        </w:rPr>
        <w:t>‑</w:t>
      </w:r>
      <w:r w:rsidRPr="00550BCB">
        <w:rPr>
          <w:rFonts w:ascii="Lato" w:eastAsia="inter" w:hAnsi="Lato" w:cs="inter"/>
          <w:b/>
          <w:color w:val="000000"/>
        </w:rPr>
        <w:t>enabled workflows</w:t>
      </w:r>
      <w:bookmarkEnd w:id="5"/>
    </w:p>
    <w:p w14:paraId="312FCD2B" w14:textId="77777777" w:rsidR="00F322DE" w:rsidRPr="00550BCB" w:rsidRDefault="00F322DE" w:rsidP="00F322DE">
      <w:pPr>
        <w:numPr>
          <w:ilvl w:val="0"/>
          <w:numId w:val="10"/>
        </w:numPr>
        <w:spacing w:before="105" w:after="105"/>
        <w:rPr>
          <w:rFonts w:ascii="Lato" w:hAnsi="Lato"/>
        </w:rPr>
      </w:pPr>
      <w:r w:rsidRPr="00550BCB">
        <w:rPr>
          <w:rFonts w:ascii="Lato" w:eastAsia="inter" w:hAnsi="Lato" w:cs="inter"/>
          <w:color w:val="000000"/>
        </w:rPr>
        <w:t>Recognize AI</w:t>
      </w:r>
      <w:r w:rsidRPr="00550BCB">
        <w:rPr>
          <w:rFonts w:ascii="Cambria Math" w:eastAsia="inter" w:hAnsi="Cambria Math" w:cs="Cambria Math"/>
          <w:color w:val="000000"/>
        </w:rPr>
        <w:t>‑</w:t>
      </w:r>
      <w:r w:rsidRPr="00550BCB">
        <w:rPr>
          <w:rFonts w:ascii="Lato" w:eastAsia="inter" w:hAnsi="Lato" w:cs="inter"/>
          <w:color w:val="000000"/>
        </w:rPr>
        <w:t>assisted digital abstraction, prospective risk suspecting, and real</w:t>
      </w:r>
      <w:r w:rsidRPr="00550BCB">
        <w:rPr>
          <w:rFonts w:ascii="Cambria Math" w:eastAsia="inter" w:hAnsi="Cambria Math" w:cs="Cambria Math"/>
          <w:color w:val="000000"/>
        </w:rPr>
        <w:t>‑</w:t>
      </w:r>
      <w:r w:rsidRPr="00550BCB">
        <w:rPr>
          <w:rFonts w:ascii="Lato" w:eastAsia="inter" w:hAnsi="Lato" w:cs="inter"/>
          <w:color w:val="000000"/>
        </w:rPr>
        <w:t xml:space="preserve">time quality gap closure as acceptable methods of documentation and reporting under CMS quality programs (e.g., </w:t>
      </w:r>
      <w:proofErr w:type="spellStart"/>
      <w:r w:rsidRPr="00550BCB">
        <w:rPr>
          <w:rFonts w:ascii="Lato" w:eastAsia="inter" w:hAnsi="Lato" w:cs="inter"/>
          <w:color w:val="000000"/>
        </w:rPr>
        <w:t>eCQMs</w:t>
      </w:r>
      <w:proofErr w:type="spellEnd"/>
      <w:r w:rsidRPr="00550BCB">
        <w:rPr>
          <w:rFonts w:ascii="Lato" w:eastAsia="inter" w:hAnsi="Lato" w:cs="inter"/>
          <w:color w:val="000000"/>
        </w:rPr>
        <w:t>, Star Ratings, HEDIS</w:t>
      </w:r>
      <w:r w:rsidRPr="00550BCB">
        <w:rPr>
          <w:rFonts w:ascii="Cambria Math" w:eastAsia="inter" w:hAnsi="Cambria Math" w:cs="Cambria Math"/>
          <w:color w:val="000000"/>
        </w:rPr>
        <w:t>‑</w:t>
      </w:r>
      <w:r w:rsidRPr="00550BCB">
        <w:rPr>
          <w:rFonts w:ascii="Lato" w:eastAsia="inter" w:hAnsi="Lato" w:cs="inter"/>
          <w:color w:val="000000"/>
        </w:rPr>
        <w:t>aligned measures), so long as evidence and audit standards are met.</w:t>
      </w:r>
    </w:p>
    <w:p w14:paraId="11DEA5F8" w14:textId="77777777" w:rsidR="00F322DE" w:rsidRPr="00550BCB" w:rsidRDefault="00F322DE" w:rsidP="00F322DE">
      <w:pPr>
        <w:numPr>
          <w:ilvl w:val="0"/>
          <w:numId w:val="10"/>
        </w:numPr>
        <w:spacing w:before="105" w:after="105"/>
        <w:rPr>
          <w:rFonts w:ascii="Lato" w:hAnsi="Lato"/>
        </w:rPr>
      </w:pPr>
      <w:r w:rsidRPr="00550BCB">
        <w:rPr>
          <w:rFonts w:ascii="Lato" w:eastAsia="inter" w:hAnsi="Lato" w:cs="inter"/>
          <w:color w:val="000000"/>
        </w:rPr>
        <w:t>Create value</w:t>
      </w:r>
      <w:r w:rsidRPr="00550BCB">
        <w:rPr>
          <w:rFonts w:ascii="Cambria Math" w:eastAsia="inter" w:hAnsi="Cambria Math" w:cs="Cambria Math"/>
          <w:color w:val="000000"/>
        </w:rPr>
        <w:t>‑</w:t>
      </w:r>
      <w:r w:rsidRPr="00550BCB">
        <w:rPr>
          <w:rFonts w:ascii="Lato" w:eastAsia="inter" w:hAnsi="Lato" w:cs="inter"/>
          <w:color w:val="000000"/>
        </w:rPr>
        <w:t>based payment model options (e.g., new Medicare Advantage and ACO model tests through CMMI) that explicitly reward investment in AI</w:t>
      </w:r>
      <w:r w:rsidRPr="00550BCB">
        <w:rPr>
          <w:rFonts w:ascii="Cambria Math" w:eastAsia="inter" w:hAnsi="Cambria Math" w:cs="Cambria Math"/>
          <w:color w:val="000000"/>
        </w:rPr>
        <w:t>‑</w:t>
      </w:r>
      <w:r w:rsidRPr="00550BCB">
        <w:rPr>
          <w:rFonts w:ascii="Lato" w:eastAsia="inter" w:hAnsi="Lato" w:cs="inter"/>
          <w:color w:val="000000"/>
        </w:rPr>
        <w:t>enabled evidence layers and prospective risk adjustment—rather than only retrospective chart review—by linking shared savings or bonuses to improvements in risk accuracy, quality performance, and avoidable utilization attributable to AI</w:t>
      </w:r>
      <w:r w:rsidRPr="00550BCB">
        <w:rPr>
          <w:rFonts w:ascii="Cambria Math" w:eastAsia="inter" w:hAnsi="Cambria Math" w:cs="Cambria Math"/>
          <w:color w:val="000000"/>
        </w:rPr>
        <w:t>‑</w:t>
      </w:r>
      <w:r w:rsidRPr="00550BCB">
        <w:rPr>
          <w:rFonts w:ascii="Lato" w:eastAsia="inter" w:hAnsi="Lato" w:cs="inter"/>
          <w:color w:val="000000"/>
        </w:rPr>
        <w:t>enabled workflows.</w:t>
      </w:r>
      <w:r>
        <w:rPr>
          <w:rFonts w:ascii="Lato" w:eastAsia="inter" w:hAnsi="Lato" w:cs="inter"/>
          <w:color w:val="000000"/>
        </w:rPr>
        <w:t xml:space="preserve"> Then manage those incentives through certified VBC incentive management applications like Reveleer Care Gap Manager which is designed specifically to guide providers and plans through annual VBC programs to ensure both parties understand and agree on the program performance and outcome each year. </w:t>
      </w:r>
    </w:p>
    <w:p w14:paraId="2591C92D" w14:textId="77777777" w:rsidR="00F322DE" w:rsidRPr="00550BCB" w:rsidRDefault="00F322DE" w:rsidP="00F322DE">
      <w:pPr>
        <w:spacing w:after="210"/>
        <w:rPr>
          <w:rFonts w:ascii="Lato" w:hAnsi="Lato"/>
        </w:rPr>
      </w:pPr>
      <w:r w:rsidRPr="00550BCB">
        <w:rPr>
          <w:rFonts w:ascii="Lato" w:eastAsia="inter" w:hAnsi="Lato" w:cs="inter"/>
          <w:color w:val="000000"/>
        </w:rPr>
        <w:t>Specific references (non</w:t>
      </w:r>
      <w:r w:rsidRPr="00550BCB">
        <w:rPr>
          <w:rFonts w:ascii="Cambria Math" w:eastAsia="inter" w:hAnsi="Cambria Math" w:cs="Cambria Math"/>
          <w:color w:val="000000"/>
        </w:rPr>
        <w:t>‑</w:t>
      </w:r>
      <w:r w:rsidRPr="00550BCB">
        <w:rPr>
          <w:rFonts w:ascii="Lato" w:eastAsia="inter" w:hAnsi="Lato" w:cs="inter"/>
          <w:color w:val="000000"/>
        </w:rPr>
        <w:t>exhaustive and illustrative):</w:t>
      </w:r>
    </w:p>
    <w:p w14:paraId="64DF9205" w14:textId="77777777" w:rsidR="00F322DE" w:rsidRPr="00550BCB" w:rsidRDefault="00F322DE" w:rsidP="00F322DE">
      <w:pPr>
        <w:numPr>
          <w:ilvl w:val="0"/>
          <w:numId w:val="11"/>
        </w:numPr>
        <w:spacing w:before="105" w:after="105"/>
        <w:rPr>
          <w:rFonts w:ascii="Lato" w:hAnsi="Lato"/>
        </w:rPr>
      </w:pPr>
      <w:r w:rsidRPr="00550BCB">
        <w:rPr>
          <w:rFonts w:ascii="Lato" w:eastAsia="inter" w:hAnsi="Lato" w:cs="inter"/>
          <w:color w:val="000000"/>
        </w:rPr>
        <w:t>42 CFR part 422 Subpart G (Payments to Medicare Advantage Organizations): clarify that AI</w:t>
      </w:r>
      <w:r w:rsidRPr="00550BCB">
        <w:rPr>
          <w:rFonts w:ascii="Cambria Math" w:eastAsia="inter" w:hAnsi="Cambria Math" w:cs="Cambria Math"/>
          <w:color w:val="000000"/>
        </w:rPr>
        <w:t>‑</w:t>
      </w:r>
      <w:r w:rsidRPr="00550BCB">
        <w:rPr>
          <w:rFonts w:ascii="Lato" w:eastAsia="inter" w:hAnsi="Lato" w:cs="inter"/>
          <w:color w:val="000000"/>
        </w:rPr>
        <w:t>assisted coding and suspecting are permissible when diagnoses conform to existing medical record documentation rules and remain subject to RADV and other audit requirements.</w:t>
      </w:r>
    </w:p>
    <w:p w14:paraId="6FF1BF60" w14:textId="77777777" w:rsidR="00F322DE" w:rsidRPr="00550BCB" w:rsidRDefault="00F322DE" w:rsidP="00F322DE">
      <w:pPr>
        <w:numPr>
          <w:ilvl w:val="0"/>
          <w:numId w:val="11"/>
        </w:numPr>
        <w:spacing w:before="105" w:after="105"/>
        <w:rPr>
          <w:rFonts w:ascii="Lato" w:hAnsi="Lato"/>
        </w:rPr>
      </w:pPr>
      <w:r w:rsidRPr="00550BCB">
        <w:rPr>
          <w:rFonts w:ascii="Lato" w:eastAsia="inter" w:hAnsi="Lato" w:cs="inter"/>
          <w:color w:val="000000"/>
        </w:rPr>
        <w:t>42 CFR parts 412 and 413: acknowledge AI</w:t>
      </w:r>
      <w:r w:rsidRPr="00550BCB">
        <w:rPr>
          <w:rFonts w:ascii="Cambria Math" w:eastAsia="inter" w:hAnsi="Cambria Math" w:cs="Cambria Math"/>
          <w:color w:val="000000"/>
        </w:rPr>
        <w:t>‑</w:t>
      </w:r>
      <w:r w:rsidRPr="00550BCB">
        <w:rPr>
          <w:rFonts w:ascii="Lato" w:eastAsia="inter" w:hAnsi="Lato" w:cs="inter"/>
          <w:color w:val="000000"/>
        </w:rPr>
        <w:t>enabled documentation support as a form of clinical decision support and workflow optimization, without treating these tools as autonomous decision makers.</w:t>
      </w:r>
    </w:p>
    <w:p w14:paraId="2847C5DB" w14:textId="77777777" w:rsidR="00F322DE" w:rsidRPr="00550BCB" w:rsidRDefault="00F322DE" w:rsidP="00F322DE">
      <w:pPr>
        <w:spacing w:before="315" w:after="105"/>
        <w:ind w:left="-30"/>
        <w:rPr>
          <w:rFonts w:ascii="Lato" w:hAnsi="Lato"/>
        </w:rPr>
      </w:pPr>
      <w:bookmarkStart w:id="6" w:name="bm_2_3_strengthen_but_simplify_in_83f87c"/>
      <w:r w:rsidRPr="00550BCB">
        <w:rPr>
          <w:rFonts w:ascii="Lato" w:eastAsia="inter" w:hAnsi="Lato" w:cs="inter"/>
          <w:b/>
          <w:color w:val="000000"/>
        </w:rPr>
        <w:t>2.3. Strengthen, but simplify, interoperability</w:t>
      </w:r>
      <w:bookmarkEnd w:id="6"/>
    </w:p>
    <w:p w14:paraId="647E1F53" w14:textId="77777777" w:rsidR="00F322DE" w:rsidRPr="00550BCB" w:rsidRDefault="00F322DE" w:rsidP="00F322DE">
      <w:pPr>
        <w:numPr>
          <w:ilvl w:val="0"/>
          <w:numId w:val="12"/>
        </w:numPr>
        <w:spacing w:before="105" w:after="105"/>
        <w:rPr>
          <w:rFonts w:ascii="Lato" w:hAnsi="Lato"/>
        </w:rPr>
      </w:pPr>
      <w:r w:rsidRPr="00550BCB">
        <w:rPr>
          <w:rFonts w:ascii="Lato" w:eastAsia="inter" w:hAnsi="Lato" w:cs="inter"/>
          <w:color w:val="000000"/>
        </w:rPr>
        <w:t>Maintain and refine requirements that payers and providers expose standardized APIs (e.g., FHIR</w:t>
      </w:r>
      <w:r w:rsidRPr="00550BCB">
        <w:rPr>
          <w:rFonts w:ascii="Cambria Math" w:eastAsia="inter" w:hAnsi="Cambria Math" w:cs="Cambria Math"/>
          <w:color w:val="000000"/>
        </w:rPr>
        <w:t>‑</w:t>
      </w:r>
      <w:r w:rsidRPr="00550BCB">
        <w:rPr>
          <w:rFonts w:ascii="Lato" w:eastAsia="inter" w:hAnsi="Lato" w:cs="inter"/>
          <w:color w:val="000000"/>
        </w:rPr>
        <w:t xml:space="preserve">based patient access and provider directory APIs under CMS Interoperability and Patient Access rules) while avoiding overly prescriptive </w:t>
      </w:r>
      <w:r w:rsidRPr="00550BCB">
        <w:rPr>
          <w:rFonts w:ascii="Lato" w:eastAsia="inter" w:hAnsi="Lato" w:cs="inter"/>
          <w:color w:val="000000"/>
        </w:rPr>
        <w:lastRenderedPageBreak/>
        <w:t>certification that impedes innovation. Emphasize outcome</w:t>
      </w:r>
      <w:r w:rsidRPr="00550BCB">
        <w:rPr>
          <w:rFonts w:ascii="Cambria Math" w:eastAsia="inter" w:hAnsi="Cambria Math" w:cs="Cambria Math"/>
          <w:color w:val="000000"/>
        </w:rPr>
        <w:t>‑</w:t>
      </w:r>
      <w:r w:rsidRPr="00550BCB">
        <w:rPr>
          <w:rFonts w:ascii="Lato" w:eastAsia="inter" w:hAnsi="Lato" w:cs="inter"/>
          <w:color w:val="000000"/>
        </w:rPr>
        <w:t>oriented metrics such as latency, uptime, and data completeness that directly enable safe AI.</w:t>
      </w:r>
    </w:p>
    <w:p w14:paraId="558498E7" w14:textId="77777777" w:rsidR="00F322DE" w:rsidRPr="00BD7D63" w:rsidRDefault="00F322DE" w:rsidP="00F322DE">
      <w:pPr>
        <w:numPr>
          <w:ilvl w:val="0"/>
          <w:numId w:val="12"/>
        </w:numPr>
        <w:spacing w:before="105" w:after="105"/>
        <w:rPr>
          <w:rFonts w:ascii="Lato" w:hAnsi="Lato"/>
        </w:rPr>
      </w:pPr>
      <w:r w:rsidRPr="00550BCB">
        <w:rPr>
          <w:rFonts w:ascii="Lato" w:eastAsia="inter" w:hAnsi="Lato" w:cs="inter"/>
          <w:color w:val="000000"/>
        </w:rPr>
        <w:t>Encourage payer and provider adoption of interoperable evidence layers that support reuse of curated clinical data across risk, quality, and care management programs, not just passive “warehousing.”</w:t>
      </w:r>
    </w:p>
    <w:p w14:paraId="5AEAC962" w14:textId="77777777" w:rsidR="00F322DE" w:rsidRPr="00550BCB" w:rsidRDefault="00F322DE" w:rsidP="00F322DE">
      <w:pPr>
        <w:numPr>
          <w:ilvl w:val="0"/>
          <w:numId w:val="12"/>
        </w:numPr>
        <w:spacing w:before="105" w:after="105"/>
        <w:rPr>
          <w:rFonts w:ascii="Lato" w:hAnsi="Lato"/>
        </w:rPr>
      </w:pPr>
      <w:r>
        <w:rPr>
          <w:rFonts w:ascii="Lato" w:eastAsia="inter" w:hAnsi="Lato" w:cs="inter"/>
          <w:color w:val="000000"/>
        </w:rPr>
        <w:t xml:space="preserve">Require EHRs to make it easy for third party AI solutions to provide enriched evidence, suggestions, and potential diagnosis to relevant places within the provider workflow to enable choice of vendor for the best clinical insights and guidance. </w:t>
      </w:r>
    </w:p>
    <w:p w14:paraId="7C3C8AEA" w14:textId="77777777" w:rsidR="00F322DE" w:rsidRPr="00550BCB" w:rsidRDefault="00F322DE" w:rsidP="00F322DE">
      <w:pPr>
        <w:spacing w:before="315" w:after="105"/>
        <w:ind w:left="-30"/>
        <w:rPr>
          <w:rFonts w:ascii="Lato" w:hAnsi="Lato"/>
        </w:rPr>
      </w:pPr>
      <w:bookmarkStart w:id="7" w:name="bm_2_4_create_unified_expectation_9ce72c"/>
      <w:r w:rsidRPr="00550BCB">
        <w:rPr>
          <w:rFonts w:ascii="Lato" w:eastAsia="inter" w:hAnsi="Lato" w:cs="inter"/>
          <w:b/>
          <w:color w:val="000000"/>
        </w:rPr>
        <w:t>2.4. Create unified expectations for non</w:t>
      </w:r>
      <w:r w:rsidRPr="00550BCB">
        <w:rPr>
          <w:rFonts w:ascii="Cambria Math" w:eastAsia="inter" w:hAnsi="Cambria Math" w:cs="Cambria Math"/>
          <w:b/>
          <w:color w:val="000000"/>
        </w:rPr>
        <w:t>‑</w:t>
      </w:r>
      <w:r w:rsidRPr="00550BCB">
        <w:rPr>
          <w:rFonts w:ascii="Lato" w:eastAsia="inter" w:hAnsi="Lato" w:cs="inter"/>
          <w:b/>
          <w:color w:val="000000"/>
        </w:rPr>
        <w:t>device AI oversight inside HHS</w:t>
      </w:r>
      <w:bookmarkEnd w:id="7"/>
    </w:p>
    <w:p w14:paraId="39AA3CCD" w14:textId="77777777" w:rsidR="00F322DE" w:rsidRPr="00550BCB" w:rsidRDefault="00F322DE" w:rsidP="00F322DE">
      <w:pPr>
        <w:numPr>
          <w:ilvl w:val="0"/>
          <w:numId w:val="13"/>
        </w:numPr>
        <w:spacing w:before="105" w:after="105"/>
        <w:rPr>
          <w:rFonts w:ascii="Lato" w:hAnsi="Lato"/>
        </w:rPr>
      </w:pPr>
      <w:r w:rsidRPr="00550BCB">
        <w:rPr>
          <w:rFonts w:ascii="Lato" w:eastAsia="inter" w:hAnsi="Lato" w:cs="inter"/>
          <w:color w:val="000000"/>
        </w:rPr>
        <w:t>Issue cross</w:t>
      </w:r>
      <w:r w:rsidRPr="00550BCB">
        <w:rPr>
          <w:rFonts w:ascii="Cambria Math" w:eastAsia="inter" w:hAnsi="Cambria Math" w:cs="Cambria Math"/>
          <w:color w:val="000000"/>
        </w:rPr>
        <w:t>‑</w:t>
      </w:r>
      <w:r w:rsidRPr="00550BCB">
        <w:rPr>
          <w:rFonts w:ascii="Lato" w:eastAsia="inter" w:hAnsi="Lato" w:cs="inter"/>
          <w:color w:val="000000"/>
        </w:rPr>
        <w:t>agency guidance clarifying the roles of ONC, CMS, OCR, OIG, and FDA for non</w:t>
      </w:r>
      <w:r w:rsidRPr="00550BCB">
        <w:rPr>
          <w:rFonts w:ascii="Cambria Math" w:eastAsia="inter" w:hAnsi="Cambria Math" w:cs="Cambria Math"/>
          <w:color w:val="000000"/>
        </w:rPr>
        <w:t>‑</w:t>
      </w:r>
      <w:r w:rsidRPr="00550BCB">
        <w:rPr>
          <w:rFonts w:ascii="Lato" w:eastAsia="inter" w:hAnsi="Lato" w:cs="inter"/>
          <w:color w:val="000000"/>
        </w:rPr>
        <w:t>device AI systems that support coding, quality, and decision support. This would allow organizations to build AI governance programs anchored in a single, coherent set of expectations instead of anticipating overlapping or conflicting requirements.</w:t>
      </w:r>
    </w:p>
    <w:p w14:paraId="52EB5FCF" w14:textId="77777777" w:rsidR="00F322DE" w:rsidRPr="00550BCB" w:rsidRDefault="00F322DE" w:rsidP="00F322DE">
      <w:pPr>
        <w:spacing w:after="210"/>
        <w:rPr>
          <w:rFonts w:ascii="Lato" w:hAnsi="Lato"/>
        </w:rPr>
      </w:pPr>
      <w:r w:rsidRPr="00550BCB">
        <w:rPr>
          <w:rFonts w:ascii="Lato" w:eastAsia="inter" w:hAnsi="Lato" w:cs="inter"/>
          <w:color w:val="000000"/>
        </w:rPr>
        <w:t>These changes would directly support platforms like EVE, which already implement evidence</w:t>
      </w:r>
      <w:r w:rsidRPr="00550BCB">
        <w:rPr>
          <w:rFonts w:ascii="Cambria Math" w:eastAsia="inter" w:hAnsi="Cambria Math" w:cs="Cambria Math"/>
          <w:color w:val="000000"/>
        </w:rPr>
        <w:t>‑</w:t>
      </w:r>
      <w:r w:rsidRPr="00550BCB">
        <w:rPr>
          <w:rFonts w:ascii="Lato" w:eastAsia="inter" w:hAnsi="Lato" w:cs="inter"/>
          <w:color w:val="000000"/>
        </w:rPr>
        <w:t>linked, human</w:t>
      </w:r>
      <w:r w:rsidRPr="00550BCB">
        <w:rPr>
          <w:rFonts w:ascii="Cambria Math" w:eastAsia="inter" w:hAnsi="Cambria Math" w:cs="Cambria Math"/>
          <w:color w:val="000000"/>
        </w:rPr>
        <w:t>‑</w:t>
      </w:r>
      <w:r w:rsidRPr="00550BCB">
        <w:rPr>
          <w:rFonts w:ascii="Lato" w:eastAsia="inter" w:hAnsi="Lato" w:cs="inter"/>
          <w:color w:val="000000"/>
        </w:rPr>
        <w:t>in</w:t>
      </w:r>
      <w:r w:rsidRPr="00550BCB">
        <w:rPr>
          <w:rFonts w:ascii="Cambria Math" w:eastAsia="inter" w:hAnsi="Cambria Math" w:cs="Cambria Math"/>
          <w:color w:val="000000"/>
        </w:rPr>
        <w:t>‑</w:t>
      </w:r>
      <w:r w:rsidRPr="00550BCB">
        <w:rPr>
          <w:rFonts w:ascii="Lato" w:eastAsia="inter" w:hAnsi="Lato" w:cs="inter"/>
          <w:color w:val="000000"/>
        </w:rPr>
        <w:t>the</w:t>
      </w:r>
      <w:r w:rsidRPr="00550BCB">
        <w:rPr>
          <w:rFonts w:ascii="Cambria Math" w:eastAsia="inter" w:hAnsi="Cambria Math" w:cs="Cambria Math"/>
          <w:color w:val="000000"/>
        </w:rPr>
        <w:t>‑</w:t>
      </w:r>
      <w:r w:rsidRPr="00550BCB">
        <w:rPr>
          <w:rFonts w:ascii="Lato" w:eastAsia="inter" w:hAnsi="Lato" w:cs="inter"/>
          <w:color w:val="000000"/>
        </w:rPr>
        <w:t>loop AI within HIPAA</w:t>
      </w:r>
      <w:r w:rsidRPr="00550BCB">
        <w:rPr>
          <w:rFonts w:ascii="Cambria Math" w:eastAsia="inter" w:hAnsi="Cambria Math" w:cs="Cambria Math"/>
          <w:color w:val="000000"/>
        </w:rPr>
        <w:t>‑</w:t>
      </w:r>
      <w:r w:rsidRPr="00550BCB">
        <w:rPr>
          <w:rFonts w:ascii="Lato" w:eastAsia="inter" w:hAnsi="Lato" w:cs="inter"/>
          <w:color w:val="000000"/>
        </w:rPr>
        <w:t xml:space="preserve"> and HITRUST</w:t>
      </w:r>
      <w:r w:rsidRPr="00550BCB">
        <w:rPr>
          <w:rFonts w:ascii="Cambria Math" w:eastAsia="inter" w:hAnsi="Cambria Math" w:cs="Cambria Math"/>
          <w:color w:val="000000"/>
        </w:rPr>
        <w:t>‑</w:t>
      </w:r>
      <w:r w:rsidRPr="00550BCB">
        <w:rPr>
          <w:rFonts w:ascii="Lato" w:eastAsia="inter" w:hAnsi="Lato" w:cs="inter"/>
          <w:color w:val="000000"/>
        </w:rPr>
        <w:t>aligned governance frameworks.</w:t>
      </w:r>
    </w:p>
    <w:p w14:paraId="2AC77226" w14:textId="3FD6E922" w:rsidR="00F322DE" w:rsidRPr="00550BCB" w:rsidRDefault="00F322DE" w:rsidP="00F322DE">
      <w:pPr>
        <w:spacing w:before="210" w:after="0"/>
        <w:rPr>
          <w:rFonts w:ascii="Lato" w:hAnsi="Lato"/>
        </w:rPr>
      </w:pPr>
    </w:p>
    <w:p w14:paraId="4072EF80" w14:textId="77777777" w:rsidR="00F322DE" w:rsidRPr="00550BCB" w:rsidRDefault="00F322DE" w:rsidP="00F322DE">
      <w:pPr>
        <w:spacing w:before="315" w:after="105"/>
        <w:ind w:left="-30"/>
        <w:rPr>
          <w:rFonts w:ascii="Lato" w:hAnsi="Lato"/>
        </w:rPr>
      </w:pPr>
      <w:bookmarkStart w:id="8" w:name="bm_3_novel_legal_and_implementati_177ec8"/>
      <w:r w:rsidRPr="00550BCB">
        <w:rPr>
          <w:rFonts w:ascii="Lato" w:eastAsia="inter" w:hAnsi="Lato" w:cs="inter"/>
          <w:b/>
          <w:color w:val="000000"/>
        </w:rPr>
        <w:t>3. Novel legal and implementation issues, and HHS’s role</w:t>
      </w:r>
      <w:bookmarkEnd w:id="8"/>
    </w:p>
    <w:p w14:paraId="145AD739" w14:textId="77777777" w:rsidR="00F322DE" w:rsidRPr="00550BCB" w:rsidRDefault="00F322DE" w:rsidP="00F322DE">
      <w:pPr>
        <w:spacing w:after="210"/>
        <w:rPr>
          <w:rFonts w:ascii="Lato" w:hAnsi="Lato"/>
        </w:rPr>
      </w:pPr>
      <w:r w:rsidRPr="00550BCB">
        <w:rPr>
          <w:rFonts w:ascii="Lato" w:eastAsia="inter" w:hAnsi="Lato" w:cs="inter"/>
          <w:color w:val="000000"/>
        </w:rPr>
        <w:t>For non</w:t>
      </w:r>
      <w:r w:rsidRPr="00550BCB">
        <w:rPr>
          <w:rFonts w:ascii="Cambria Math" w:eastAsia="inter" w:hAnsi="Cambria Math" w:cs="Cambria Math"/>
          <w:color w:val="000000"/>
        </w:rPr>
        <w:t>‑</w:t>
      </w:r>
      <w:r w:rsidRPr="00550BCB">
        <w:rPr>
          <w:rFonts w:ascii="Lato" w:eastAsia="inter" w:hAnsi="Lato" w:cs="inter"/>
          <w:color w:val="000000"/>
        </w:rPr>
        <w:t>device AI used in clinical workflows, Reveleer sees several emerging legal and implementation issues:</w:t>
      </w:r>
    </w:p>
    <w:p w14:paraId="7BFF5163" w14:textId="77777777" w:rsidR="00F322DE" w:rsidRPr="00550BCB" w:rsidRDefault="00F322DE" w:rsidP="00F322DE">
      <w:pPr>
        <w:numPr>
          <w:ilvl w:val="0"/>
          <w:numId w:val="14"/>
        </w:numPr>
        <w:spacing w:before="105" w:after="105"/>
        <w:rPr>
          <w:rFonts w:ascii="Lato" w:hAnsi="Lato"/>
        </w:rPr>
      </w:pPr>
      <w:r w:rsidRPr="00BD7D63">
        <w:rPr>
          <w:rFonts w:ascii="Lato" w:eastAsia="inter" w:hAnsi="Lato" w:cs="inter"/>
          <w:b/>
          <w:bCs/>
          <w:color w:val="000000"/>
        </w:rPr>
        <w:t>Attribution of liability in human</w:t>
      </w:r>
      <w:r w:rsidRPr="00BD7D63">
        <w:rPr>
          <w:rFonts w:ascii="Cambria Math" w:eastAsia="inter" w:hAnsi="Cambria Math" w:cs="Cambria Math"/>
          <w:b/>
          <w:bCs/>
          <w:color w:val="000000"/>
        </w:rPr>
        <w:t>‑</w:t>
      </w:r>
      <w:r w:rsidRPr="00BD7D63">
        <w:rPr>
          <w:rFonts w:ascii="Lato" w:eastAsia="inter" w:hAnsi="Lato" w:cs="inter"/>
          <w:b/>
          <w:bCs/>
          <w:color w:val="000000"/>
        </w:rPr>
        <w:t xml:space="preserve">AI collaboration. </w:t>
      </w:r>
      <w:r w:rsidRPr="00550BCB">
        <w:rPr>
          <w:rFonts w:ascii="Lato" w:eastAsia="inter" w:hAnsi="Lato" w:cs="inter"/>
          <w:color w:val="000000"/>
        </w:rPr>
        <w:t>When AI surfaces a suspected diagnosis or quality gap that a clinician accepts or rejects, questions arise about responsibility if subsequent audits or outcomes suggest that the AI contributed to over</w:t>
      </w:r>
      <w:r w:rsidRPr="00550BCB">
        <w:rPr>
          <w:rFonts w:ascii="Cambria Math" w:eastAsia="inter" w:hAnsi="Cambria Math" w:cs="Cambria Math"/>
          <w:color w:val="000000"/>
        </w:rPr>
        <w:t>‑</w:t>
      </w:r>
      <w:r w:rsidRPr="00550BCB">
        <w:rPr>
          <w:rFonts w:ascii="Lato" w:eastAsia="inter" w:hAnsi="Lato" w:cs="inter"/>
          <w:color w:val="000000"/>
        </w:rPr>
        <w:t xml:space="preserve"> or under</w:t>
      </w:r>
      <w:r w:rsidRPr="00550BCB">
        <w:rPr>
          <w:rFonts w:ascii="Cambria Math" w:eastAsia="inter" w:hAnsi="Cambria Math" w:cs="Cambria Math"/>
          <w:color w:val="000000"/>
        </w:rPr>
        <w:t>‑</w:t>
      </w:r>
      <w:r w:rsidRPr="00550BCB">
        <w:rPr>
          <w:rFonts w:ascii="Lato" w:eastAsia="inter" w:hAnsi="Lato" w:cs="inter"/>
          <w:color w:val="000000"/>
        </w:rPr>
        <w:t>coding, or to missed care.</w:t>
      </w:r>
      <w:r>
        <w:rPr>
          <w:rFonts w:ascii="Lato" w:eastAsia="inter" w:hAnsi="Lato" w:cs="inter"/>
          <w:color w:val="000000"/>
        </w:rPr>
        <w:t xml:space="preserve"> Provide clear guidance for how accepted </w:t>
      </w:r>
      <w:r>
        <w:rPr>
          <w:rFonts w:ascii="Lato" w:eastAsia="inter" w:hAnsi="Lato" w:cs="inter"/>
          <w:color w:val="000000"/>
        </w:rPr>
        <w:lastRenderedPageBreak/>
        <w:t xml:space="preserve">recommendations should be logged in systems and rules as to the significance a single instance can have on the continuous tuning of a model. </w:t>
      </w:r>
    </w:p>
    <w:p w14:paraId="0CE23F33" w14:textId="77777777" w:rsidR="00F322DE" w:rsidRPr="00550BCB" w:rsidRDefault="00F322DE" w:rsidP="00F322DE">
      <w:pPr>
        <w:numPr>
          <w:ilvl w:val="0"/>
          <w:numId w:val="14"/>
        </w:numPr>
        <w:spacing w:before="105" w:after="105"/>
        <w:rPr>
          <w:rFonts w:ascii="Lato" w:hAnsi="Lato"/>
        </w:rPr>
      </w:pPr>
      <w:r w:rsidRPr="00BD7D63">
        <w:rPr>
          <w:rFonts w:ascii="Lato" w:eastAsia="inter" w:hAnsi="Lato" w:cs="inter"/>
          <w:b/>
          <w:bCs/>
          <w:color w:val="000000"/>
        </w:rPr>
        <w:t>Use of PHI for training and cross</w:t>
      </w:r>
      <w:r w:rsidRPr="00BD7D63">
        <w:rPr>
          <w:rFonts w:ascii="Cambria Math" w:eastAsia="inter" w:hAnsi="Cambria Math" w:cs="Cambria Math"/>
          <w:b/>
          <w:bCs/>
          <w:color w:val="000000"/>
        </w:rPr>
        <w:t>‑</w:t>
      </w:r>
      <w:r w:rsidRPr="00BD7D63">
        <w:rPr>
          <w:rFonts w:ascii="Lato" w:eastAsia="inter" w:hAnsi="Lato" w:cs="inter"/>
          <w:b/>
          <w:bCs/>
          <w:color w:val="000000"/>
        </w:rPr>
        <w:t xml:space="preserve">client learning. </w:t>
      </w:r>
      <w:r w:rsidRPr="00550BCB">
        <w:rPr>
          <w:rFonts w:ascii="Lato" w:eastAsia="inter" w:hAnsi="Lato" w:cs="inter"/>
          <w:color w:val="000000"/>
        </w:rPr>
        <w:t>Organizations must navigate HIPAA, state privacy laws, and contract terms when using PHI to train, fine</w:t>
      </w:r>
      <w:r w:rsidRPr="00550BCB">
        <w:rPr>
          <w:rFonts w:ascii="Cambria Math" w:eastAsia="inter" w:hAnsi="Cambria Math" w:cs="Cambria Math"/>
          <w:color w:val="000000"/>
        </w:rPr>
        <w:t>‑</w:t>
      </w:r>
      <w:r w:rsidRPr="00550BCB">
        <w:rPr>
          <w:rFonts w:ascii="Lato" w:eastAsia="inter" w:hAnsi="Lato" w:cs="inter"/>
          <w:color w:val="000000"/>
        </w:rPr>
        <w:t>tune, or adapt AI models. The line between de</w:t>
      </w:r>
      <w:r w:rsidRPr="00550BCB">
        <w:rPr>
          <w:rFonts w:ascii="Cambria Math" w:eastAsia="inter" w:hAnsi="Cambria Math" w:cs="Cambria Math"/>
          <w:color w:val="000000"/>
        </w:rPr>
        <w:t>‑</w:t>
      </w:r>
      <w:r w:rsidRPr="00550BCB">
        <w:rPr>
          <w:rFonts w:ascii="Lato" w:eastAsia="inter" w:hAnsi="Lato" w:cs="inter"/>
          <w:color w:val="000000"/>
        </w:rPr>
        <w:t>identified and identifiable data, and between client</w:t>
      </w:r>
      <w:r w:rsidRPr="00550BCB">
        <w:rPr>
          <w:rFonts w:ascii="Cambria Math" w:eastAsia="inter" w:hAnsi="Cambria Math" w:cs="Cambria Math"/>
          <w:color w:val="000000"/>
        </w:rPr>
        <w:t>‑</w:t>
      </w:r>
      <w:r w:rsidRPr="00550BCB">
        <w:rPr>
          <w:rFonts w:ascii="Lato" w:eastAsia="inter" w:hAnsi="Lato" w:cs="inter"/>
          <w:color w:val="000000"/>
        </w:rPr>
        <w:t>specific and shared models, is often unclear in practice.</w:t>
      </w:r>
      <w:r>
        <w:rPr>
          <w:rFonts w:ascii="Lato" w:eastAsia="inter" w:hAnsi="Lato" w:cs="inter"/>
          <w:color w:val="000000"/>
        </w:rPr>
        <w:t xml:space="preserve"> Expand on minimum necessary guidance to include the use of AI and explicit consent by the patient for this information to be used. </w:t>
      </w:r>
    </w:p>
    <w:p w14:paraId="5E9F4125" w14:textId="77777777" w:rsidR="00F322DE" w:rsidRPr="00550BCB" w:rsidRDefault="00F322DE" w:rsidP="00F322DE">
      <w:pPr>
        <w:numPr>
          <w:ilvl w:val="0"/>
          <w:numId w:val="14"/>
        </w:numPr>
        <w:spacing w:before="105" w:after="105"/>
        <w:rPr>
          <w:rFonts w:ascii="Lato" w:hAnsi="Lato"/>
        </w:rPr>
      </w:pPr>
      <w:r w:rsidRPr="00BD7D63">
        <w:rPr>
          <w:rFonts w:ascii="Lato" w:eastAsia="inter" w:hAnsi="Lato" w:cs="inter"/>
          <w:b/>
          <w:bCs/>
          <w:color w:val="000000"/>
        </w:rPr>
        <w:t>Black</w:t>
      </w:r>
      <w:r w:rsidRPr="00BD7D63">
        <w:rPr>
          <w:rFonts w:ascii="Cambria Math" w:eastAsia="inter" w:hAnsi="Cambria Math" w:cs="Cambria Math"/>
          <w:b/>
          <w:bCs/>
          <w:color w:val="000000"/>
        </w:rPr>
        <w:t>‑</w:t>
      </w:r>
      <w:r w:rsidRPr="00BD7D63">
        <w:rPr>
          <w:rFonts w:ascii="Lato" w:eastAsia="inter" w:hAnsi="Lato" w:cs="inter"/>
          <w:b/>
          <w:bCs/>
          <w:color w:val="000000"/>
        </w:rPr>
        <w:t xml:space="preserve">box models and due process. </w:t>
      </w:r>
      <w:r w:rsidRPr="00550BCB">
        <w:rPr>
          <w:rFonts w:ascii="Lato" w:eastAsia="inter" w:hAnsi="Lato" w:cs="inter"/>
          <w:color w:val="000000"/>
        </w:rPr>
        <w:t>When AI models are opaque, plans and providers may struggle to demonstrate to regulators and courts how coding or care decisions were reached, raising due</w:t>
      </w:r>
      <w:r w:rsidRPr="00550BCB">
        <w:rPr>
          <w:rFonts w:ascii="Cambria Math" w:eastAsia="inter" w:hAnsi="Cambria Math" w:cs="Cambria Math"/>
          <w:color w:val="000000"/>
        </w:rPr>
        <w:t>‑</w:t>
      </w:r>
      <w:r w:rsidRPr="00550BCB">
        <w:rPr>
          <w:rFonts w:ascii="Lato" w:eastAsia="inter" w:hAnsi="Lato" w:cs="inter"/>
          <w:color w:val="000000"/>
        </w:rPr>
        <w:t>process and fairness concerns in payment disputes or audits.</w:t>
      </w:r>
      <w:r>
        <w:rPr>
          <w:rFonts w:ascii="Lato" w:eastAsia="inter" w:hAnsi="Lato" w:cs="inter"/>
          <w:color w:val="000000"/>
        </w:rPr>
        <w:t xml:space="preserve"> Establish rules or guidance blocking the use of black box models in clinical use cases. </w:t>
      </w:r>
    </w:p>
    <w:p w14:paraId="1E931C6F" w14:textId="77777777" w:rsidR="00F322DE" w:rsidRPr="00550BCB" w:rsidRDefault="00F322DE" w:rsidP="00F322DE">
      <w:pPr>
        <w:numPr>
          <w:ilvl w:val="0"/>
          <w:numId w:val="14"/>
        </w:numPr>
        <w:spacing w:before="105" w:after="105"/>
        <w:rPr>
          <w:rFonts w:ascii="Lato" w:hAnsi="Lato"/>
        </w:rPr>
      </w:pPr>
      <w:r w:rsidRPr="00BD7D63">
        <w:rPr>
          <w:rFonts w:ascii="Lato" w:eastAsia="inter" w:hAnsi="Lato" w:cs="inter"/>
          <w:b/>
          <w:bCs/>
          <w:color w:val="000000"/>
        </w:rPr>
        <w:t xml:space="preserve">Indemnification and vendor risk allocation. </w:t>
      </w:r>
      <w:r w:rsidRPr="00550BCB">
        <w:rPr>
          <w:rFonts w:ascii="Lato" w:eastAsia="inter" w:hAnsi="Lato" w:cs="inter"/>
          <w:color w:val="000000"/>
        </w:rPr>
        <w:t>Contracts increasingly need to allocate risk where AI</w:t>
      </w:r>
      <w:r w:rsidRPr="00550BCB">
        <w:rPr>
          <w:rFonts w:ascii="Cambria Math" w:eastAsia="inter" w:hAnsi="Cambria Math" w:cs="Cambria Math"/>
          <w:color w:val="000000"/>
        </w:rPr>
        <w:t>‑</w:t>
      </w:r>
      <w:r w:rsidRPr="00550BCB">
        <w:rPr>
          <w:rFonts w:ascii="Lato" w:eastAsia="inter" w:hAnsi="Lato" w:cs="inter"/>
          <w:color w:val="000000"/>
        </w:rPr>
        <w:t>assisted workflows contribute to errors in submissions or clinical decisions, especially when both vendor AI design and client configuration choices interact.</w:t>
      </w:r>
    </w:p>
    <w:p w14:paraId="0CB688B2" w14:textId="77777777" w:rsidR="00F322DE" w:rsidRPr="00550BCB" w:rsidRDefault="00F322DE" w:rsidP="00F322DE">
      <w:pPr>
        <w:numPr>
          <w:ilvl w:val="0"/>
          <w:numId w:val="14"/>
        </w:numPr>
        <w:spacing w:before="105" w:after="105"/>
        <w:rPr>
          <w:rFonts w:ascii="Lato" w:hAnsi="Lato"/>
        </w:rPr>
      </w:pPr>
      <w:r w:rsidRPr="00BD7D63">
        <w:rPr>
          <w:rFonts w:ascii="Lato" w:eastAsia="inter" w:hAnsi="Lato" w:cs="inter"/>
          <w:b/>
          <w:bCs/>
          <w:color w:val="000000"/>
        </w:rPr>
        <w:t xml:space="preserve">Dynamic model behavior and “drift.” </w:t>
      </w:r>
      <w:r w:rsidRPr="00550BCB">
        <w:rPr>
          <w:rFonts w:ascii="Lato" w:eastAsia="inter" w:hAnsi="Lato" w:cs="inter"/>
          <w:color w:val="000000"/>
        </w:rPr>
        <w:t xml:space="preserve">Continuous learning and retraining can change AI behavior in ways that are hard to document and explain to auditors absent robust </w:t>
      </w:r>
      <w:proofErr w:type="spellStart"/>
      <w:r w:rsidRPr="00550BCB">
        <w:rPr>
          <w:rFonts w:ascii="Lato" w:eastAsia="inter" w:hAnsi="Lato" w:cs="inter"/>
          <w:color w:val="000000"/>
        </w:rPr>
        <w:t>MLOps</w:t>
      </w:r>
      <w:proofErr w:type="spellEnd"/>
      <w:r w:rsidRPr="00550BCB">
        <w:rPr>
          <w:rFonts w:ascii="Lato" w:eastAsia="inter" w:hAnsi="Lato" w:cs="inter"/>
          <w:color w:val="000000"/>
        </w:rPr>
        <w:t>, versioning, and change</w:t>
      </w:r>
      <w:r w:rsidRPr="00550BCB">
        <w:rPr>
          <w:rFonts w:ascii="Cambria Math" w:eastAsia="inter" w:hAnsi="Cambria Math" w:cs="Cambria Math"/>
          <w:color w:val="000000"/>
        </w:rPr>
        <w:t>‑</w:t>
      </w:r>
      <w:r w:rsidRPr="00550BCB">
        <w:rPr>
          <w:rFonts w:ascii="Lato" w:eastAsia="inter" w:hAnsi="Lato" w:cs="inter"/>
          <w:color w:val="000000"/>
        </w:rPr>
        <w:t>management practices.</w:t>
      </w:r>
    </w:p>
    <w:p w14:paraId="51A6DB3F" w14:textId="77777777" w:rsidR="00F322DE" w:rsidRPr="00550BCB" w:rsidRDefault="00F322DE" w:rsidP="00F322DE">
      <w:pPr>
        <w:spacing w:after="210"/>
        <w:rPr>
          <w:rFonts w:ascii="Lato" w:hAnsi="Lato"/>
        </w:rPr>
      </w:pPr>
      <w:r w:rsidRPr="00550BCB">
        <w:rPr>
          <w:rFonts w:ascii="Lato" w:eastAsia="inter" w:hAnsi="Lato" w:cs="inter"/>
          <w:color w:val="000000"/>
        </w:rPr>
        <w:t>HHS can help by:</w:t>
      </w:r>
    </w:p>
    <w:p w14:paraId="0935DDC7" w14:textId="77777777" w:rsidR="00F322DE" w:rsidRPr="00550BCB" w:rsidRDefault="00F322DE" w:rsidP="00F322DE">
      <w:pPr>
        <w:numPr>
          <w:ilvl w:val="0"/>
          <w:numId w:val="15"/>
        </w:numPr>
        <w:spacing w:before="105" w:after="105"/>
        <w:rPr>
          <w:rFonts w:ascii="Lato" w:hAnsi="Lato"/>
        </w:rPr>
      </w:pPr>
      <w:r w:rsidRPr="00550BCB">
        <w:rPr>
          <w:rFonts w:ascii="Lato" w:eastAsia="inter" w:hAnsi="Lato" w:cs="inter"/>
          <w:color w:val="000000"/>
        </w:rPr>
        <w:t>Publishing model contractual clauses or high</w:t>
      </w:r>
      <w:r w:rsidRPr="00550BCB">
        <w:rPr>
          <w:rFonts w:ascii="Cambria Math" w:eastAsia="inter" w:hAnsi="Cambria Math" w:cs="Cambria Math"/>
          <w:color w:val="000000"/>
        </w:rPr>
        <w:t>‑</w:t>
      </w:r>
      <w:r w:rsidRPr="00550BCB">
        <w:rPr>
          <w:rFonts w:ascii="Lato" w:eastAsia="inter" w:hAnsi="Lato" w:cs="inter"/>
          <w:color w:val="000000"/>
        </w:rPr>
        <w:t>level guidance that clarifies shared responsibility among vendors, payers, and providers in AI</w:t>
      </w:r>
      <w:r w:rsidRPr="00550BCB">
        <w:rPr>
          <w:rFonts w:ascii="Cambria Math" w:eastAsia="inter" w:hAnsi="Cambria Math" w:cs="Cambria Math"/>
          <w:color w:val="000000"/>
        </w:rPr>
        <w:t>‑</w:t>
      </w:r>
      <w:r w:rsidRPr="00550BCB">
        <w:rPr>
          <w:rFonts w:ascii="Lato" w:eastAsia="inter" w:hAnsi="Lato" w:cs="inter"/>
          <w:color w:val="000000"/>
        </w:rPr>
        <w:t>assisted workflows, emphasizing human final decision</w:t>
      </w:r>
      <w:r w:rsidRPr="00550BCB">
        <w:rPr>
          <w:rFonts w:ascii="Cambria Math" w:eastAsia="inter" w:hAnsi="Cambria Math" w:cs="Cambria Math"/>
          <w:color w:val="000000"/>
        </w:rPr>
        <w:t>‑</w:t>
      </w:r>
      <w:r w:rsidRPr="00550BCB">
        <w:rPr>
          <w:rFonts w:ascii="Lato" w:eastAsia="inter" w:hAnsi="Lato" w:cs="inter"/>
          <w:color w:val="000000"/>
        </w:rPr>
        <w:t>making and traceability to source evidence.</w:t>
      </w:r>
    </w:p>
    <w:p w14:paraId="7289BF41" w14:textId="77777777" w:rsidR="00F322DE" w:rsidRPr="00550BCB" w:rsidRDefault="00F322DE" w:rsidP="00F322DE">
      <w:pPr>
        <w:numPr>
          <w:ilvl w:val="0"/>
          <w:numId w:val="15"/>
        </w:numPr>
        <w:spacing w:before="105" w:after="105"/>
        <w:rPr>
          <w:rFonts w:ascii="Lato" w:hAnsi="Lato"/>
        </w:rPr>
      </w:pPr>
      <w:r w:rsidRPr="00550BCB">
        <w:rPr>
          <w:rFonts w:ascii="Lato" w:eastAsia="inter" w:hAnsi="Lato" w:cs="inter"/>
          <w:color w:val="000000"/>
        </w:rPr>
        <w:t>Clarifying under HIPAA that PHI may be used for training and validation of non</w:t>
      </w:r>
      <w:r w:rsidRPr="00550BCB">
        <w:rPr>
          <w:rFonts w:ascii="Cambria Math" w:eastAsia="inter" w:hAnsi="Cambria Math" w:cs="Cambria Math"/>
          <w:color w:val="000000"/>
        </w:rPr>
        <w:t>‑</w:t>
      </w:r>
      <w:r w:rsidRPr="00550BCB">
        <w:rPr>
          <w:rFonts w:ascii="Lato" w:eastAsia="inter" w:hAnsi="Lato" w:cs="inter"/>
          <w:color w:val="000000"/>
        </w:rPr>
        <w:t>device clinical AI subject to strict purpose limitation, de</w:t>
      </w:r>
      <w:r w:rsidRPr="00550BCB">
        <w:rPr>
          <w:rFonts w:ascii="Cambria Math" w:eastAsia="inter" w:hAnsi="Cambria Math" w:cs="Cambria Math"/>
          <w:color w:val="000000"/>
        </w:rPr>
        <w:t>‑</w:t>
      </w:r>
      <w:r w:rsidRPr="00550BCB">
        <w:rPr>
          <w:rFonts w:ascii="Lato" w:eastAsia="inter" w:hAnsi="Lato" w:cs="inter"/>
          <w:color w:val="000000"/>
        </w:rPr>
        <w:t>identification where feasible, and robust access controls, and by encouraging standardized language in business associate agreements to cover AI use.</w:t>
      </w:r>
    </w:p>
    <w:p w14:paraId="297B2803" w14:textId="77777777" w:rsidR="00F322DE" w:rsidRPr="00550BCB" w:rsidRDefault="00F322DE" w:rsidP="00F322DE">
      <w:pPr>
        <w:numPr>
          <w:ilvl w:val="0"/>
          <w:numId w:val="15"/>
        </w:numPr>
        <w:spacing w:before="105" w:after="105"/>
        <w:rPr>
          <w:rFonts w:ascii="Lato" w:hAnsi="Lato"/>
        </w:rPr>
      </w:pPr>
      <w:r w:rsidRPr="00550BCB">
        <w:rPr>
          <w:rFonts w:ascii="Lato" w:eastAsia="inter" w:hAnsi="Lato" w:cs="inter"/>
          <w:color w:val="000000"/>
        </w:rPr>
        <w:lastRenderedPageBreak/>
        <w:t>Encouraging or requiring versioned records of datasets, model artifacts, and configurations used in AI</w:t>
      </w:r>
      <w:r w:rsidRPr="00550BCB">
        <w:rPr>
          <w:rFonts w:ascii="Cambria Math" w:eastAsia="inter" w:hAnsi="Cambria Math" w:cs="Cambria Math"/>
          <w:color w:val="000000"/>
        </w:rPr>
        <w:t>‑</w:t>
      </w:r>
      <w:r w:rsidRPr="00550BCB">
        <w:rPr>
          <w:rFonts w:ascii="Lato" w:eastAsia="inter" w:hAnsi="Lato" w:cs="inter"/>
          <w:color w:val="000000"/>
        </w:rPr>
        <w:t>assisted clinical workflows, so that AI behavior is reproducible and auditable over time.</w:t>
      </w:r>
    </w:p>
    <w:p w14:paraId="74BAB741" w14:textId="77777777" w:rsidR="00F322DE" w:rsidRPr="00550BCB" w:rsidRDefault="00F322DE" w:rsidP="00F322DE">
      <w:pPr>
        <w:numPr>
          <w:ilvl w:val="0"/>
          <w:numId w:val="15"/>
        </w:numPr>
        <w:spacing w:before="105" w:after="105"/>
        <w:rPr>
          <w:rFonts w:ascii="Lato" w:hAnsi="Lato"/>
        </w:rPr>
      </w:pPr>
      <w:r w:rsidRPr="00550BCB">
        <w:rPr>
          <w:rFonts w:ascii="Lato" w:eastAsia="inter" w:hAnsi="Lato" w:cs="inter"/>
          <w:color w:val="000000"/>
        </w:rPr>
        <w:t>Recognizing human</w:t>
      </w:r>
      <w:r w:rsidRPr="00550BCB">
        <w:rPr>
          <w:rFonts w:ascii="Cambria Math" w:eastAsia="inter" w:hAnsi="Cambria Math" w:cs="Cambria Math"/>
          <w:color w:val="000000"/>
        </w:rPr>
        <w:t>‑</w:t>
      </w:r>
      <w:r w:rsidRPr="00550BCB">
        <w:rPr>
          <w:rFonts w:ascii="Lato" w:eastAsia="inter" w:hAnsi="Lato" w:cs="inter"/>
          <w:color w:val="000000"/>
        </w:rPr>
        <w:t>in</w:t>
      </w:r>
      <w:r w:rsidRPr="00550BCB">
        <w:rPr>
          <w:rFonts w:ascii="Cambria Math" w:eastAsia="inter" w:hAnsi="Cambria Math" w:cs="Cambria Math"/>
          <w:color w:val="000000"/>
        </w:rPr>
        <w:t>‑</w:t>
      </w:r>
      <w:r w:rsidRPr="00550BCB">
        <w:rPr>
          <w:rFonts w:ascii="Lato" w:eastAsia="inter" w:hAnsi="Lato" w:cs="inter"/>
          <w:color w:val="000000"/>
        </w:rPr>
        <w:t>the</w:t>
      </w:r>
      <w:r w:rsidRPr="00550BCB">
        <w:rPr>
          <w:rFonts w:ascii="Cambria Math" w:eastAsia="inter" w:hAnsi="Cambria Math" w:cs="Cambria Math"/>
          <w:color w:val="000000"/>
        </w:rPr>
        <w:t>‑</w:t>
      </w:r>
      <w:r w:rsidRPr="00550BCB">
        <w:rPr>
          <w:rFonts w:ascii="Lato" w:eastAsia="inter" w:hAnsi="Lato" w:cs="inter"/>
          <w:color w:val="000000"/>
        </w:rPr>
        <w:t>loop, evidence</w:t>
      </w:r>
      <w:r w:rsidRPr="00550BCB">
        <w:rPr>
          <w:rFonts w:ascii="Cambria Math" w:eastAsia="inter" w:hAnsi="Cambria Math" w:cs="Cambria Math"/>
          <w:color w:val="000000"/>
        </w:rPr>
        <w:t>‑</w:t>
      </w:r>
      <w:r w:rsidRPr="00550BCB">
        <w:rPr>
          <w:rFonts w:ascii="Lato" w:eastAsia="inter" w:hAnsi="Lato" w:cs="inter"/>
          <w:color w:val="000000"/>
        </w:rPr>
        <w:t>linked AI as a distinct category from fully autonomous systems, with commensurate expectations for liability and oversight. This aligns with EVE’s design, which treats AI as clinical decision support rather than as a replacement for clinician judgment.</w:t>
      </w:r>
    </w:p>
    <w:p w14:paraId="3A153359" w14:textId="524772EF" w:rsidR="00F322DE" w:rsidRPr="00550BCB" w:rsidRDefault="00F322DE" w:rsidP="00F322DE">
      <w:pPr>
        <w:spacing w:before="210" w:after="0"/>
        <w:rPr>
          <w:rFonts w:ascii="Lato" w:hAnsi="Lato"/>
        </w:rPr>
      </w:pPr>
      <w:r>
        <w:rPr>
          <w:noProof/>
        </w:rPr>
        <mc:AlternateContent>
          <mc:Choice Requires="wps">
            <w:drawing>
              <wp:inline distT="0" distB="0" distL="0" distR="0" wp14:anchorId="20466C22" wp14:editId="48AF18D6">
                <wp:extent cx="6038850" cy="635"/>
                <wp:effectExtent l="0" t="0" r="19050" b="24765"/>
                <wp:docPr id="172604069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96D7E1D" id="Rectangle 1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5A5FA50A" w14:textId="77777777" w:rsidR="00F322DE" w:rsidRPr="00550BCB" w:rsidRDefault="00F322DE" w:rsidP="00F322DE">
      <w:pPr>
        <w:spacing w:before="315" w:after="105"/>
        <w:ind w:left="-30"/>
        <w:rPr>
          <w:rFonts w:ascii="Lato" w:hAnsi="Lato"/>
        </w:rPr>
      </w:pPr>
      <w:bookmarkStart w:id="9" w:name="bm_4_evaluation_methods_metrics_r_7fd110"/>
      <w:r w:rsidRPr="00550BCB">
        <w:rPr>
          <w:rFonts w:ascii="Lato" w:eastAsia="inter" w:hAnsi="Lato" w:cs="inter"/>
          <w:b/>
          <w:color w:val="000000"/>
        </w:rPr>
        <w:t>4. Evaluation methods, metrics, robustness testing, and human</w:t>
      </w:r>
      <w:r w:rsidRPr="00550BCB">
        <w:rPr>
          <w:rFonts w:ascii="Cambria Math" w:eastAsia="inter" w:hAnsi="Cambria Math" w:cs="Cambria Math"/>
          <w:b/>
          <w:color w:val="000000"/>
        </w:rPr>
        <w:t>‑</w:t>
      </w:r>
      <w:r w:rsidRPr="00550BCB">
        <w:rPr>
          <w:rFonts w:ascii="Lato" w:eastAsia="inter" w:hAnsi="Lato" w:cs="inter"/>
          <w:b/>
          <w:color w:val="000000"/>
        </w:rPr>
        <w:t>centered evaluation</w:t>
      </w:r>
      <w:bookmarkEnd w:id="9"/>
    </w:p>
    <w:p w14:paraId="224B43F5" w14:textId="77777777" w:rsidR="00F322DE" w:rsidRPr="00550BCB" w:rsidRDefault="00F322DE" w:rsidP="00F322DE">
      <w:pPr>
        <w:spacing w:after="210"/>
        <w:rPr>
          <w:rFonts w:ascii="Lato" w:hAnsi="Lato"/>
        </w:rPr>
      </w:pPr>
      <w:r w:rsidRPr="00550BCB">
        <w:rPr>
          <w:rFonts w:ascii="Lato" w:eastAsia="inter" w:hAnsi="Lato" w:cs="inter"/>
          <w:color w:val="000000"/>
        </w:rPr>
        <w:t>For non</w:t>
      </w:r>
      <w:r w:rsidRPr="00550BCB">
        <w:rPr>
          <w:rFonts w:ascii="Cambria Math" w:eastAsia="inter" w:hAnsi="Cambria Math" w:cs="Cambria Math"/>
          <w:color w:val="000000"/>
        </w:rPr>
        <w:t>‑</w:t>
      </w:r>
      <w:r w:rsidRPr="00550BCB">
        <w:rPr>
          <w:rFonts w:ascii="Lato" w:eastAsia="inter" w:hAnsi="Lato" w:cs="inter"/>
          <w:color w:val="000000"/>
        </w:rPr>
        <w:t>device AI integrated into clinical workflows, Reveleer uses and recommends a layered evaluation approach.</w:t>
      </w:r>
    </w:p>
    <w:p w14:paraId="3C7AC0E1" w14:textId="77777777" w:rsidR="00F322DE" w:rsidRPr="00550BCB" w:rsidRDefault="00F322DE" w:rsidP="00F322DE">
      <w:pPr>
        <w:spacing w:before="315" w:after="105"/>
        <w:ind w:left="-30"/>
        <w:rPr>
          <w:rFonts w:ascii="Lato" w:hAnsi="Lato"/>
        </w:rPr>
      </w:pPr>
      <w:bookmarkStart w:id="10" w:name="bm_4_1_technical_and_robustness_e_5357e7"/>
      <w:r w:rsidRPr="00550BCB">
        <w:rPr>
          <w:rFonts w:ascii="Lato" w:eastAsia="inter" w:hAnsi="Lato" w:cs="inter"/>
          <w:b/>
          <w:color w:val="000000"/>
        </w:rPr>
        <w:t>4.1. Technical and robustness evaluation</w:t>
      </w:r>
      <w:bookmarkEnd w:id="10"/>
    </w:p>
    <w:p w14:paraId="4C465E64" w14:textId="77777777" w:rsidR="00F322DE" w:rsidRPr="00550BCB" w:rsidRDefault="00F322DE" w:rsidP="00F322DE">
      <w:pPr>
        <w:spacing w:after="210"/>
        <w:rPr>
          <w:rFonts w:ascii="Lato" w:hAnsi="Lato"/>
        </w:rPr>
      </w:pPr>
      <w:r w:rsidRPr="00550BCB">
        <w:rPr>
          <w:rFonts w:ascii="Lato" w:eastAsia="inter" w:hAnsi="Lato" w:cs="inter"/>
          <w:color w:val="000000"/>
        </w:rPr>
        <w:t>Pre</w:t>
      </w:r>
      <w:r w:rsidRPr="00550BCB">
        <w:rPr>
          <w:rFonts w:ascii="Cambria Math" w:eastAsia="inter" w:hAnsi="Cambria Math" w:cs="Cambria Math"/>
          <w:color w:val="000000"/>
        </w:rPr>
        <w:t>‑</w:t>
      </w:r>
      <w:r w:rsidRPr="00550BCB">
        <w:rPr>
          <w:rFonts w:ascii="Lato" w:eastAsia="inter" w:hAnsi="Lato" w:cs="inter"/>
          <w:color w:val="000000"/>
        </w:rPr>
        <w:t xml:space="preserve"> and post</w:t>
      </w:r>
      <w:r w:rsidRPr="00550BCB">
        <w:rPr>
          <w:rFonts w:ascii="Cambria Math" w:eastAsia="inter" w:hAnsi="Cambria Math" w:cs="Cambria Math"/>
          <w:color w:val="000000"/>
        </w:rPr>
        <w:t>‑</w:t>
      </w:r>
      <w:r w:rsidRPr="00550BCB">
        <w:rPr>
          <w:rFonts w:ascii="Lato" w:eastAsia="inter" w:hAnsi="Lato" w:cs="inter"/>
          <w:color w:val="000000"/>
        </w:rPr>
        <w:t>deployment, models should be evaluated on:</w:t>
      </w:r>
    </w:p>
    <w:p w14:paraId="429FF653" w14:textId="77777777" w:rsidR="00F322DE" w:rsidRPr="00550BCB" w:rsidRDefault="00F322DE" w:rsidP="00F322DE">
      <w:pPr>
        <w:numPr>
          <w:ilvl w:val="0"/>
          <w:numId w:val="16"/>
        </w:numPr>
        <w:spacing w:before="105" w:after="105"/>
        <w:rPr>
          <w:rFonts w:ascii="Lato" w:hAnsi="Lato"/>
        </w:rPr>
      </w:pPr>
      <w:r w:rsidRPr="00550BCB">
        <w:rPr>
          <w:rFonts w:ascii="Lato" w:eastAsia="inter" w:hAnsi="Lato" w:cs="inter"/>
          <w:color w:val="000000"/>
        </w:rPr>
        <w:t>Precision, recall, and accuracy for task</w:t>
      </w:r>
      <w:r w:rsidRPr="00550BCB">
        <w:rPr>
          <w:rFonts w:ascii="Cambria Math" w:eastAsia="inter" w:hAnsi="Cambria Math" w:cs="Cambria Math"/>
          <w:color w:val="000000"/>
        </w:rPr>
        <w:t>‑</w:t>
      </w:r>
      <w:r w:rsidRPr="00550BCB">
        <w:rPr>
          <w:rFonts w:ascii="Lato" w:eastAsia="inter" w:hAnsi="Lato" w:cs="inter"/>
          <w:color w:val="000000"/>
        </w:rPr>
        <w:t>specific outputs (e.g., suspected diagnoses, chart prioritization, quality data element extraction), segmented by population, contract type, and data source.</w:t>
      </w:r>
      <w:r>
        <w:rPr>
          <w:rFonts w:ascii="Lato" w:eastAsia="inter" w:hAnsi="Lato" w:cs="inter"/>
          <w:color w:val="000000"/>
        </w:rPr>
        <w:t xml:space="preserve"> This should include standard definitions for selected benchmark metrics to prevent misinterpretation of model quality in the market. </w:t>
      </w:r>
    </w:p>
    <w:p w14:paraId="0DB99962" w14:textId="77777777" w:rsidR="00F322DE" w:rsidRPr="00550BCB" w:rsidRDefault="00F322DE" w:rsidP="00F322DE">
      <w:pPr>
        <w:numPr>
          <w:ilvl w:val="0"/>
          <w:numId w:val="16"/>
        </w:numPr>
        <w:spacing w:before="105" w:after="105"/>
        <w:rPr>
          <w:rFonts w:ascii="Lato" w:hAnsi="Lato"/>
        </w:rPr>
      </w:pPr>
      <w:r w:rsidRPr="00550BCB">
        <w:rPr>
          <w:rFonts w:ascii="Lato" w:eastAsia="inter" w:hAnsi="Lato" w:cs="inter"/>
          <w:color w:val="000000"/>
        </w:rPr>
        <w:t>Robustness and drift, via continuous monitoring for performance degradation, shifts in input distributions, and outlier confidence scores, with automated triggers for investigation and retraining.</w:t>
      </w:r>
    </w:p>
    <w:p w14:paraId="243E062A" w14:textId="77777777" w:rsidR="00F322DE" w:rsidRPr="00550BCB" w:rsidRDefault="00F322DE" w:rsidP="00F322DE">
      <w:pPr>
        <w:numPr>
          <w:ilvl w:val="0"/>
          <w:numId w:val="16"/>
        </w:numPr>
        <w:spacing w:before="105" w:after="105"/>
        <w:rPr>
          <w:rFonts w:ascii="Lato" w:hAnsi="Lato"/>
        </w:rPr>
      </w:pPr>
      <w:r w:rsidRPr="00550BCB">
        <w:rPr>
          <w:rFonts w:ascii="Lato" w:eastAsia="inter" w:hAnsi="Lato" w:cs="inter"/>
          <w:color w:val="000000"/>
        </w:rPr>
        <w:t>Fairness, via segmented performance analysis across demographic and clinical subgroups to detect systematic differences in sensitivity, specificity, or error rates.</w:t>
      </w:r>
    </w:p>
    <w:p w14:paraId="7A7F509F" w14:textId="77777777" w:rsidR="00F322DE" w:rsidRPr="00550BCB" w:rsidRDefault="00F322DE" w:rsidP="00F322DE">
      <w:pPr>
        <w:spacing w:before="315" w:after="105"/>
        <w:ind w:left="-30"/>
        <w:rPr>
          <w:rFonts w:ascii="Lato" w:hAnsi="Lato"/>
        </w:rPr>
      </w:pPr>
      <w:bookmarkStart w:id="11" w:name="bm_4_2_workflow_and_operational_e_9958a3"/>
      <w:r w:rsidRPr="00550BCB">
        <w:rPr>
          <w:rFonts w:ascii="Lato" w:eastAsia="inter" w:hAnsi="Lato" w:cs="inter"/>
          <w:b/>
          <w:color w:val="000000"/>
        </w:rPr>
        <w:t>4.2. Workflow and operational evaluation</w:t>
      </w:r>
      <w:bookmarkEnd w:id="11"/>
    </w:p>
    <w:p w14:paraId="0144DC07" w14:textId="77777777" w:rsidR="00F322DE" w:rsidRPr="00550BCB" w:rsidRDefault="00F322DE" w:rsidP="00F322DE">
      <w:pPr>
        <w:spacing w:after="210"/>
        <w:rPr>
          <w:rFonts w:ascii="Lato" w:hAnsi="Lato"/>
        </w:rPr>
      </w:pPr>
      <w:r w:rsidRPr="00550BCB">
        <w:rPr>
          <w:rFonts w:ascii="Lato" w:eastAsia="inter" w:hAnsi="Lato" w:cs="inter"/>
          <w:color w:val="000000"/>
        </w:rPr>
        <w:t>Because AI’s value is realized in workflow, Reveleer tracks:</w:t>
      </w:r>
    </w:p>
    <w:p w14:paraId="49B99A2F" w14:textId="77777777" w:rsidR="00F322DE" w:rsidRPr="00550BCB" w:rsidRDefault="00F322DE" w:rsidP="00F322DE">
      <w:pPr>
        <w:numPr>
          <w:ilvl w:val="0"/>
          <w:numId w:val="17"/>
        </w:numPr>
        <w:spacing w:before="105" w:after="105"/>
        <w:rPr>
          <w:rFonts w:ascii="Lato" w:hAnsi="Lato"/>
        </w:rPr>
      </w:pPr>
      <w:commentRangeStart w:id="12"/>
      <w:r w:rsidRPr="00550BCB">
        <w:rPr>
          <w:rFonts w:ascii="Lato" w:eastAsia="inter" w:hAnsi="Lato" w:cs="inter"/>
          <w:color w:val="000000"/>
        </w:rPr>
        <w:lastRenderedPageBreak/>
        <w:t xml:space="preserve">Charts reviewed per coder per day, </w:t>
      </w:r>
      <w:r>
        <w:rPr>
          <w:rFonts w:ascii="Lato" w:eastAsia="inter" w:hAnsi="Lato" w:cs="inter"/>
          <w:color w:val="000000"/>
        </w:rPr>
        <w:t xml:space="preserve">charts eliminated from need for first-pass review, </w:t>
      </w:r>
      <w:r w:rsidRPr="00550BCB">
        <w:rPr>
          <w:rFonts w:ascii="Lato" w:eastAsia="inter" w:hAnsi="Lato" w:cs="inter"/>
          <w:color w:val="000000"/>
        </w:rPr>
        <w:t>and reductions in time per chart in AI</w:t>
      </w:r>
      <w:r w:rsidRPr="00550BCB">
        <w:rPr>
          <w:rFonts w:ascii="Cambria Math" w:eastAsia="inter" w:hAnsi="Cambria Math" w:cs="Cambria Math"/>
          <w:color w:val="000000"/>
        </w:rPr>
        <w:t>‑</w:t>
      </w:r>
      <w:r w:rsidRPr="00550BCB">
        <w:rPr>
          <w:rFonts w:ascii="Lato" w:eastAsia="inter" w:hAnsi="Lato" w:cs="inter"/>
          <w:color w:val="000000"/>
        </w:rPr>
        <w:t>assisted versus non</w:t>
      </w:r>
      <w:r w:rsidRPr="00550BCB">
        <w:rPr>
          <w:rFonts w:ascii="Cambria Math" w:eastAsia="inter" w:hAnsi="Cambria Math" w:cs="Cambria Math"/>
          <w:color w:val="000000"/>
        </w:rPr>
        <w:t>‑</w:t>
      </w:r>
      <w:r w:rsidRPr="00550BCB">
        <w:rPr>
          <w:rFonts w:ascii="Lato" w:eastAsia="inter" w:hAnsi="Lato" w:cs="inter"/>
          <w:color w:val="000000"/>
        </w:rPr>
        <w:t>assisted workflows.</w:t>
      </w:r>
      <w:commentRangeEnd w:id="12"/>
      <w:r w:rsidRPr="00550BCB">
        <w:rPr>
          <w:rStyle w:val="CommentReference"/>
          <w:rFonts w:ascii="Lato" w:hAnsi="Lato"/>
          <w:sz w:val="21"/>
          <w:szCs w:val="22"/>
        </w:rPr>
        <w:commentReference w:id="12"/>
      </w:r>
    </w:p>
    <w:p w14:paraId="705CEC44" w14:textId="77777777" w:rsidR="00F322DE" w:rsidRPr="00550BCB" w:rsidRDefault="00F322DE" w:rsidP="00F322DE">
      <w:pPr>
        <w:numPr>
          <w:ilvl w:val="0"/>
          <w:numId w:val="17"/>
        </w:numPr>
        <w:spacing w:before="105" w:after="105"/>
        <w:rPr>
          <w:rFonts w:ascii="Lato" w:hAnsi="Lato"/>
        </w:rPr>
      </w:pPr>
      <w:r>
        <w:rPr>
          <w:rFonts w:ascii="Lato" w:eastAsia="inter" w:hAnsi="Lato" w:cs="inter"/>
          <w:color w:val="000000"/>
        </w:rPr>
        <w:t>N</w:t>
      </w:r>
      <w:r w:rsidRPr="00550BCB">
        <w:rPr>
          <w:rFonts w:ascii="Lato" w:eastAsia="inter" w:hAnsi="Lato" w:cs="inter"/>
          <w:color w:val="000000"/>
        </w:rPr>
        <w:t>oise rate</w:t>
      </w:r>
      <w:r>
        <w:rPr>
          <w:rFonts w:ascii="Lato" w:eastAsia="inter" w:hAnsi="Lato" w:cs="inter"/>
          <w:color w:val="000000"/>
        </w:rPr>
        <w:t xml:space="preserve"> (the amount of inaccurate or in appropriate suggestions presented to the provider)</w:t>
      </w:r>
      <w:r w:rsidRPr="00550BCB">
        <w:rPr>
          <w:rFonts w:ascii="Lato" w:eastAsia="inter" w:hAnsi="Lato" w:cs="inter"/>
          <w:color w:val="000000"/>
        </w:rPr>
        <w:t xml:space="preserve"> and provider acceptance</w:t>
      </w:r>
      <w:r>
        <w:rPr>
          <w:rFonts w:ascii="Lato" w:eastAsia="inter" w:hAnsi="Lato" w:cs="inter"/>
          <w:color w:val="000000"/>
        </w:rPr>
        <w:t xml:space="preserve"> (the </w:t>
      </w:r>
      <w:proofErr w:type="gramStart"/>
      <w:r>
        <w:rPr>
          <w:rFonts w:ascii="Lato" w:eastAsia="inter" w:hAnsi="Lato" w:cs="inter"/>
          <w:color w:val="000000"/>
        </w:rPr>
        <w:t>amount</w:t>
      </w:r>
      <w:proofErr w:type="gramEnd"/>
      <w:r>
        <w:rPr>
          <w:rFonts w:ascii="Lato" w:eastAsia="inter" w:hAnsi="Lato" w:cs="inter"/>
          <w:color w:val="000000"/>
        </w:rPr>
        <w:t xml:space="preserve"> of accepted recommendations by the provider)</w:t>
      </w:r>
      <w:r w:rsidRPr="00550BCB">
        <w:rPr>
          <w:rFonts w:ascii="Lato" w:eastAsia="inter" w:hAnsi="Lato" w:cs="inter"/>
          <w:color w:val="000000"/>
        </w:rPr>
        <w:t xml:space="preserve"> </w:t>
      </w:r>
      <w:r>
        <w:rPr>
          <w:rFonts w:ascii="Lato" w:eastAsia="inter" w:hAnsi="Lato" w:cs="inter"/>
          <w:color w:val="000000"/>
        </w:rPr>
        <w:t>are the two key metrics driving effective AI-driven suspecting</w:t>
      </w:r>
      <w:r w:rsidRPr="00550BCB">
        <w:rPr>
          <w:rFonts w:ascii="Lato" w:eastAsia="inter" w:hAnsi="Lato" w:cs="inter"/>
          <w:color w:val="000000"/>
        </w:rPr>
        <w:t>. EVE Hybrid AI, for example, has shown up to three</w:t>
      </w:r>
      <w:r w:rsidRPr="00550BCB">
        <w:rPr>
          <w:rFonts w:ascii="Cambria Math" w:eastAsia="inter" w:hAnsi="Cambria Math" w:cs="Cambria Math"/>
          <w:color w:val="000000"/>
        </w:rPr>
        <w:t>‑</w:t>
      </w:r>
      <w:r w:rsidRPr="00550BCB">
        <w:rPr>
          <w:rFonts w:ascii="Lato" w:eastAsia="inter" w:hAnsi="Lato" w:cs="inter"/>
          <w:color w:val="000000"/>
        </w:rPr>
        <w:t>fold noise reduction compared with legacy NLP in prospective risk adjustment, which directly improves provider engagement and reduces abrasion.</w:t>
      </w:r>
    </w:p>
    <w:p w14:paraId="37E0E749" w14:textId="77777777" w:rsidR="00F322DE" w:rsidRPr="00550BCB" w:rsidRDefault="00F322DE" w:rsidP="00F322DE">
      <w:pPr>
        <w:numPr>
          <w:ilvl w:val="0"/>
          <w:numId w:val="17"/>
        </w:numPr>
        <w:spacing w:before="105" w:after="105"/>
        <w:rPr>
          <w:rFonts w:ascii="Lato" w:hAnsi="Lato"/>
        </w:rPr>
      </w:pPr>
      <w:r w:rsidRPr="00550BCB">
        <w:rPr>
          <w:rFonts w:ascii="Lato" w:eastAsia="inter" w:hAnsi="Lato" w:cs="inter"/>
          <w:color w:val="000000"/>
        </w:rPr>
        <w:t>Cycle times for risk and quality programs, including speed from data ingestion to action at the point of care.</w:t>
      </w:r>
    </w:p>
    <w:p w14:paraId="4A15BBA7" w14:textId="77777777" w:rsidR="00F322DE" w:rsidRPr="00550BCB" w:rsidRDefault="00F322DE" w:rsidP="00F322DE">
      <w:pPr>
        <w:spacing w:before="315" w:after="105"/>
        <w:ind w:left="-30"/>
        <w:rPr>
          <w:rFonts w:ascii="Lato" w:hAnsi="Lato"/>
        </w:rPr>
      </w:pPr>
      <w:bookmarkStart w:id="15" w:name="bm_4_3_clinical_financial_and_use_99b0bc"/>
      <w:r w:rsidRPr="00550BCB">
        <w:rPr>
          <w:rFonts w:ascii="Lato" w:eastAsia="inter" w:hAnsi="Lato" w:cs="inter"/>
          <w:b/>
          <w:color w:val="000000"/>
        </w:rPr>
        <w:t>4.3. Clinical, financial, and user</w:t>
      </w:r>
      <w:r w:rsidRPr="00550BCB">
        <w:rPr>
          <w:rFonts w:ascii="Cambria Math" w:eastAsia="inter" w:hAnsi="Cambria Math" w:cs="Cambria Math"/>
          <w:b/>
          <w:color w:val="000000"/>
        </w:rPr>
        <w:t>‑</w:t>
      </w:r>
      <w:r w:rsidRPr="00550BCB">
        <w:rPr>
          <w:rFonts w:ascii="Lato" w:eastAsia="inter" w:hAnsi="Lato" w:cs="inter"/>
          <w:b/>
          <w:color w:val="000000"/>
        </w:rPr>
        <w:t>experience evaluation</w:t>
      </w:r>
      <w:bookmarkEnd w:id="15"/>
    </w:p>
    <w:p w14:paraId="3ECCD13B" w14:textId="77777777" w:rsidR="00F322DE" w:rsidRPr="00550BCB" w:rsidRDefault="00F322DE" w:rsidP="00F322DE">
      <w:pPr>
        <w:spacing w:after="210"/>
        <w:rPr>
          <w:rFonts w:ascii="Lato" w:hAnsi="Lato"/>
        </w:rPr>
      </w:pPr>
      <w:r w:rsidRPr="00550BCB">
        <w:rPr>
          <w:rFonts w:ascii="Lato" w:eastAsia="inter" w:hAnsi="Lato" w:cs="inter"/>
          <w:color w:val="000000"/>
        </w:rPr>
        <w:t xml:space="preserve">Reveleer’s measurement framework </w:t>
      </w:r>
      <w:r>
        <w:rPr>
          <w:rFonts w:ascii="Lato" w:eastAsia="inter" w:hAnsi="Lato" w:cs="inter"/>
          <w:color w:val="000000"/>
        </w:rPr>
        <w:t>covers</w:t>
      </w:r>
      <w:r w:rsidRPr="00550BCB">
        <w:rPr>
          <w:rFonts w:ascii="Lato" w:eastAsia="inter" w:hAnsi="Lato" w:cs="inter"/>
          <w:color w:val="000000"/>
        </w:rPr>
        <w:t xml:space="preserve"> four domains:</w:t>
      </w:r>
    </w:p>
    <w:p w14:paraId="52839CEC" w14:textId="77777777" w:rsidR="00F322DE" w:rsidRPr="00550BCB" w:rsidRDefault="00F322DE" w:rsidP="00F322DE">
      <w:pPr>
        <w:numPr>
          <w:ilvl w:val="0"/>
          <w:numId w:val="18"/>
        </w:numPr>
        <w:spacing w:before="105" w:after="105"/>
        <w:rPr>
          <w:rFonts w:ascii="Lato" w:hAnsi="Lato"/>
        </w:rPr>
      </w:pPr>
      <w:r w:rsidRPr="00FA6715">
        <w:rPr>
          <w:rFonts w:ascii="Lato" w:eastAsia="inter" w:hAnsi="Lato" w:cs="inter"/>
          <w:b/>
          <w:bCs/>
          <w:color w:val="000000"/>
        </w:rPr>
        <w:t>Clinical outcomes</w:t>
      </w:r>
      <w:r w:rsidRPr="00550BCB">
        <w:rPr>
          <w:rFonts w:ascii="Lato" w:eastAsia="inter" w:hAnsi="Lato" w:cs="inter"/>
          <w:color w:val="000000"/>
        </w:rPr>
        <w:t>, including condition detection and documentation rates, adherence to evidence</w:t>
      </w:r>
      <w:r w:rsidRPr="00550BCB">
        <w:rPr>
          <w:rFonts w:ascii="Cambria Math" w:eastAsia="inter" w:hAnsi="Cambria Math" w:cs="Cambria Math"/>
          <w:color w:val="000000"/>
        </w:rPr>
        <w:t>‑</w:t>
      </w:r>
      <w:r w:rsidRPr="00550BCB">
        <w:rPr>
          <w:rFonts w:ascii="Lato" w:eastAsia="inter" w:hAnsi="Lato" w:cs="inter"/>
          <w:color w:val="000000"/>
        </w:rPr>
        <w:t>based care pathways, and avoidable utilization.</w:t>
      </w:r>
    </w:p>
    <w:p w14:paraId="1E27F76F" w14:textId="77777777" w:rsidR="00F322DE" w:rsidRPr="00550BCB" w:rsidRDefault="00F322DE" w:rsidP="00F322DE">
      <w:pPr>
        <w:numPr>
          <w:ilvl w:val="0"/>
          <w:numId w:val="18"/>
        </w:numPr>
        <w:spacing w:before="105" w:after="105"/>
        <w:rPr>
          <w:rFonts w:ascii="Lato" w:hAnsi="Lato"/>
        </w:rPr>
      </w:pPr>
      <w:r w:rsidRPr="00FA6715">
        <w:rPr>
          <w:rFonts w:ascii="Lato" w:eastAsia="inter" w:hAnsi="Lato" w:cs="inter"/>
          <w:b/>
          <w:bCs/>
          <w:color w:val="000000"/>
        </w:rPr>
        <w:t>Financial performance</w:t>
      </w:r>
      <w:r w:rsidRPr="00550BCB">
        <w:rPr>
          <w:rFonts w:ascii="Lato" w:eastAsia="inter" w:hAnsi="Lato" w:cs="inter"/>
          <w:color w:val="000000"/>
        </w:rPr>
        <w:t>, including RAF accuracy, Star Ratings, medical loss ratio, and ROI for AI</w:t>
      </w:r>
      <w:r w:rsidRPr="00550BCB">
        <w:rPr>
          <w:rFonts w:ascii="Cambria Math" w:eastAsia="inter" w:hAnsi="Cambria Math" w:cs="Cambria Math"/>
          <w:color w:val="000000"/>
        </w:rPr>
        <w:t>‑</w:t>
      </w:r>
      <w:r w:rsidRPr="00550BCB">
        <w:rPr>
          <w:rFonts w:ascii="Lato" w:eastAsia="inter" w:hAnsi="Lato" w:cs="inter"/>
          <w:color w:val="000000"/>
        </w:rPr>
        <w:t>enabled programs (e.g., increased value per chart, reduced administrative costs).</w:t>
      </w:r>
    </w:p>
    <w:p w14:paraId="7E4C0DCD" w14:textId="77777777" w:rsidR="00F322DE" w:rsidRPr="00550BCB" w:rsidRDefault="00F322DE" w:rsidP="00F322DE">
      <w:pPr>
        <w:numPr>
          <w:ilvl w:val="0"/>
          <w:numId w:val="18"/>
        </w:numPr>
        <w:spacing w:before="105" w:after="105"/>
        <w:rPr>
          <w:rFonts w:ascii="Lato" w:hAnsi="Lato"/>
        </w:rPr>
      </w:pPr>
      <w:r w:rsidRPr="00FA6715">
        <w:rPr>
          <w:rFonts w:ascii="Lato" w:eastAsia="inter" w:hAnsi="Lato" w:cs="inter"/>
          <w:b/>
          <w:bCs/>
          <w:color w:val="000000"/>
        </w:rPr>
        <w:t>Operational efficiency</w:t>
      </w:r>
      <w:r w:rsidRPr="00550BCB">
        <w:rPr>
          <w:rFonts w:ascii="Lato" w:eastAsia="inter" w:hAnsi="Lato" w:cs="inter"/>
          <w:color w:val="000000"/>
        </w:rPr>
        <w:t>, including abstraction throughput, error rates, and end</w:t>
      </w:r>
      <w:r w:rsidRPr="00550BCB">
        <w:rPr>
          <w:rFonts w:ascii="Cambria Math" w:eastAsia="inter" w:hAnsi="Cambria Math" w:cs="Cambria Math"/>
          <w:color w:val="000000"/>
        </w:rPr>
        <w:t>‑</w:t>
      </w:r>
      <w:r w:rsidRPr="00550BCB">
        <w:rPr>
          <w:rFonts w:ascii="Lato" w:eastAsia="inter" w:hAnsi="Lato" w:cs="inter"/>
          <w:color w:val="000000"/>
        </w:rPr>
        <w:t>to</w:t>
      </w:r>
      <w:r w:rsidRPr="00550BCB">
        <w:rPr>
          <w:rFonts w:ascii="Cambria Math" w:eastAsia="inter" w:hAnsi="Cambria Math" w:cs="Cambria Math"/>
          <w:color w:val="000000"/>
        </w:rPr>
        <w:t>‑</w:t>
      </w:r>
      <w:r w:rsidRPr="00550BCB">
        <w:rPr>
          <w:rFonts w:ascii="Lato" w:eastAsia="inter" w:hAnsi="Lato" w:cs="inter"/>
          <w:color w:val="000000"/>
        </w:rPr>
        <w:t>end cycle time for key value</w:t>
      </w:r>
      <w:r w:rsidRPr="00550BCB">
        <w:rPr>
          <w:rFonts w:ascii="Cambria Math" w:eastAsia="inter" w:hAnsi="Cambria Math" w:cs="Cambria Math"/>
          <w:color w:val="000000"/>
        </w:rPr>
        <w:t>‑</w:t>
      </w:r>
      <w:r w:rsidRPr="00550BCB">
        <w:rPr>
          <w:rFonts w:ascii="Lato" w:eastAsia="inter" w:hAnsi="Lato" w:cs="inter"/>
          <w:color w:val="000000"/>
        </w:rPr>
        <w:t>based workflows.</w:t>
      </w:r>
    </w:p>
    <w:p w14:paraId="46BA5F51" w14:textId="77777777" w:rsidR="00F322DE" w:rsidRPr="00550BCB" w:rsidRDefault="00F322DE" w:rsidP="00F322DE">
      <w:pPr>
        <w:numPr>
          <w:ilvl w:val="0"/>
          <w:numId w:val="18"/>
        </w:numPr>
        <w:spacing w:before="105" w:after="105"/>
        <w:rPr>
          <w:rFonts w:ascii="Lato" w:hAnsi="Lato"/>
        </w:rPr>
      </w:pPr>
      <w:r w:rsidRPr="009469B9">
        <w:rPr>
          <w:rFonts w:ascii="Lato" w:eastAsia="inter" w:hAnsi="Lato" w:cs="inter"/>
          <w:b/>
          <w:bCs/>
          <w:color w:val="000000"/>
        </w:rPr>
        <w:t xml:space="preserve">User experience and </w:t>
      </w:r>
      <w:r>
        <w:rPr>
          <w:rFonts w:ascii="Lato" w:eastAsia="inter" w:hAnsi="Lato" w:cs="inter"/>
          <w:b/>
          <w:bCs/>
          <w:color w:val="000000"/>
        </w:rPr>
        <w:t xml:space="preserve">AI </w:t>
      </w:r>
      <w:r w:rsidRPr="009469B9">
        <w:rPr>
          <w:rFonts w:ascii="Lato" w:eastAsia="inter" w:hAnsi="Lato" w:cs="inter"/>
          <w:b/>
          <w:bCs/>
          <w:color w:val="000000"/>
        </w:rPr>
        <w:t>trust</w:t>
      </w:r>
      <w:r w:rsidRPr="00550BCB">
        <w:rPr>
          <w:rFonts w:ascii="Lato" w:eastAsia="inter" w:hAnsi="Lato" w:cs="inter"/>
          <w:color w:val="000000"/>
        </w:rPr>
        <w:t>, including coder and clinician satisfaction, agreement rates with AI recommendations, and adoption analytics.</w:t>
      </w:r>
    </w:p>
    <w:p w14:paraId="76E78B34" w14:textId="77777777" w:rsidR="00F322DE" w:rsidRPr="00550BCB" w:rsidRDefault="00F322DE" w:rsidP="00F322DE">
      <w:pPr>
        <w:spacing w:after="210"/>
        <w:rPr>
          <w:rFonts w:ascii="Lato" w:hAnsi="Lato"/>
        </w:rPr>
      </w:pPr>
      <w:r w:rsidRPr="00550BCB">
        <w:rPr>
          <w:rFonts w:ascii="Lato" w:eastAsia="inter" w:hAnsi="Lato" w:cs="inter"/>
          <w:color w:val="000000"/>
        </w:rPr>
        <w:t>HHS should support these processes by:</w:t>
      </w:r>
    </w:p>
    <w:p w14:paraId="2BD42F7F" w14:textId="77777777" w:rsidR="00F322DE" w:rsidRPr="00550BCB" w:rsidRDefault="00F322DE" w:rsidP="00F322DE">
      <w:pPr>
        <w:numPr>
          <w:ilvl w:val="0"/>
          <w:numId w:val="19"/>
        </w:numPr>
        <w:spacing w:before="105" w:after="105"/>
        <w:rPr>
          <w:rFonts w:ascii="Lato" w:hAnsi="Lato"/>
        </w:rPr>
      </w:pPr>
      <w:r w:rsidRPr="00550BCB">
        <w:rPr>
          <w:rFonts w:ascii="Lato" w:eastAsia="inter" w:hAnsi="Lato" w:cs="inter"/>
          <w:color w:val="000000"/>
        </w:rPr>
        <w:t>Funding multi</w:t>
      </w:r>
      <w:r w:rsidRPr="00550BCB">
        <w:rPr>
          <w:rFonts w:ascii="Cambria Math" w:eastAsia="inter" w:hAnsi="Cambria Math" w:cs="Cambria Math"/>
          <w:color w:val="000000"/>
        </w:rPr>
        <w:t>‑</w:t>
      </w:r>
      <w:r w:rsidRPr="00550BCB">
        <w:rPr>
          <w:rFonts w:ascii="Lato" w:eastAsia="inter" w:hAnsi="Lato" w:cs="inter"/>
          <w:color w:val="000000"/>
        </w:rPr>
        <w:t>site evaluation consortia and pragmatic trials that use standardized measurement frameworks to compare AI</w:t>
      </w:r>
      <w:r w:rsidRPr="00550BCB">
        <w:rPr>
          <w:rFonts w:ascii="Cambria Math" w:eastAsia="inter" w:hAnsi="Cambria Math" w:cs="Cambria Math"/>
          <w:color w:val="000000"/>
        </w:rPr>
        <w:t>‑</w:t>
      </w:r>
      <w:r w:rsidRPr="00550BCB">
        <w:rPr>
          <w:rFonts w:ascii="Lato" w:eastAsia="inter" w:hAnsi="Lato" w:cs="inter"/>
          <w:color w:val="000000"/>
        </w:rPr>
        <w:t>assisted and human</w:t>
      </w:r>
      <w:r w:rsidRPr="00550BCB">
        <w:rPr>
          <w:rFonts w:ascii="Cambria Math" w:eastAsia="inter" w:hAnsi="Cambria Math" w:cs="Cambria Math"/>
          <w:color w:val="000000"/>
        </w:rPr>
        <w:t>‑</w:t>
      </w:r>
      <w:r w:rsidRPr="00550BCB">
        <w:rPr>
          <w:rFonts w:ascii="Lato" w:eastAsia="inter" w:hAnsi="Lato" w:cs="inter"/>
          <w:color w:val="000000"/>
        </w:rPr>
        <w:t>only processes in risk adjustment and quality.</w:t>
      </w:r>
    </w:p>
    <w:p w14:paraId="062EDA4E" w14:textId="77777777" w:rsidR="00F322DE" w:rsidRPr="00550BCB" w:rsidRDefault="00F322DE" w:rsidP="00F322DE">
      <w:pPr>
        <w:numPr>
          <w:ilvl w:val="0"/>
          <w:numId w:val="19"/>
        </w:numPr>
        <w:spacing w:before="105" w:after="105"/>
        <w:rPr>
          <w:rFonts w:ascii="Lato" w:hAnsi="Lato"/>
        </w:rPr>
      </w:pPr>
      <w:r w:rsidRPr="00550BCB">
        <w:rPr>
          <w:rFonts w:ascii="Lato" w:eastAsia="inter" w:hAnsi="Lato" w:cs="inter"/>
          <w:color w:val="000000"/>
        </w:rPr>
        <w:lastRenderedPageBreak/>
        <w:t>Supporting prize competitions and cooperative agreements for tools that provide open benchmarking harnesses, synthetic test sets, and measurement standards for non</w:t>
      </w:r>
      <w:r w:rsidRPr="00550BCB">
        <w:rPr>
          <w:rFonts w:ascii="Cambria Math" w:eastAsia="inter" w:hAnsi="Cambria Math" w:cs="Cambria Math"/>
          <w:color w:val="000000"/>
        </w:rPr>
        <w:t>‑</w:t>
      </w:r>
      <w:r w:rsidRPr="00550BCB">
        <w:rPr>
          <w:rFonts w:ascii="Lato" w:eastAsia="inter" w:hAnsi="Lato" w:cs="inter"/>
          <w:color w:val="000000"/>
        </w:rPr>
        <w:t>device AI in clinical care.</w:t>
      </w:r>
    </w:p>
    <w:p w14:paraId="4E799A88" w14:textId="77777777" w:rsidR="00F322DE" w:rsidRPr="00550BCB" w:rsidRDefault="00F322DE" w:rsidP="00F322DE">
      <w:pPr>
        <w:numPr>
          <w:ilvl w:val="0"/>
          <w:numId w:val="19"/>
        </w:numPr>
        <w:spacing w:before="105" w:after="105"/>
        <w:rPr>
          <w:rFonts w:ascii="Lato" w:hAnsi="Lato"/>
        </w:rPr>
      </w:pPr>
      <w:r w:rsidRPr="00550BCB">
        <w:rPr>
          <w:rFonts w:ascii="Lato" w:eastAsia="inter" w:hAnsi="Lato" w:cs="inter"/>
          <w:color w:val="000000"/>
        </w:rPr>
        <w:t>Using federal contracts and grant conditions to require evidence</w:t>
      </w:r>
      <w:r w:rsidRPr="00550BCB">
        <w:rPr>
          <w:rFonts w:ascii="Cambria Math" w:eastAsia="inter" w:hAnsi="Cambria Math" w:cs="Cambria Math"/>
          <w:color w:val="000000"/>
        </w:rPr>
        <w:t>‑</w:t>
      </w:r>
      <w:r w:rsidRPr="00550BCB">
        <w:rPr>
          <w:rFonts w:ascii="Lato" w:eastAsia="inter" w:hAnsi="Lato" w:cs="inter"/>
          <w:color w:val="000000"/>
        </w:rPr>
        <w:t>linked, explainable AI and continuous monitoring in HHS</w:t>
      </w:r>
      <w:r w:rsidRPr="00550BCB">
        <w:rPr>
          <w:rFonts w:ascii="Cambria Math" w:eastAsia="inter" w:hAnsi="Cambria Math" w:cs="Cambria Math"/>
          <w:color w:val="000000"/>
        </w:rPr>
        <w:t>‑</w:t>
      </w:r>
      <w:r w:rsidRPr="00550BCB">
        <w:rPr>
          <w:rFonts w:ascii="Lato" w:eastAsia="inter" w:hAnsi="Lato" w:cs="inter"/>
          <w:color w:val="000000"/>
        </w:rPr>
        <w:t>funded pilots, normalizing these evaluation practices.</w:t>
      </w:r>
    </w:p>
    <w:p w14:paraId="2A2A3617" w14:textId="1A110C20" w:rsidR="00F322DE" w:rsidRPr="00550BCB" w:rsidRDefault="00F322DE" w:rsidP="00F322DE">
      <w:pPr>
        <w:spacing w:before="210" w:after="0"/>
        <w:rPr>
          <w:rFonts w:ascii="Lato" w:hAnsi="Lato"/>
        </w:rPr>
      </w:pPr>
      <w:r>
        <w:rPr>
          <w:noProof/>
        </w:rPr>
        <mc:AlternateContent>
          <mc:Choice Requires="wps">
            <w:drawing>
              <wp:inline distT="0" distB="0" distL="0" distR="0" wp14:anchorId="501D20C5" wp14:editId="087F05EE">
                <wp:extent cx="6038850" cy="635"/>
                <wp:effectExtent l="0" t="0" r="19050" b="24765"/>
                <wp:docPr id="182447013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5735C96" id="Rectangle 1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3069CC4D" w14:textId="77777777" w:rsidR="00F322DE" w:rsidRPr="00550BCB" w:rsidRDefault="00F322DE" w:rsidP="00F322DE">
      <w:pPr>
        <w:spacing w:before="315" w:after="105"/>
        <w:ind w:left="-30"/>
        <w:rPr>
          <w:rFonts w:ascii="Lato" w:hAnsi="Lato"/>
        </w:rPr>
      </w:pPr>
      <w:bookmarkStart w:id="16" w:name="bm_5_supporting_private_sector_ac_5d2eb5"/>
      <w:r w:rsidRPr="00550BCB">
        <w:rPr>
          <w:rFonts w:ascii="Lato" w:eastAsia="inter" w:hAnsi="Lato" w:cs="inter"/>
          <w:b/>
          <w:color w:val="000000"/>
        </w:rPr>
        <w:t>5. Supporting private</w:t>
      </w:r>
      <w:r w:rsidRPr="00550BCB">
        <w:rPr>
          <w:rFonts w:ascii="Cambria Math" w:eastAsia="inter" w:hAnsi="Cambria Math" w:cs="Cambria Math"/>
          <w:b/>
          <w:color w:val="000000"/>
        </w:rPr>
        <w:t>‑</w:t>
      </w:r>
      <w:r w:rsidRPr="00550BCB">
        <w:rPr>
          <w:rFonts w:ascii="Lato" w:eastAsia="inter" w:hAnsi="Lato" w:cs="inter"/>
          <w:b/>
          <w:color w:val="000000"/>
        </w:rPr>
        <w:t>sector accreditation, certification, and testing</w:t>
      </w:r>
      <w:bookmarkEnd w:id="16"/>
    </w:p>
    <w:p w14:paraId="65CF656F" w14:textId="77777777" w:rsidR="00F322DE" w:rsidRPr="00550BCB" w:rsidRDefault="00F322DE" w:rsidP="00F322DE">
      <w:pPr>
        <w:spacing w:after="210"/>
        <w:rPr>
          <w:rFonts w:ascii="Lato" w:hAnsi="Lato"/>
        </w:rPr>
      </w:pPr>
      <w:r w:rsidRPr="00550BCB">
        <w:rPr>
          <w:rFonts w:ascii="Lato" w:eastAsia="inter" w:hAnsi="Lato" w:cs="inter"/>
          <w:color w:val="000000"/>
        </w:rPr>
        <w:t>To promote responsible innovation while avoiding duplicative regulation, HHS could:</w:t>
      </w:r>
    </w:p>
    <w:p w14:paraId="60734DC1" w14:textId="77777777" w:rsidR="00F322DE" w:rsidRPr="00550BCB" w:rsidRDefault="00F322DE" w:rsidP="00F322DE">
      <w:pPr>
        <w:numPr>
          <w:ilvl w:val="0"/>
          <w:numId w:val="20"/>
        </w:numPr>
        <w:spacing w:before="105" w:after="105"/>
        <w:rPr>
          <w:rFonts w:ascii="Lato" w:hAnsi="Lato"/>
        </w:rPr>
      </w:pPr>
      <w:r w:rsidRPr="00550BCB">
        <w:rPr>
          <w:rFonts w:ascii="Lato" w:eastAsia="inter" w:hAnsi="Lato" w:cs="inter"/>
          <w:color w:val="000000"/>
        </w:rPr>
        <w:t>Endorse or co</w:t>
      </w:r>
      <w:r w:rsidRPr="00550BCB">
        <w:rPr>
          <w:rFonts w:ascii="Cambria Math" w:eastAsia="inter" w:hAnsi="Cambria Math" w:cs="Cambria Math"/>
          <w:color w:val="000000"/>
        </w:rPr>
        <w:t>‑</w:t>
      </w:r>
      <w:r w:rsidRPr="00550BCB">
        <w:rPr>
          <w:rFonts w:ascii="Lato" w:eastAsia="inter" w:hAnsi="Lato" w:cs="inter"/>
          <w:color w:val="000000"/>
        </w:rPr>
        <w:t>develop voluntary AI assurance frameworks for non</w:t>
      </w:r>
      <w:r w:rsidRPr="00550BCB">
        <w:rPr>
          <w:rFonts w:ascii="Cambria Math" w:eastAsia="inter" w:hAnsi="Cambria Math" w:cs="Cambria Math"/>
          <w:color w:val="000000"/>
        </w:rPr>
        <w:t>‑</w:t>
      </w:r>
      <w:r w:rsidRPr="00550BCB">
        <w:rPr>
          <w:rFonts w:ascii="Lato" w:eastAsia="inter" w:hAnsi="Lato" w:cs="inter"/>
          <w:color w:val="000000"/>
        </w:rPr>
        <w:t>device clinical AI that emphasize transparency, evidence linkage, bias monitoring, and human oversight—analogous to HITRUST and SOC 2 for security and privacy.</w:t>
      </w:r>
    </w:p>
    <w:p w14:paraId="427ADDAC" w14:textId="77777777" w:rsidR="00F322DE" w:rsidRPr="00550BCB" w:rsidRDefault="00F322DE" w:rsidP="00F322DE">
      <w:pPr>
        <w:numPr>
          <w:ilvl w:val="0"/>
          <w:numId w:val="20"/>
        </w:numPr>
        <w:spacing w:before="105" w:after="105"/>
        <w:rPr>
          <w:rFonts w:ascii="Lato" w:hAnsi="Lato"/>
        </w:rPr>
      </w:pPr>
      <w:r w:rsidRPr="00550BCB">
        <w:rPr>
          <w:rFonts w:ascii="Lato" w:eastAsia="inter" w:hAnsi="Lato" w:cs="inter"/>
          <w:color w:val="000000"/>
        </w:rPr>
        <w:t>Partner with industry on “</w:t>
      </w:r>
      <w:proofErr w:type="spellStart"/>
      <w:r w:rsidRPr="00550BCB">
        <w:rPr>
          <w:rFonts w:ascii="Lato" w:eastAsia="inter" w:hAnsi="Lato" w:cs="inter"/>
          <w:color w:val="000000"/>
        </w:rPr>
        <w:t>trustmarks</w:t>
      </w:r>
      <w:proofErr w:type="spellEnd"/>
      <w:r w:rsidRPr="00550BCB">
        <w:rPr>
          <w:rFonts w:ascii="Lato" w:eastAsia="inter" w:hAnsi="Lato" w:cs="inter"/>
          <w:color w:val="000000"/>
        </w:rPr>
        <w:t>” for AI</w:t>
      </w:r>
      <w:r w:rsidRPr="00550BCB">
        <w:rPr>
          <w:rFonts w:ascii="Cambria Math" w:eastAsia="inter" w:hAnsi="Cambria Math" w:cs="Cambria Math"/>
          <w:color w:val="000000"/>
        </w:rPr>
        <w:t>‑</w:t>
      </w:r>
      <w:r w:rsidRPr="00550BCB">
        <w:rPr>
          <w:rFonts w:ascii="Lato" w:eastAsia="inter" w:hAnsi="Lato" w:cs="inter"/>
          <w:color w:val="000000"/>
        </w:rPr>
        <w:t>ready clinical data and interoperable evidence layers, signaling that organizations meet standards for data quality, provenance tracking, and standardized APIs necessary for safe AI.</w:t>
      </w:r>
    </w:p>
    <w:p w14:paraId="7E96F349" w14:textId="77777777" w:rsidR="00F322DE" w:rsidRPr="00550BCB" w:rsidRDefault="00F322DE" w:rsidP="00F322DE">
      <w:pPr>
        <w:numPr>
          <w:ilvl w:val="0"/>
          <w:numId w:val="20"/>
        </w:numPr>
        <w:spacing w:before="105" w:after="105"/>
        <w:rPr>
          <w:rFonts w:ascii="Lato" w:hAnsi="Lato"/>
        </w:rPr>
      </w:pPr>
      <w:r w:rsidRPr="00550BCB">
        <w:rPr>
          <w:rFonts w:ascii="Lato" w:eastAsia="inter" w:hAnsi="Lato" w:cs="inter"/>
          <w:color w:val="000000"/>
        </w:rPr>
        <w:t>Support independent testing labs or collaboratives that benchmark AI tools against standardized test cases (including synthetic data) for risk adjustment, quality abstraction, and care gap detection, with results published in a transparent registry.</w:t>
      </w:r>
    </w:p>
    <w:p w14:paraId="000035A1" w14:textId="77777777" w:rsidR="00F322DE" w:rsidRPr="00550BCB" w:rsidRDefault="00F322DE" w:rsidP="00F322DE">
      <w:pPr>
        <w:numPr>
          <w:ilvl w:val="0"/>
          <w:numId w:val="20"/>
        </w:numPr>
        <w:spacing w:before="105" w:after="105"/>
        <w:rPr>
          <w:rFonts w:ascii="Lato" w:hAnsi="Lato"/>
        </w:rPr>
      </w:pPr>
      <w:r w:rsidRPr="00550BCB">
        <w:rPr>
          <w:rFonts w:ascii="Lato" w:eastAsia="inter" w:hAnsi="Lato" w:cs="inter"/>
          <w:color w:val="000000"/>
        </w:rPr>
        <w:t>Leverage CMS contracts and quality programs to reward participation in such accreditation schemes—for example, by recognizing accredited AI workflows as meeting certain documentation sufficiency criteria for quality programs, while retaining audit rights.</w:t>
      </w:r>
    </w:p>
    <w:p w14:paraId="23160994" w14:textId="77777777" w:rsidR="00F322DE" w:rsidRPr="00550BCB" w:rsidRDefault="00F322DE" w:rsidP="00F322DE">
      <w:pPr>
        <w:spacing w:after="210"/>
        <w:rPr>
          <w:rFonts w:ascii="Lato" w:hAnsi="Lato"/>
        </w:rPr>
      </w:pPr>
      <w:r w:rsidRPr="00550BCB">
        <w:rPr>
          <w:rFonts w:ascii="Lato" w:eastAsia="inter" w:hAnsi="Lato" w:cs="inter"/>
          <w:color w:val="000000"/>
        </w:rPr>
        <w:t>These actions would reinforce the direction Reveleer has already taken with EVE—emphasizing explainable, audit</w:t>
      </w:r>
      <w:r w:rsidRPr="00550BCB">
        <w:rPr>
          <w:rFonts w:ascii="Cambria Math" w:eastAsia="inter" w:hAnsi="Cambria Math" w:cs="Cambria Math"/>
          <w:color w:val="000000"/>
        </w:rPr>
        <w:t>‑</w:t>
      </w:r>
      <w:r w:rsidRPr="00550BCB">
        <w:rPr>
          <w:rFonts w:ascii="Lato" w:eastAsia="inter" w:hAnsi="Lato" w:cs="inter"/>
          <w:color w:val="000000"/>
        </w:rPr>
        <w:t>ready outputs and rigorous governance—while giving the broader market clear reference points for trustworthy AI.</w:t>
      </w:r>
    </w:p>
    <w:p w14:paraId="1F7A2D10" w14:textId="77777777" w:rsidR="00F322DE" w:rsidRPr="00550BCB" w:rsidRDefault="00F322DE" w:rsidP="00F322DE">
      <w:pPr>
        <w:spacing w:before="210" w:after="0"/>
        <w:rPr>
          <w:rFonts w:ascii="Lato" w:hAnsi="Lato"/>
        </w:rPr>
      </w:pPr>
      <w:r>
        <w:rPr>
          <w:noProof/>
        </w:rPr>
        <w:lastRenderedPageBreak/>
        <mc:AlternateContent>
          <mc:Choice Requires="wps">
            <w:drawing>
              <wp:inline distT="0" distB="0" distL="0" distR="0" wp14:anchorId="39D8BA46" wp14:editId="4A6EDBB5">
                <wp:extent cx="6038850" cy="635"/>
                <wp:effectExtent l="0" t="0" r="19050" b="24765"/>
                <wp:docPr id="45013397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8A809DD" id="Rectangle 1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r>
        <w:rPr>
          <w:noProof/>
        </w:rPr>
        <mc:AlternateContent>
          <mc:Choice Requires="wps">
            <w:drawing>
              <wp:inline distT="0" distB="0" distL="0" distR="0" wp14:anchorId="19EF8526" wp14:editId="14D3C6D8">
                <wp:extent cx="6038850" cy="635"/>
                <wp:effectExtent l="0" t="0" r="19050" b="24765"/>
                <wp:docPr id="77196787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DDF6647" id="Rectangle 1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2D1F8C37" w14:textId="77777777" w:rsidR="00F322DE" w:rsidRPr="00550BCB" w:rsidRDefault="00F322DE" w:rsidP="00F322DE">
      <w:pPr>
        <w:spacing w:before="315" w:after="105"/>
        <w:ind w:left="-30"/>
        <w:rPr>
          <w:rFonts w:ascii="Lato" w:hAnsi="Lato"/>
        </w:rPr>
      </w:pPr>
      <w:bookmarkStart w:id="17" w:name="bm_6_where_ai_has_met_or_fallen_s_8f3687"/>
      <w:r w:rsidRPr="00550BCB">
        <w:rPr>
          <w:rFonts w:ascii="Lato" w:eastAsia="inter" w:hAnsi="Lato" w:cs="inter"/>
          <w:b/>
          <w:color w:val="000000"/>
        </w:rPr>
        <w:t>6. Where AI has met or fallen short; high</w:t>
      </w:r>
      <w:r w:rsidRPr="00550BCB">
        <w:rPr>
          <w:rFonts w:ascii="Cambria Math" w:eastAsia="inter" w:hAnsi="Cambria Math" w:cs="Cambria Math"/>
          <w:b/>
          <w:color w:val="000000"/>
        </w:rPr>
        <w:t>‑</w:t>
      </w:r>
      <w:r w:rsidRPr="00550BCB">
        <w:rPr>
          <w:rFonts w:ascii="Lato" w:eastAsia="inter" w:hAnsi="Lato" w:cs="inter"/>
          <w:b/>
          <w:color w:val="000000"/>
        </w:rPr>
        <w:t>impact future tools</w:t>
      </w:r>
      <w:bookmarkEnd w:id="17"/>
    </w:p>
    <w:p w14:paraId="2E52E5CF" w14:textId="77777777" w:rsidR="00F322DE" w:rsidRPr="00550BCB" w:rsidRDefault="00F322DE" w:rsidP="00F322DE">
      <w:pPr>
        <w:spacing w:before="315" w:after="105"/>
        <w:ind w:left="-30"/>
        <w:rPr>
          <w:rFonts w:ascii="Lato" w:hAnsi="Lato"/>
        </w:rPr>
      </w:pPr>
      <w:bookmarkStart w:id="18" w:name="bm_6_1_areas_where_ai_has_met_or_757c90"/>
      <w:r w:rsidRPr="00550BCB">
        <w:rPr>
          <w:rFonts w:ascii="Lato" w:eastAsia="inter" w:hAnsi="Lato" w:cs="inter"/>
          <w:b/>
          <w:color w:val="000000"/>
        </w:rPr>
        <w:t>6.1. Areas where AI has met or exceeded expectations</w:t>
      </w:r>
      <w:bookmarkEnd w:id="18"/>
    </w:p>
    <w:p w14:paraId="3D470925" w14:textId="77777777" w:rsidR="00F322DE" w:rsidRPr="00550BCB" w:rsidRDefault="00F322DE" w:rsidP="00F322DE">
      <w:pPr>
        <w:spacing w:after="210"/>
        <w:rPr>
          <w:rFonts w:ascii="Lato" w:hAnsi="Lato"/>
        </w:rPr>
      </w:pPr>
      <w:r w:rsidRPr="00550BCB">
        <w:rPr>
          <w:rFonts w:ascii="Lato" w:eastAsia="inter" w:hAnsi="Lato" w:cs="inter"/>
          <w:color w:val="000000"/>
        </w:rPr>
        <w:t>Reveleer and its clients have observed strong performance where AI is:</w:t>
      </w:r>
    </w:p>
    <w:p w14:paraId="6936AD33" w14:textId="77777777" w:rsidR="00F322DE" w:rsidRPr="00550BCB" w:rsidRDefault="00F322DE" w:rsidP="00F322DE">
      <w:pPr>
        <w:numPr>
          <w:ilvl w:val="0"/>
          <w:numId w:val="21"/>
        </w:numPr>
        <w:spacing w:before="105" w:after="105"/>
        <w:rPr>
          <w:rFonts w:ascii="Lato" w:hAnsi="Lato"/>
        </w:rPr>
      </w:pPr>
      <w:r w:rsidRPr="00550BCB">
        <w:rPr>
          <w:rFonts w:ascii="Lato" w:eastAsia="inter" w:hAnsi="Lato" w:cs="inter"/>
          <w:color w:val="000000"/>
        </w:rPr>
        <w:t>Powering prospective risk adjustment and clinical intelligence, enabling more accurate risk stratification, earlier detection of undiagnosed conditions, and improved provider documentation at the point of care. Organizations using such tools have seen better provider engagement and measurable RAF improvements.</w:t>
      </w:r>
    </w:p>
    <w:p w14:paraId="719F78C8" w14:textId="77777777" w:rsidR="00F322DE" w:rsidRPr="00550BCB" w:rsidRDefault="00F322DE" w:rsidP="00F322DE">
      <w:pPr>
        <w:numPr>
          <w:ilvl w:val="0"/>
          <w:numId w:val="21"/>
        </w:numPr>
        <w:spacing w:before="105" w:after="105"/>
        <w:rPr>
          <w:rFonts w:ascii="Lato" w:hAnsi="Lato"/>
        </w:rPr>
      </w:pPr>
      <w:r w:rsidRPr="00550BCB">
        <w:rPr>
          <w:rFonts w:ascii="Lato" w:eastAsia="inter" w:hAnsi="Lato" w:cs="inter"/>
          <w:color w:val="000000"/>
        </w:rPr>
        <w:t>Supporting digital quality abstraction and care gap closure, increasing throughput and precision in quality measures and improving Star Ratings through better gap targeting and closure.</w:t>
      </w:r>
    </w:p>
    <w:p w14:paraId="0DE98925" w14:textId="77777777" w:rsidR="00F322DE" w:rsidRPr="00550BCB" w:rsidRDefault="00F322DE" w:rsidP="00F322DE">
      <w:pPr>
        <w:numPr>
          <w:ilvl w:val="0"/>
          <w:numId w:val="21"/>
        </w:numPr>
        <w:spacing w:before="105" w:after="105"/>
        <w:rPr>
          <w:rFonts w:ascii="Lato" w:hAnsi="Lato"/>
        </w:rPr>
      </w:pPr>
      <w:r w:rsidRPr="00550BCB">
        <w:rPr>
          <w:rFonts w:ascii="Lato" w:eastAsia="inter" w:hAnsi="Lato" w:cs="inter"/>
          <w:color w:val="000000"/>
        </w:rPr>
        <w:t>Improving operational efficiency and staffing resilience, allowing organizations facing workforce shortages to process more charts per coder with higher yield, effectively increasing coding and abstraction capacity without proportional staffing increases.</w:t>
      </w:r>
    </w:p>
    <w:p w14:paraId="533F06EA" w14:textId="77777777" w:rsidR="00F322DE" w:rsidRPr="00550BCB" w:rsidRDefault="00F322DE" w:rsidP="00F322DE">
      <w:pPr>
        <w:numPr>
          <w:ilvl w:val="0"/>
          <w:numId w:val="21"/>
        </w:numPr>
        <w:spacing w:before="105" w:after="105"/>
        <w:rPr>
          <w:rFonts w:ascii="Lato" w:hAnsi="Lato"/>
        </w:rPr>
      </w:pPr>
      <w:r w:rsidRPr="00550BCB">
        <w:rPr>
          <w:rFonts w:ascii="Lato" w:eastAsia="inter" w:hAnsi="Lato" w:cs="inter"/>
          <w:color w:val="000000"/>
        </w:rPr>
        <w:t>Delivering favorable cost</w:t>
      </w:r>
      <w:r w:rsidRPr="00550BCB">
        <w:rPr>
          <w:rFonts w:ascii="Cambria Math" w:eastAsia="inter" w:hAnsi="Cambria Math" w:cs="Cambria Math"/>
          <w:color w:val="000000"/>
        </w:rPr>
        <w:t>‑</w:t>
      </w:r>
      <w:r w:rsidRPr="00550BCB">
        <w:rPr>
          <w:rFonts w:ascii="Lato" w:eastAsia="inter" w:hAnsi="Lato" w:cs="inter"/>
          <w:color w:val="000000"/>
        </w:rPr>
        <w:t>effectiveness, as broader literature shows AI can reduce screening costs, unnecessary procedures, and readmissions when seamlessly integrated into clinical workflows.</w:t>
      </w:r>
    </w:p>
    <w:p w14:paraId="33F91ADF" w14:textId="77777777" w:rsidR="00F322DE" w:rsidRPr="00550BCB" w:rsidRDefault="00F322DE" w:rsidP="00F322DE">
      <w:pPr>
        <w:spacing w:before="315" w:after="105"/>
        <w:ind w:left="-30"/>
        <w:rPr>
          <w:rFonts w:ascii="Lato" w:hAnsi="Lato"/>
        </w:rPr>
      </w:pPr>
      <w:bookmarkStart w:id="19" w:name="bm_6_2_areas_where_ai_has_fallen_short"/>
      <w:r w:rsidRPr="00550BCB">
        <w:rPr>
          <w:rFonts w:ascii="Lato" w:eastAsia="inter" w:hAnsi="Lato" w:cs="inter"/>
          <w:b/>
          <w:color w:val="000000"/>
        </w:rPr>
        <w:t>6.2. Areas where AI has fallen short</w:t>
      </w:r>
      <w:bookmarkEnd w:id="19"/>
    </w:p>
    <w:p w14:paraId="7688AB02" w14:textId="77777777" w:rsidR="00F322DE" w:rsidRPr="00550BCB" w:rsidRDefault="00F322DE" w:rsidP="00F322DE">
      <w:pPr>
        <w:spacing w:after="210"/>
        <w:rPr>
          <w:rFonts w:ascii="Lato" w:hAnsi="Lato"/>
        </w:rPr>
      </w:pPr>
      <w:r w:rsidRPr="00550BCB">
        <w:rPr>
          <w:rFonts w:ascii="Lato" w:eastAsia="inter" w:hAnsi="Lato" w:cs="inter"/>
          <w:color w:val="000000"/>
        </w:rPr>
        <w:t>Common shortfalls include:</w:t>
      </w:r>
    </w:p>
    <w:p w14:paraId="74156F4C" w14:textId="77777777" w:rsidR="00F322DE" w:rsidRPr="00550BCB" w:rsidRDefault="00F322DE" w:rsidP="00F322DE">
      <w:pPr>
        <w:numPr>
          <w:ilvl w:val="0"/>
          <w:numId w:val="22"/>
        </w:numPr>
        <w:spacing w:before="105" w:after="105"/>
        <w:rPr>
          <w:rFonts w:ascii="Lato" w:hAnsi="Lato"/>
        </w:rPr>
      </w:pPr>
      <w:r w:rsidRPr="00550BCB">
        <w:rPr>
          <w:rFonts w:ascii="Lato" w:eastAsia="inter" w:hAnsi="Lato" w:cs="inter"/>
          <w:color w:val="000000"/>
        </w:rPr>
        <w:t>Noisy, non</w:t>
      </w:r>
      <w:r w:rsidRPr="00550BCB">
        <w:rPr>
          <w:rFonts w:ascii="Cambria Math" w:eastAsia="inter" w:hAnsi="Cambria Math" w:cs="Cambria Math"/>
          <w:color w:val="000000"/>
        </w:rPr>
        <w:t>‑</w:t>
      </w:r>
      <w:r w:rsidRPr="00550BCB">
        <w:rPr>
          <w:rFonts w:ascii="Lato" w:eastAsia="inter" w:hAnsi="Lato" w:cs="inter"/>
          <w:color w:val="000000"/>
        </w:rPr>
        <w:t>explainable suspect lists. Legacy NLP systems often produce high volumes of low</w:t>
      </w:r>
      <w:r w:rsidRPr="00550BCB">
        <w:rPr>
          <w:rFonts w:ascii="Cambria Math" w:eastAsia="inter" w:hAnsi="Cambria Math" w:cs="Cambria Math"/>
          <w:color w:val="000000"/>
        </w:rPr>
        <w:t>‑</w:t>
      </w:r>
      <w:r w:rsidRPr="00550BCB">
        <w:rPr>
          <w:rFonts w:ascii="Lato" w:eastAsia="inter" w:hAnsi="Lato" w:cs="inter"/>
          <w:color w:val="000000"/>
        </w:rPr>
        <w:t>specificity suspects without clear evidence links, overwhelming providers and eroding trust. This has been a key driver of provider abrasion.</w:t>
      </w:r>
    </w:p>
    <w:p w14:paraId="755BB54F" w14:textId="77777777" w:rsidR="00F322DE" w:rsidRPr="00550BCB" w:rsidRDefault="00F322DE" w:rsidP="00F322DE">
      <w:pPr>
        <w:numPr>
          <w:ilvl w:val="0"/>
          <w:numId w:val="22"/>
        </w:numPr>
        <w:spacing w:before="105" w:after="105"/>
        <w:rPr>
          <w:rFonts w:ascii="Lato" w:hAnsi="Lato"/>
        </w:rPr>
      </w:pPr>
      <w:r w:rsidRPr="00550BCB">
        <w:rPr>
          <w:rFonts w:ascii="Lato" w:eastAsia="inter" w:hAnsi="Lato" w:cs="inter"/>
          <w:color w:val="000000"/>
        </w:rPr>
        <w:lastRenderedPageBreak/>
        <w:t>Workflow misalignment and low adoption. Tools that sit outside core EHR workflows, require extra log</w:t>
      </w:r>
      <w:r w:rsidRPr="00550BCB">
        <w:rPr>
          <w:rFonts w:ascii="Cambria Math" w:eastAsia="inter" w:hAnsi="Cambria Math" w:cs="Cambria Math"/>
          <w:color w:val="000000"/>
        </w:rPr>
        <w:t>‑</w:t>
      </w:r>
      <w:r w:rsidRPr="00550BCB">
        <w:rPr>
          <w:rFonts w:ascii="Lato" w:eastAsia="inter" w:hAnsi="Lato" w:cs="inter"/>
          <w:color w:val="000000"/>
        </w:rPr>
        <w:t>ins, or lack role</w:t>
      </w:r>
      <w:r w:rsidRPr="00550BCB">
        <w:rPr>
          <w:rFonts w:ascii="Cambria Math" w:eastAsia="inter" w:hAnsi="Cambria Math" w:cs="Cambria Math"/>
          <w:color w:val="000000"/>
        </w:rPr>
        <w:t>‑</w:t>
      </w:r>
      <w:r w:rsidRPr="00550BCB">
        <w:rPr>
          <w:rFonts w:ascii="Lato" w:eastAsia="inter" w:hAnsi="Lato" w:cs="inter"/>
          <w:color w:val="000000"/>
        </w:rPr>
        <w:t>specific UX tend to underperform regardless of model accuracy.</w:t>
      </w:r>
    </w:p>
    <w:p w14:paraId="5A479DE5" w14:textId="77777777" w:rsidR="00F322DE" w:rsidRPr="00550BCB" w:rsidRDefault="00F322DE" w:rsidP="00F322DE">
      <w:pPr>
        <w:numPr>
          <w:ilvl w:val="0"/>
          <w:numId w:val="22"/>
        </w:numPr>
        <w:spacing w:before="105" w:after="105"/>
        <w:rPr>
          <w:rFonts w:ascii="Lato" w:hAnsi="Lato"/>
        </w:rPr>
      </w:pPr>
      <w:r w:rsidRPr="00550BCB">
        <w:rPr>
          <w:rFonts w:ascii="Lato" w:eastAsia="inter" w:hAnsi="Lato" w:cs="inter"/>
          <w:color w:val="000000"/>
        </w:rPr>
        <w:t>Insufficient measurement and drift management. Many implementations lack rigorous pre/post evaluation and ongoing monitoring, obscuring true impact and allowing subtle performance degradation over time.</w:t>
      </w:r>
    </w:p>
    <w:p w14:paraId="08814053" w14:textId="77777777" w:rsidR="00F322DE" w:rsidRPr="00550BCB" w:rsidRDefault="00F322DE" w:rsidP="00F322DE">
      <w:pPr>
        <w:spacing w:before="315" w:after="105"/>
        <w:ind w:left="-30"/>
        <w:rPr>
          <w:rFonts w:ascii="Lato" w:hAnsi="Lato"/>
        </w:rPr>
      </w:pPr>
      <w:bookmarkStart w:id="20" w:name="bm_6_3_high_potential_future_tools"/>
      <w:r w:rsidRPr="00550BCB">
        <w:rPr>
          <w:rFonts w:ascii="Lato" w:eastAsia="inter" w:hAnsi="Lato" w:cs="inter"/>
          <w:b/>
          <w:color w:val="000000"/>
        </w:rPr>
        <w:t>6.3. High</w:t>
      </w:r>
      <w:r w:rsidRPr="00550BCB">
        <w:rPr>
          <w:rFonts w:ascii="Cambria Math" w:eastAsia="inter" w:hAnsi="Cambria Math" w:cs="Cambria Math"/>
          <w:b/>
          <w:color w:val="000000"/>
        </w:rPr>
        <w:t>‑</w:t>
      </w:r>
      <w:r w:rsidRPr="00550BCB">
        <w:rPr>
          <w:rFonts w:ascii="Lato" w:eastAsia="inter" w:hAnsi="Lato" w:cs="inter"/>
          <w:b/>
          <w:color w:val="000000"/>
        </w:rPr>
        <w:t>potential future tools</w:t>
      </w:r>
      <w:bookmarkEnd w:id="20"/>
    </w:p>
    <w:p w14:paraId="618D535E" w14:textId="77777777" w:rsidR="00F322DE" w:rsidRPr="00550BCB" w:rsidRDefault="00F322DE" w:rsidP="00F322DE">
      <w:pPr>
        <w:spacing w:after="210"/>
        <w:rPr>
          <w:rFonts w:ascii="Lato" w:hAnsi="Lato"/>
        </w:rPr>
      </w:pPr>
      <w:r w:rsidRPr="00550BCB">
        <w:rPr>
          <w:rFonts w:ascii="Lato" w:eastAsia="inter" w:hAnsi="Lato" w:cs="inter"/>
          <w:color w:val="000000"/>
        </w:rPr>
        <w:t>Reveleer believes the most impactful future non</w:t>
      </w:r>
      <w:r w:rsidRPr="00550BCB">
        <w:rPr>
          <w:rFonts w:ascii="Cambria Math" w:eastAsia="inter" w:hAnsi="Cambria Math" w:cs="Cambria Math"/>
          <w:color w:val="000000"/>
        </w:rPr>
        <w:t>‑</w:t>
      </w:r>
      <w:r w:rsidRPr="00550BCB">
        <w:rPr>
          <w:rFonts w:ascii="Lato" w:eastAsia="inter" w:hAnsi="Lato" w:cs="inter"/>
          <w:color w:val="000000"/>
        </w:rPr>
        <w:t>device AI tools will:</w:t>
      </w:r>
    </w:p>
    <w:p w14:paraId="05C4253A" w14:textId="77777777" w:rsidR="00F322DE" w:rsidRPr="00550BCB" w:rsidRDefault="00F322DE" w:rsidP="00F322DE">
      <w:pPr>
        <w:numPr>
          <w:ilvl w:val="0"/>
          <w:numId w:val="23"/>
        </w:numPr>
        <w:spacing w:before="105" w:after="105"/>
        <w:rPr>
          <w:rFonts w:ascii="Lato" w:hAnsi="Lato"/>
        </w:rPr>
      </w:pPr>
      <w:r w:rsidRPr="00550BCB">
        <w:rPr>
          <w:rFonts w:ascii="Lato" w:eastAsia="inter" w:hAnsi="Lato" w:cs="inter"/>
          <w:color w:val="000000"/>
        </w:rPr>
        <w:t xml:space="preserve">Operate over unified, multimodal evidence layers, combining structured data, unstructured </w:t>
      </w:r>
      <w:r>
        <w:rPr>
          <w:rFonts w:ascii="Lato" w:eastAsia="inter" w:hAnsi="Lato" w:cs="inter"/>
          <w:color w:val="000000"/>
        </w:rPr>
        <w:t>content</w:t>
      </w:r>
      <w:r w:rsidRPr="00550BCB">
        <w:rPr>
          <w:rFonts w:ascii="Lato" w:eastAsia="inter" w:hAnsi="Lato" w:cs="inter"/>
          <w:color w:val="000000"/>
        </w:rPr>
        <w:t>, and in the future images and signals, to deliver richer, context</w:t>
      </w:r>
      <w:r w:rsidRPr="00550BCB">
        <w:rPr>
          <w:rFonts w:ascii="Cambria Math" w:eastAsia="inter" w:hAnsi="Cambria Math" w:cs="Cambria Math"/>
          <w:color w:val="000000"/>
        </w:rPr>
        <w:t>‑</w:t>
      </w:r>
      <w:r w:rsidRPr="00550BCB">
        <w:rPr>
          <w:rFonts w:ascii="Lato" w:eastAsia="inter" w:hAnsi="Lato" w:cs="inter"/>
          <w:color w:val="000000"/>
        </w:rPr>
        <w:t xml:space="preserve">aware clinical intelligence </w:t>
      </w:r>
      <w:r>
        <w:rPr>
          <w:rFonts w:ascii="Lato" w:eastAsia="inter" w:hAnsi="Lato" w:cs="inter"/>
          <w:color w:val="000000"/>
        </w:rPr>
        <w:t>to help clinicians deliver the right care at the right moment from the right suggestion</w:t>
      </w:r>
      <w:r w:rsidRPr="00550BCB">
        <w:rPr>
          <w:rFonts w:ascii="Lato" w:eastAsia="inter" w:hAnsi="Lato" w:cs="inter"/>
          <w:color w:val="000000"/>
        </w:rPr>
        <w:t>.</w:t>
      </w:r>
    </w:p>
    <w:p w14:paraId="50D4E102" w14:textId="77777777" w:rsidR="00F322DE" w:rsidRPr="00550BCB" w:rsidRDefault="00F322DE" w:rsidP="00F322DE">
      <w:pPr>
        <w:numPr>
          <w:ilvl w:val="0"/>
          <w:numId w:val="23"/>
        </w:numPr>
        <w:spacing w:before="105" w:after="105"/>
        <w:rPr>
          <w:rFonts w:ascii="Lato" w:hAnsi="Lato"/>
        </w:rPr>
      </w:pPr>
      <w:r w:rsidRPr="00550BCB">
        <w:rPr>
          <w:rFonts w:ascii="Lato" w:eastAsia="inter" w:hAnsi="Lato" w:cs="inter"/>
          <w:color w:val="000000"/>
        </w:rPr>
        <w:t>Use hybrid, agentic evidence extraction with deterministic clinical reasoning</w:t>
      </w:r>
      <w:r>
        <w:rPr>
          <w:rFonts w:ascii="Lato" w:eastAsia="inter" w:hAnsi="Lato" w:cs="inter"/>
          <w:color w:val="000000"/>
        </w:rPr>
        <w:t xml:space="preserve"> for a growing number of clinical workflows</w:t>
      </w:r>
      <w:r w:rsidRPr="00550BCB">
        <w:rPr>
          <w:rFonts w:ascii="Lato" w:eastAsia="inter" w:hAnsi="Lato" w:cs="inter"/>
          <w:color w:val="000000"/>
        </w:rPr>
        <w:t>, as EVE Hybrid AI does today for prospective risk adjustment, enabling audit</w:t>
      </w:r>
      <w:r w:rsidRPr="00550BCB">
        <w:rPr>
          <w:rFonts w:ascii="Cambria Math" w:eastAsia="inter" w:hAnsi="Cambria Math" w:cs="Cambria Math"/>
          <w:color w:val="000000"/>
        </w:rPr>
        <w:t>‑</w:t>
      </w:r>
      <w:r w:rsidRPr="00550BCB">
        <w:rPr>
          <w:rFonts w:ascii="Lato" w:eastAsia="inter" w:hAnsi="Lato" w:cs="inter"/>
          <w:color w:val="000000"/>
        </w:rPr>
        <w:t>ready, configurable suspects with drastically reduced noise and rapid adaptation to new risk models and documentation standards.</w:t>
      </w:r>
    </w:p>
    <w:p w14:paraId="11C8F9BF" w14:textId="77777777" w:rsidR="00F322DE" w:rsidRPr="00550BCB" w:rsidRDefault="00F322DE" w:rsidP="00F322DE">
      <w:pPr>
        <w:numPr>
          <w:ilvl w:val="0"/>
          <w:numId w:val="23"/>
        </w:numPr>
        <w:spacing w:before="105" w:after="105"/>
        <w:rPr>
          <w:rFonts w:ascii="Lato" w:hAnsi="Lato"/>
        </w:rPr>
      </w:pPr>
      <w:r w:rsidRPr="00550BCB">
        <w:rPr>
          <w:rFonts w:ascii="Lato" w:eastAsia="inter" w:hAnsi="Lato" w:cs="inter"/>
          <w:color w:val="000000"/>
        </w:rPr>
        <w:t xml:space="preserve">Embed digital quality measurement </w:t>
      </w:r>
      <w:r>
        <w:rPr>
          <w:rFonts w:ascii="Lato" w:eastAsia="inter" w:hAnsi="Lato" w:cs="inter"/>
          <w:color w:val="000000"/>
        </w:rPr>
        <w:t xml:space="preserve">directly </w:t>
      </w:r>
      <w:r w:rsidRPr="00550BCB">
        <w:rPr>
          <w:rFonts w:ascii="Lato" w:eastAsia="inter" w:hAnsi="Lato" w:cs="inter"/>
          <w:color w:val="000000"/>
        </w:rPr>
        <w:t>into care</w:t>
      </w:r>
      <w:r>
        <w:rPr>
          <w:rFonts w:ascii="Lato" w:eastAsia="inter" w:hAnsi="Lato" w:cs="inter"/>
          <w:color w:val="000000"/>
        </w:rPr>
        <w:t xml:space="preserve"> pathways</w:t>
      </w:r>
      <w:r w:rsidRPr="00550BCB">
        <w:rPr>
          <w:rFonts w:ascii="Lato" w:eastAsia="inter" w:hAnsi="Lato" w:cs="inter"/>
          <w:color w:val="000000"/>
        </w:rPr>
        <w:t xml:space="preserve"> rather than treating quality as a standalone reporting workflow, surfacing in</w:t>
      </w:r>
      <w:r w:rsidRPr="00550BCB">
        <w:rPr>
          <w:rFonts w:ascii="Cambria Math" w:eastAsia="inter" w:hAnsi="Cambria Math" w:cs="Cambria Math"/>
          <w:color w:val="000000"/>
        </w:rPr>
        <w:t>‑</w:t>
      </w:r>
      <w:r w:rsidRPr="00550BCB">
        <w:rPr>
          <w:rFonts w:ascii="Lato" w:eastAsia="inter" w:hAnsi="Lato" w:cs="inter"/>
          <w:color w:val="000000"/>
        </w:rPr>
        <w:t>encounter opportunities to close gaps while maintaining measure</w:t>
      </w:r>
      <w:r w:rsidRPr="00550BCB">
        <w:rPr>
          <w:rFonts w:ascii="Cambria Math" w:eastAsia="inter" w:hAnsi="Cambria Math" w:cs="Cambria Math"/>
          <w:color w:val="000000"/>
        </w:rPr>
        <w:t>‑</w:t>
      </w:r>
      <w:r w:rsidRPr="00550BCB">
        <w:rPr>
          <w:rFonts w:ascii="Lato" w:eastAsia="inter" w:hAnsi="Lato" w:cs="inter"/>
          <w:color w:val="000000"/>
        </w:rPr>
        <w:t xml:space="preserve">aligned data and provenance for </w:t>
      </w:r>
      <w:proofErr w:type="spellStart"/>
      <w:r w:rsidRPr="00550BCB">
        <w:rPr>
          <w:rFonts w:ascii="Lato" w:eastAsia="inter" w:hAnsi="Lato" w:cs="inter"/>
          <w:color w:val="000000"/>
        </w:rPr>
        <w:t>eCQMs</w:t>
      </w:r>
      <w:proofErr w:type="spellEnd"/>
      <w:r w:rsidRPr="00550BCB">
        <w:rPr>
          <w:rFonts w:ascii="Lato" w:eastAsia="inter" w:hAnsi="Lato" w:cs="inter"/>
          <w:color w:val="000000"/>
        </w:rPr>
        <w:t xml:space="preserve"> and Stars.</w:t>
      </w:r>
    </w:p>
    <w:p w14:paraId="6621DD11" w14:textId="77777777" w:rsidR="00F322DE" w:rsidRPr="00550BCB" w:rsidRDefault="00F322DE" w:rsidP="00F322DE">
      <w:pPr>
        <w:numPr>
          <w:ilvl w:val="0"/>
          <w:numId w:val="23"/>
        </w:numPr>
        <w:spacing w:before="105" w:after="105"/>
        <w:rPr>
          <w:rFonts w:ascii="Lato" w:hAnsi="Lato"/>
        </w:rPr>
      </w:pPr>
      <w:r w:rsidRPr="00550BCB">
        <w:rPr>
          <w:rFonts w:ascii="Lato" w:eastAsia="inter" w:hAnsi="Lato" w:cs="inter"/>
          <w:color w:val="000000"/>
        </w:rPr>
        <w:t>Combine ambient AI and prospective AI, where ambient tools reduce point</w:t>
      </w:r>
      <w:r w:rsidRPr="00550BCB">
        <w:rPr>
          <w:rFonts w:ascii="Cambria Math" w:eastAsia="inter" w:hAnsi="Cambria Math" w:cs="Cambria Math"/>
          <w:color w:val="000000"/>
        </w:rPr>
        <w:t>‑</w:t>
      </w:r>
      <w:r w:rsidRPr="00550BCB">
        <w:rPr>
          <w:rFonts w:ascii="Lato" w:eastAsia="inter" w:hAnsi="Lato" w:cs="inter"/>
          <w:color w:val="000000"/>
        </w:rPr>
        <w:t>of</w:t>
      </w:r>
      <w:r w:rsidRPr="00550BCB">
        <w:rPr>
          <w:rFonts w:ascii="Cambria Math" w:eastAsia="inter" w:hAnsi="Cambria Math" w:cs="Cambria Math"/>
          <w:color w:val="000000"/>
        </w:rPr>
        <w:t>‑</w:t>
      </w:r>
      <w:r w:rsidRPr="00550BCB">
        <w:rPr>
          <w:rFonts w:ascii="Lato" w:eastAsia="inter" w:hAnsi="Lato" w:cs="inter"/>
          <w:color w:val="000000"/>
        </w:rPr>
        <w:t>care documentation burden and EVE</w:t>
      </w:r>
      <w:r w:rsidRPr="00550BCB">
        <w:rPr>
          <w:rFonts w:ascii="Cambria Math" w:eastAsia="inter" w:hAnsi="Cambria Math" w:cs="Cambria Math"/>
          <w:color w:val="000000"/>
        </w:rPr>
        <w:t>‑</w:t>
      </w:r>
      <w:r w:rsidRPr="00550BCB">
        <w:rPr>
          <w:rFonts w:ascii="Lato" w:eastAsia="inter" w:hAnsi="Lato" w:cs="inter"/>
          <w:color w:val="000000"/>
        </w:rPr>
        <w:t>like engines orchestrate pre</w:t>
      </w:r>
      <w:r w:rsidRPr="00550BCB">
        <w:rPr>
          <w:rFonts w:ascii="Cambria Math" w:eastAsia="inter" w:hAnsi="Cambria Math" w:cs="Cambria Math"/>
          <w:color w:val="000000"/>
        </w:rPr>
        <w:t>‑</w:t>
      </w:r>
      <w:r w:rsidRPr="00550BCB">
        <w:rPr>
          <w:rFonts w:ascii="Lato" w:eastAsia="inter" w:hAnsi="Lato" w:cs="inter"/>
          <w:color w:val="000000"/>
        </w:rPr>
        <w:t xml:space="preserve"> and post</w:t>
      </w:r>
      <w:r w:rsidRPr="00550BCB">
        <w:rPr>
          <w:rFonts w:ascii="Cambria Math" w:eastAsia="inter" w:hAnsi="Cambria Math" w:cs="Cambria Math"/>
          <w:color w:val="000000"/>
        </w:rPr>
        <w:t>‑</w:t>
      </w:r>
      <w:r w:rsidRPr="00550BCB">
        <w:rPr>
          <w:rFonts w:ascii="Lato" w:eastAsia="inter" w:hAnsi="Lato" w:cs="inter"/>
          <w:color w:val="000000"/>
        </w:rPr>
        <w:t>encounter planning and panel management across the year.</w:t>
      </w:r>
      <w:r>
        <w:rPr>
          <w:rFonts w:ascii="Lato" w:eastAsia="inter" w:hAnsi="Lato" w:cs="inter"/>
          <w:color w:val="000000"/>
        </w:rPr>
        <w:t xml:space="preserve"> Leverage ambient data as a data set in prospective AI to add another data dimension to recommendations leading to a virtuous cycle of ever improving care.  </w:t>
      </w:r>
    </w:p>
    <w:p w14:paraId="3C2AB65C" w14:textId="77777777" w:rsidR="00F322DE" w:rsidRPr="00550BCB" w:rsidRDefault="00F322DE" w:rsidP="00F322DE">
      <w:pPr>
        <w:spacing w:before="210" w:after="0"/>
        <w:rPr>
          <w:rFonts w:ascii="Lato" w:hAnsi="Lato"/>
        </w:rPr>
      </w:pPr>
      <w:r>
        <w:rPr>
          <w:noProof/>
        </w:rPr>
        <mc:AlternateContent>
          <mc:Choice Requires="wps">
            <w:drawing>
              <wp:inline distT="0" distB="0" distL="0" distR="0" wp14:anchorId="1B7FFD40" wp14:editId="18233D3F">
                <wp:extent cx="6038850" cy="635"/>
                <wp:effectExtent l="0" t="0" r="19050" b="24765"/>
                <wp:docPr id="204618744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0F5FAB6" id="Rectangle 1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r>
        <w:rPr>
          <w:noProof/>
        </w:rPr>
        <mc:AlternateContent>
          <mc:Choice Requires="wps">
            <w:drawing>
              <wp:inline distT="0" distB="0" distL="0" distR="0" wp14:anchorId="1AF147D2" wp14:editId="355D0407">
                <wp:extent cx="6038850" cy="635"/>
                <wp:effectExtent l="0" t="0" r="19050" b="24765"/>
                <wp:docPr id="54125402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A73284D" id="Rectangle 1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4DA2B173" w14:textId="77777777" w:rsidR="00F322DE" w:rsidRPr="00550BCB" w:rsidRDefault="00F322DE" w:rsidP="00F322DE">
      <w:pPr>
        <w:spacing w:before="315" w:after="105"/>
        <w:ind w:left="-30"/>
        <w:rPr>
          <w:rFonts w:ascii="Lato" w:hAnsi="Lato"/>
        </w:rPr>
      </w:pPr>
      <w:bookmarkStart w:id="21" w:name="bm_7_organizational_roles_and_adm_c58b8c"/>
      <w:r w:rsidRPr="00550BCB">
        <w:rPr>
          <w:rFonts w:ascii="Lato" w:eastAsia="inter" w:hAnsi="Lato" w:cs="inter"/>
          <w:b/>
          <w:color w:val="000000"/>
        </w:rPr>
        <w:lastRenderedPageBreak/>
        <w:t>7. Organizational roles and administrative hurdles</w:t>
      </w:r>
      <w:bookmarkEnd w:id="21"/>
    </w:p>
    <w:p w14:paraId="757E744C" w14:textId="77777777" w:rsidR="00F322DE" w:rsidRPr="00550BCB" w:rsidRDefault="00F322DE" w:rsidP="00F322DE">
      <w:pPr>
        <w:spacing w:after="210"/>
        <w:rPr>
          <w:rFonts w:ascii="Lato" w:hAnsi="Lato"/>
        </w:rPr>
      </w:pPr>
      <w:r w:rsidRPr="00550BCB">
        <w:rPr>
          <w:rFonts w:ascii="Lato" w:eastAsia="inter" w:hAnsi="Lato" w:cs="inter"/>
          <w:color w:val="000000"/>
        </w:rPr>
        <w:t>In Reveleer’s experience, AI adoption decisions in clinical care are typically driven by:</w:t>
      </w:r>
    </w:p>
    <w:p w14:paraId="0F407A8D" w14:textId="77777777" w:rsidR="00F322DE" w:rsidRPr="00550BCB" w:rsidRDefault="00F322DE" w:rsidP="00F322DE">
      <w:pPr>
        <w:numPr>
          <w:ilvl w:val="0"/>
          <w:numId w:val="24"/>
        </w:numPr>
        <w:spacing w:before="105" w:after="105"/>
        <w:rPr>
          <w:rFonts w:ascii="Lato" w:hAnsi="Lato"/>
        </w:rPr>
      </w:pPr>
      <w:r w:rsidRPr="00550BCB">
        <w:rPr>
          <w:rFonts w:ascii="Lato" w:eastAsia="inter" w:hAnsi="Lato" w:cs="inter"/>
          <w:color w:val="000000"/>
        </w:rPr>
        <w:t>Chief Medical Officers and clinical leadership, who assess clinical validity, workflow fit, and provider trust.</w:t>
      </w:r>
    </w:p>
    <w:p w14:paraId="37AA3F20" w14:textId="77777777" w:rsidR="00F322DE" w:rsidRPr="00550BCB" w:rsidRDefault="00F322DE" w:rsidP="00F322DE">
      <w:pPr>
        <w:numPr>
          <w:ilvl w:val="0"/>
          <w:numId w:val="24"/>
        </w:numPr>
        <w:spacing w:before="105" w:after="105"/>
        <w:rPr>
          <w:rFonts w:ascii="Lato" w:hAnsi="Lato"/>
        </w:rPr>
      </w:pPr>
      <w:r w:rsidRPr="00550BCB">
        <w:rPr>
          <w:rFonts w:ascii="Lato" w:eastAsia="inter" w:hAnsi="Lato" w:cs="inter"/>
          <w:color w:val="000000"/>
        </w:rPr>
        <w:t>Chief Information Officers and IT/data leaders, who own data integration, interoperability, and infrastructure readiness.</w:t>
      </w:r>
    </w:p>
    <w:p w14:paraId="1944888B" w14:textId="77777777" w:rsidR="00F322DE" w:rsidRPr="00550BCB" w:rsidRDefault="00F322DE" w:rsidP="00F322DE">
      <w:pPr>
        <w:numPr>
          <w:ilvl w:val="0"/>
          <w:numId w:val="24"/>
        </w:numPr>
        <w:spacing w:before="105" w:after="105"/>
        <w:rPr>
          <w:rFonts w:ascii="Lato" w:hAnsi="Lato"/>
        </w:rPr>
      </w:pPr>
      <w:r w:rsidRPr="00550BCB">
        <w:rPr>
          <w:rFonts w:ascii="Lato" w:eastAsia="inter" w:hAnsi="Lato" w:cs="inter"/>
          <w:color w:val="000000"/>
        </w:rPr>
        <w:t>Value</w:t>
      </w:r>
      <w:r w:rsidRPr="00550BCB">
        <w:rPr>
          <w:rFonts w:ascii="Cambria Math" w:eastAsia="inter" w:hAnsi="Cambria Math" w:cs="Cambria Math"/>
          <w:color w:val="000000"/>
        </w:rPr>
        <w:t>‑</w:t>
      </w:r>
      <w:r w:rsidRPr="00550BCB">
        <w:rPr>
          <w:rFonts w:ascii="Lato" w:eastAsia="inter" w:hAnsi="Lato" w:cs="inter"/>
          <w:color w:val="000000"/>
        </w:rPr>
        <w:t xml:space="preserve">based care and risk/quality program leaders, who are accountable for RAF, Star Ratings, and total cost of care and </w:t>
      </w:r>
      <w:proofErr w:type="gramStart"/>
      <w:r w:rsidRPr="00550BCB">
        <w:rPr>
          <w:rFonts w:ascii="Lato" w:eastAsia="inter" w:hAnsi="Lato" w:cs="inter"/>
          <w:color w:val="000000"/>
        </w:rPr>
        <w:t>must see</w:t>
      </w:r>
      <w:proofErr w:type="gramEnd"/>
      <w:r w:rsidRPr="00550BCB">
        <w:rPr>
          <w:rFonts w:ascii="Lato" w:eastAsia="inter" w:hAnsi="Lato" w:cs="inter"/>
          <w:color w:val="000000"/>
        </w:rPr>
        <w:t xml:space="preserve"> clear ROI and compliance alignment.</w:t>
      </w:r>
    </w:p>
    <w:p w14:paraId="7536EEC5" w14:textId="77777777" w:rsidR="00F322DE" w:rsidRPr="00550BCB" w:rsidRDefault="00F322DE" w:rsidP="00F322DE">
      <w:pPr>
        <w:spacing w:after="210"/>
        <w:rPr>
          <w:rFonts w:ascii="Lato" w:hAnsi="Lato"/>
        </w:rPr>
      </w:pPr>
      <w:r w:rsidRPr="00550BCB">
        <w:rPr>
          <w:rFonts w:ascii="Lato" w:eastAsia="inter" w:hAnsi="Lato" w:cs="inter"/>
          <w:color w:val="000000"/>
        </w:rPr>
        <w:t>The primary administrative hurdles include:</w:t>
      </w:r>
    </w:p>
    <w:p w14:paraId="5772F732" w14:textId="77777777" w:rsidR="00F322DE" w:rsidRPr="00550BCB" w:rsidRDefault="00F322DE" w:rsidP="00F322DE">
      <w:pPr>
        <w:numPr>
          <w:ilvl w:val="0"/>
          <w:numId w:val="25"/>
        </w:numPr>
        <w:spacing w:before="105" w:after="105"/>
        <w:rPr>
          <w:rFonts w:ascii="Lato" w:hAnsi="Lato"/>
        </w:rPr>
      </w:pPr>
      <w:r w:rsidRPr="00550BCB">
        <w:rPr>
          <w:rFonts w:ascii="Lato" w:eastAsia="inter" w:hAnsi="Lato" w:cs="inter"/>
          <w:color w:val="000000"/>
        </w:rPr>
        <w:t>Fragmented governance across clinical, IT, compliance, and finance, which slows decisions and leads to inconsistent AI policies.</w:t>
      </w:r>
    </w:p>
    <w:p w14:paraId="70822E20" w14:textId="77777777" w:rsidR="00F322DE" w:rsidRPr="00550BCB" w:rsidRDefault="00F322DE" w:rsidP="00F322DE">
      <w:pPr>
        <w:numPr>
          <w:ilvl w:val="0"/>
          <w:numId w:val="25"/>
        </w:numPr>
        <w:spacing w:before="105" w:after="105"/>
        <w:rPr>
          <w:rFonts w:ascii="Lato" w:hAnsi="Lato"/>
        </w:rPr>
      </w:pPr>
      <w:r w:rsidRPr="00550BCB">
        <w:rPr>
          <w:rFonts w:ascii="Lato" w:eastAsia="inter" w:hAnsi="Lato" w:cs="inter"/>
          <w:color w:val="000000"/>
        </w:rPr>
        <w:t>Lack of structured AI change</w:t>
      </w:r>
      <w:r w:rsidRPr="00550BCB">
        <w:rPr>
          <w:rFonts w:ascii="Cambria Math" w:eastAsia="inter" w:hAnsi="Cambria Math" w:cs="Cambria Math"/>
          <w:color w:val="000000"/>
        </w:rPr>
        <w:t>‑</w:t>
      </w:r>
      <w:r w:rsidRPr="00550BCB">
        <w:rPr>
          <w:rFonts w:ascii="Lato" w:eastAsia="inter" w:hAnsi="Lato" w:cs="inter"/>
          <w:color w:val="000000"/>
        </w:rPr>
        <w:t>management programs (stakeholder mapping, communication, training, escalation paths), which can cause confusion about roles, responsibilities, and safety oversight.</w:t>
      </w:r>
    </w:p>
    <w:p w14:paraId="4D307038" w14:textId="77777777" w:rsidR="00F322DE" w:rsidRPr="00550BCB" w:rsidRDefault="00F322DE" w:rsidP="00F322DE">
      <w:pPr>
        <w:numPr>
          <w:ilvl w:val="0"/>
          <w:numId w:val="25"/>
        </w:numPr>
        <w:spacing w:before="105" w:after="105"/>
        <w:rPr>
          <w:rFonts w:ascii="Lato" w:hAnsi="Lato"/>
        </w:rPr>
      </w:pPr>
      <w:r w:rsidRPr="00550BCB">
        <w:rPr>
          <w:rFonts w:ascii="Lato" w:eastAsia="inter" w:hAnsi="Lato" w:cs="inter"/>
          <w:color w:val="000000"/>
        </w:rPr>
        <w:t>Procurement and contracting processes that are not adapted to AI (e.g., difficulty evaluating explainability, data usage terms, and model lifecycle commitments).</w:t>
      </w:r>
    </w:p>
    <w:p w14:paraId="564DF214" w14:textId="77777777" w:rsidR="00F322DE" w:rsidRPr="00550BCB" w:rsidRDefault="00F322DE" w:rsidP="00F322DE">
      <w:pPr>
        <w:numPr>
          <w:ilvl w:val="0"/>
          <w:numId w:val="25"/>
        </w:numPr>
        <w:spacing w:before="105" w:after="105"/>
        <w:rPr>
          <w:rFonts w:ascii="Lato" w:hAnsi="Lato"/>
        </w:rPr>
      </w:pPr>
      <w:r w:rsidRPr="00550BCB">
        <w:rPr>
          <w:rFonts w:ascii="Lato" w:eastAsia="inter" w:hAnsi="Lato" w:cs="inter"/>
          <w:color w:val="000000"/>
        </w:rPr>
        <w:t>Unclear internal measurement standards, making it hard to prioritize AI investments or justify scaling pilots.</w:t>
      </w:r>
    </w:p>
    <w:p w14:paraId="074CCC06" w14:textId="77777777" w:rsidR="00F322DE" w:rsidRPr="00550BCB" w:rsidRDefault="00F322DE" w:rsidP="00F322DE">
      <w:pPr>
        <w:spacing w:after="210"/>
        <w:rPr>
          <w:rFonts w:ascii="Lato" w:hAnsi="Lato"/>
        </w:rPr>
      </w:pPr>
      <w:r w:rsidRPr="00550BCB">
        <w:rPr>
          <w:rFonts w:ascii="Lato" w:eastAsia="inter" w:hAnsi="Lato" w:cs="inter"/>
          <w:color w:val="000000"/>
        </w:rPr>
        <w:t>Reveleer has found that formal AI steering committees—combining clinical, operational, IT, and compliance leadership—and clear, outcomes</w:t>
      </w:r>
      <w:r w:rsidRPr="00550BCB">
        <w:rPr>
          <w:rFonts w:ascii="Cambria Math" w:eastAsia="inter" w:hAnsi="Cambria Math" w:cs="Cambria Math"/>
          <w:color w:val="000000"/>
        </w:rPr>
        <w:t>‑</w:t>
      </w:r>
      <w:r w:rsidRPr="00550BCB">
        <w:rPr>
          <w:rFonts w:ascii="Lato" w:eastAsia="inter" w:hAnsi="Lato" w:cs="inter"/>
          <w:color w:val="000000"/>
        </w:rPr>
        <w:t>based measurement frameworks are critical to overcoming these hurdles and enabling durable adoption of an enterprise AI engine like EVE.</w:t>
      </w:r>
    </w:p>
    <w:p w14:paraId="283BC518" w14:textId="1B0ADE2D" w:rsidR="00F322DE" w:rsidRPr="00550BCB" w:rsidRDefault="00F322DE" w:rsidP="00F322DE">
      <w:pPr>
        <w:spacing w:before="210" w:after="0"/>
        <w:rPr>
          <w:rFonts w:ascii="Lato" w:hAnsi="Lato"/>
        </w:rPr>
      </w:pPr>
      <w:r>
        <w:rPr>
          <w:noProof/>
        </w:rPr>
        <mc:AlternateContent>
          <mc:Choice Requires="wps">
            <w:drawing>
              <wp:inline distT="0" distB="0" distL="0" distR="0" wp14:anchorId="4C7057FC" wp14:editId="0CEC376A">
                <wp:extent cx="6038850" cy="635"/>
                <wp:effectExtent l="0" t="0" r="19050" b="24765"/>
                <wp:docPr id="115223231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E490E1A" id="Rectangle 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1804E511" w14:textId="77777777" w:rsidR="00F322DE" w:rsidRPr="00550BCB" w:rsidRDefault="00F322DE" w:rsidP="00F322DE">
      <w:pPr>
        <w:spacing w:before="315" w:after="105"/>
        <w:ind w:left="-30"/>
        <w:rPr>
          <w:rFonts w:ascii="Lato" w:hAnsi="Lato"/>
        </w:rPr>
      </w:pPr>
      <w:bookmarkStart w:id="22" w:name="bm_8_interoperability_opportunities"/>
      <w:r w:rsidRPr="00550BCB">
        <w:rPr>
          <w:rFonts w:ascii="Lato" w:eastAsia="inter" w:hAnsi="Lato" w:cs="inter"/>
          <w:b/>
          <w:color w:val="000000"/>
        </w:rPr>
        <w:t>8. Interoperability opportunities</w:t>
      </w:r>
      <w:bookmarkEnd w:id="22"/>
    </w:p>
    <w:p w14:paraId="0ED46B43" w14:textId="77777777" w:rsidR="00F322DE" w:rsidRPr="00550BCB" w:rsidRDefault="00F322DE" w:rsidP="00F322DE">
      <w:pPr>
        <w:spacing w:after="210"/>
        <w:rPr>
          <w:rFonts w:ascii="Lato" w:hAnsi="Lato"/>
        </w:rPr>
      </w:pPr>
      <w:r w:rsidRPr="00550BCB">
        <w:rPr>
          <w:rFonts w:ascii="Lato" w:eastAsia="inter" w:hAnsi="Lato" w:cs="inter"/>
          <w:color w:val="000000"/>
        </w:rPr>
        <w:lastRenderedPageBreak/>
        <w:t>Enhanced interoperability would materially widen AI market opportunities and accelerate development in several areas:</w:t>
      </w:r>
    </w:p>
    <w:p w14:paraId="062391A8" w14:textId="77777777" w:rsidR="00F322DE" w:rsidRPr="00550BCB" w:rsidRDefault="00F322DE" w:rsidP="00F322DE">
      <w:pPr>
        <w:numPr>
          <w:ilvl w:val="0"/>
          <w:numId w:val="26"/>
        </w:numPr>
        <w:spacing w:before="105" w:after="105"/>
        <w:rPr>
          <w:rFonts w:ascii="Lato" w:hAnsi="Lato"/>
        </w:rPr>
      </w:pPr>
      <w:r w:rsidRPr="00550BCB">
        <w:rPr>
          <w:rFonts w:ascii="Lato" w:eastAsia="inter" w:hAnsi="Lato" w:cs="inter"/>
          <w:color w:val="000000"/>
        </w:rPr>
        <w:t>FHIR</w:t>
      </w:r>
      <w:r w:rsidRPr="00550BCB">
        <w:rPr>
          <w:rFonts w:ascii="Cambria Math" w:eastAsia="inter" w:hAnsi="Cambria Math" w:cs="Cambria Math"/>
          <w:color w:val="000000"/>
        </w:rPr>
        <w:t>‑</w:t>
      </w:r>
      <w:r w:rsidRPr="00550BCB">
        <w:rPr>
          <w:rFonts w:ascii="Lato" w:eastAsia="inter" w:hAnsi="Lato" w:cs="inter"/>
          <w:color w:val="000000"/>
        </w:rPr>
        <w:t>based, near</w:t>
      </w:r>
      <w:r w:rsidRPr="00550BCB">
        <w:rPr>
          <w:rFonts w:ascii="Cambria Math" w:eastAsia="inter" w:hAnsi="Cambria Math" w:cs="Cambria Math"/>
          <w:color w:val="000000"/>
        </w:rPr>
        <w:t>‑</w:t>
      </w:r>
      <w:r w:rsidRPr="00550BCB">
        <w:rPr>
          <w:rFonts w:ascii="Lato" w:eastAsia="inter" w:hAnsi="Lato" w:cs="inter"/>
          <w:color w:val="000000"/>
        </w:rPr>
        <w:t>real</w:t>
      </w:r>
      <w:r w:rsidRPr="00550BCB">
        <w:rPr>
          <w:rFonts w:ascii="Cambria Math" w:eastAsia="inter" w:hAnsi="Cambria Math" w:cs="Cambria Math"/>
          <w:color w:val="000000"/>
        </w:rPr>
        <w:t>‑</w:t>
      </w:r>
      <w:r w:rsidRPr="00550BCB">
        <w:rPr>
          <w:rFonts w:ascii="Lato" w:eastAsia="inter" w:hAnsi="Lato" w:cs="inter"/>
          <w:color w:val="000000"/>
        </w:rPr>
        <w:t>time exchange of clinical data across payers and providers, beyond minimum USCDI, so AI engines can access timely, rich evidence for risk adjustment, quality, and care management rather than relying on delayed batch files and manual chart retrieval.</w:t>
      </w:r>
    </w:p>
    <w:p w14:paraId="1D9782DF" w14:textId="77777777" w:rsidR="00F322DE" w:rsidRPr="00550BCB" w:rsidRDefault="00F322DE" w:rsidP="00F322DE">
      <w:pPr>
        <w:numPr>
          <w:ilvl w:val="0"/>
          <w:numId w:val="26"/>
        </w:numPr>
        <w:spacing w:before="105" w:after="105"/>
        <w:rPr>
          <w:rFonts w:ascii="Lato" w:hAnsi="Lato"/>
        </w:rPr>
      </w:pPr>
      <w:r w:rsidRPr="00550BCB">
        <w:rPr>
          <w:rFonts w:ascii="Lato" w:eastAsia="inter" w:hAnsi="Lato" w:cs="inter"/>
          <w:color w:val="000000"/>
        </w:rPr>
        <w:t>Standardized representation of data provenance and evidence links, including where each data element came from, how it was transformed, and which documents support a given diagnosis or quality data element. This directly supports explainable AI and auditability.</w:t>
      </w:r>
    </w:p>
    <w:p w14:paraId="58845843" w14:textId="77777777" w:rsidR="00F322DE" w:rsidRPr="00550BCB" w:rsidRDefault="00F322DE" w:rsidP="00F322DE">
      <w:pPr>
        <w:numPr>
          <w:ilvl w:val="0"/>
          <w:numId w:val="26"/>
        </w:numPr>
        <w:spacing w:before="105" w:after="105"/>
        <w:rPr>
          <w:rFonts w:ascii="Lato" w:hAnsi="Lato"/>
        </w:rPr>
      </w:pPr>
      <w:r w:rsidRPr="00550BCB">
        <w:rPr>
          <w:rFonts w:ascii="Lato" w:eastAsia="inter" w:hAnsi="Lato" w:cs="inter"/>
          <w:color w:val="000000"/>
        </w:rPr>
        <w:t>Shared, de</w:t>
      </w:r>
      <w:r w:rsidRPr="00550BCB">
        <w:rPr>
          <w:rFonts w:ascii="Cambria Math" w:eastAsia="inter" w:hAnsi="Cambria Math" w:cs="Cambria Math"/>
          <w:color w:val="000000"/>
        </w:rPr>
        <w:t>‑</w:t>
      </w:r>
      <w:r w:rsidRPr="00550BCB">
        <w:rPr>
          <w:rFonts w:ascii="Lato" w:eastAsia="inter" w:hAnsi="Lato" w:cs="inter"/>
          <w:color w:val="000000"/>
        </w:rPr>
        <w:t>identified benchmarking datasets for risk adjustment, quality measures, and care gap detection, enabling vendors and health systems to benchmark AI performance and robustness fairly.</w:t>
      </w:r>
    </w:p>
    <w:p w14:paraId="683AE578" w14:textId="77777777" w:rsidR="00F322DE" w:rsidRPr="00383190" w:rsidRDefault="00F322DE" w:rsidP="00F322DE">
      <w:pPr>
        <w:numPr>
          <w:ilvl w:val="0"/>
          <w:numId w:val="26"/>
        </w:numPr>
        <w:spacing w:before="105" w:after="105"/>
        <w:rPr>
          <w:rFonts w:ascii="Lato" w:hAnsi="Lato"/>
        </w:rPr>
      </w:pPr>
      <w:r w:rsidRPr="00550BCB">
        <w:rPr>
          <w:rFonts w:ascii="Lato" w:eastAsia="inter" w:hAnsi="Lato" w:cs="inter"/>
          <w:color w:val="000000"/>
        </w:rPr>
        <w:t>Interoperable “evidence layers” across payers and providers, with standard interfaces and vocabularies for longitudinal records that can be reused across retrospective and prospective risk, quality, and utilization management.</w:t>
      </w:r>
    </w:p>
    <w:p w14:paraId="36821259" w14:textId="77777777" w:rsidR="00F322DE" w:rsidRPr="00550BCB" w:rsidRDefault="00F322DE" w:rsidP="00F322DE">
      <w:pPr>
        <w:numPr>
          <w:ilvl w:val="0"/>
          <w:numId w:val="26"/>
        </w:numPr>
        <w:spacing w:before="105" w:after="105"/>
        <w:rPr>
          <w:rFonts w:ascii="Lato" w:hAnsi="Lato"/>
        </w:rPr>
      </w:pPr>
      <w:r>
        <w:rPr>
          <w:rFonts w:ascii="Lato" w:eastAsia="inter" w:hAnsi="Lato" w:cs="inter"/>
          <w:color w:val="000000"/>
        </w:rPr>
        <w:t xml:space="preserve">Open EHRs to support AI-based insights tools to power the best intelligence within the provider workflow. Closed or pay-to-play EHR systems limit choice for the providers to the AI initiatives within the EHR infrastructure and in parallel contributes to the provider abrasion when new innovative tools are activated but must operate outside of the primary clinical workflow tools. </w:t>
      </w:r>
    </w:p>
    <w:p w14:paraId="3706AD6F" w14:textId="77777777" w:rsidR="00F322DE" w:rsidRPr="00550BCB" w:rsidRDefault="00F322DE" w:rsidP="00F322DE">
      <w:pPr>
        <w:spacing w:after="210"/>
        <w:rPr>
          <w:rFonts w:ascii="Lato" w:hAnsi="Lato"/>
        </w:rPr>
      </w:pPr>
      <w:r>
        <w:rPr>
          <w:rFonts w:ascii="Lato" w:eastAsia="inter" w:hAnsi="Lato" w:cs="inter"/>
          <w:color w:val="000000"/>
        </w:rPr>
        <w:t xml:space="preserve">The </w:t>
      </w:r>
      <w:r w:rsidRPr="00550BCB">
        <w:rPr>
          <w:rFonts w:ascii="Lato" w:eastAsia="inter" w:hAnsi="Lato" w:cs="inter"/>
          <w:color w:val="000000"/>
        </w:rPr>
        <w:t>Reveleer platform already uses interoperable clinical repositories and standardized APIs to support EVE across risk adjustment and quality solutions; strengthening national interoperability in these areas would significantly expand the impact and safety of similar AI engines.</w:t>
      </w:r>
    </w:p>
    <w:p w14:paraId="163851A5" w14:textId="77777777" w:rsidR="00F322DE" w:rsidRPr="00550BCB" w:rsidRDefault="00F322DE" w:rsidP="00F322DE">
      <w:pPr>
        <w:spacing w:before="210" w:after="0"/>
        <w:rPr>
          <w:rFonts w:ascii="Lato" w:hAnsi="Lato"/>
        </w:rPr>
      </w:pPr>
      <w:r>
        <w:rPr>
          <w:noProof/>
        </w:rPr>
        <mc:AlternateContent>
          <mc:Choice Requires="wps">
            <w:drawing>
              <wp:inline distT="0" distB="0" distL="0" distR="0" wp14:anchorId="15909AE7" wp14:editId="67933CB9">
                <wp:extent cx="6038850" cy="635"/>
                <wp:effectExtent l="0" t="0" r="19050" b="24765"/>
                <wp:docPr id="46944760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7E7204A" id="Rectangle 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r>
        <w:rPr>
          <w:noProof/>
        </w:rPr>
        <mc:AlternateContent>
          <mc:Choice Requires="wps">
            <w:drawing>
              <wp:inline distT="0" distB="0" distL="0" distR="0" wp14:anchorId="168D76E0" wp14:editId="4C1637E8">
                <wp:extent cx="6038850" cy="635"/>
                <wp:effectExtent l="0" t="0" r="19050" b="24765"/>
                <wp:docPr id="130945931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604212D" id="Rectangle 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09A0E403" w14:textId="77777777" w:rsidR="00F322DE" w:rsidRPr="00550BCB" w:rsidRDefault="00F322DE" w:rsidP="00F322DE">
      <w:pPr>
        <w:spacing w:before="315" w:after="105"/>
        <w:ind w:left="-30"/>
        <w:rPr>
          <w:rFonts w:ascii="Lato" w:hAnsi="Lato"/>
        </w:rPr>
      </w:pPr>
      <w:bookmarkStart w:id="23" w:name="bm_9_patient_and_caregiver_challe_aa6c06"/>
      <w:r w:rsidRPr="00550BCB">
        <w:rPr>
          <w:rFonts w:ascii="Lato" w:eastAsia="inter" w:hAnsi="Lato" w:cs="inter"/>
          <w:b/>
          <w:color w:val="000000"/>
        </w:rPr>
        <w:lastRenderedPageBreak/>
        <w:t>9. Patient and caregiver challenges and concerns</w:t>
      </w:r>
      <w:bookmarkEnd w:id="23"/>
    </w:p>
    <w:p w14:paraId="7C57FBFC" w14:textId="77777777" w:rsidR="00F322DE" w:rsidRPr="00550BCB" w:rsidRDefault="00F322DE" w:rsidP="00F322DE">
      <w:pPr>
        <w:spacing w:before="315" w:after="105"/>
        <w:ind w:left="-30"/>
        <w:rPr>
          <w:rFonts w:ascii="Lato" w:hAnsi="Lato"/>
        </w:rPr>
      </w:pPr>
      <w:bookmarkStart w:id="24" w:name="bm_9_1_challenges_patients_and_ca_ac8ec6"/>
      <w:r w:rsidRPr="00550BCB">
        <w:rPr>
          <w:rFonts w:ascii="Lato" w:eastAsia="inter" w:hAnsi="Lato" w:cs="inter"/>
          <w:b/>
          <w:color w:val="000000"/>
        </w:rPr>
        <w:t>9.1. Challenges patients and caregivers want AI to address</w:t>
      </w:r>
      <w:bookmarkEnd w:id="24"/>
    </w:p>
    <w:p w14:paraId="566AFBE4" w14:textId="77777777" w:rsidR="00F322DE" w:rsidRPr="00550BCB" w:rsidRDefault="00F322DE" w:rsidP="00F322DE">
      <w:pPr>
        <w:spacing w:after="210"/>
        <w:rPr>
          <w:rFonts w:ascii="Lato" w:hAnsi="Lato"/>
        </w:rPr>
      </w:pPr>
      <w:r w:rsidRPr="00550BCB">
        <w:rPr>
          <w:rFonts w:ascii="Lato" w:eastAsia="inter" w:hAnsi="Lato" w:cs="inter"/>
          <w:color w:val="000000"/>
        </w:rPr>
        <w:t>From the vantage point of value</w:t>
      </w:r>
      <w:r w:rsidRPr="00550BCB">
        <w:rPr>
          <w:rFonts w:ascii="Cambria Math" w:eastAsia="inter" w:hAnsi="Cambria Math" w:cs="Cambria Math"/>
          <w:color w:val="000000"/>
        </w:rPr>
        <w:t>‑</w:t>
      </w:r>
      <w:r w:rsidRPr="00550BCB">
        <w:rPr>
          <w:rFonts w:ascii="Lato" w:eastAsia="inter" w:hAnsi="Lato" w:cs="inter"/>
          <w:color w:val="000000"/>
        </w:rPr>
        <w:t>based care operations, patients and caregivers most want AI to help with:</w:t>
      </w:r>
    </w:p>
    <w:p w14:paraId="614E31B8" w14:textId="77777777" w:rsidR="00F322DE" w:rsidRPr="00550BCB" w:rsidRDefault="00F322DE" w:rsidP="00F322DE">
      <w:pPr>
        <w:numPr>
          <w:ilvl w:val="0"/>
          <w:numId w:val="27"/>
        </w:numPr>
        <w:spacing w:before="105" w:after="105"/>
        <w:rPr>
          <w:rFonts w:ascii="Lato" w:hAnsi="Lato"/>
        </w:rPr>
      </w:pPr>
      <w:r w:rsidRPr="00375D98">
        <w:rPr>
          <w:rFonts w:ascii="Lato" w:eastAsia="inter" w:hAnsi="Lato" w:cs="inter"/>
          <w:b/>
          <w:bCs/>
          <w:color w:val="000000"/>
        </w:rPr>
        <w:t xml:space="preserve">Fragmented care and incomplete information. </w:t>
      </w:r>
      <w:r w:rsidRPr="00550BCB">
        <w:rPr>
          <w:rFonts w:ascii="Lato" w:eastAsia="inter" w:hAnsi="Lato" w:cs="inter"/>
          <w:color w:val="000000"/>
        </w:rPr>
        <w:t>Patients want clinicians to see the full picture of their health across settings</w:t>
      </w:r>
      <w:r>
        <w:rPr>
          <w:rFonts w:ascii="Lato" w:eastAsia="inter" w:hAnsi="Lato" w:cs="inter"/>
          <w:color w:val="000000"/>
        </w:rPr>
        <w:t xml:space="preserve"> to ensure the care and advice they are getting considers their health conditions and needs uniquely.</w:t>
      </w:r>
      <w:r w:rsidRPr="00550BCB">
        <w:rPr>
          <w:rFonts w:ascii="Lato" w:eastAsia="inter" w:hAnsi="Lato" w:cs="inter"/>
          <w:color w:val="000000"/>
        </w:rPr>
        <w:t xml:space="preserve"> AI operating over unified evidence layers can help ensure important conditions and care gaps are not overlooked.</w:t>
      </w:r>
    </w:p>
    <w:p w14:paraId="0FD63C29" w14:textId="77777777" w:rsidR="00F322DE" w:rsidRPr="00550BCB" w:rsidRDefault="00F322DE" w:rsidP="00F322DE">
      <w:pPr>
        <w:numPr>
          <w:ilvl w:val="0"/>
          <w:numId w:val="27"/>
        </w:numPr>
        <w:spacing w:before="105" w:after="105"/>
        <w:rPr>
          <w:rFonts w:ascii="Lato" w:hAnsi="Lato"/>
        </w:rPr>
      </w:pPr>
      <w:r w:rsidRPr="00375D98">
        <w:rPr>
          <w:rFonts w:ascii="Lato" w:eastAsia="inter" w:hAnsi="Lato" w:cs="inter"/>
          <w:b/>
          <w:bCs/>
          <w:color w:val="000000"/>
        </w:rPr>
        <w:t xml:space="preserve">Delays and access barriers. </w:t>
      </w:r>
      <w:r w:rsidRPr="00550BCB">
        <w:rPr>
          <w:rFonts w:ascii="Lato" w:eastAsia="inter" w:hAnsi="Lato" w:cs="inter"/>
          <w:color w:val="000000"/>
        </w:rPr>
        <w:t>AI</w:t>
      </w:r>
      <w:r w:rsidRPr="00550BCB">
        <w:rPr>
          <w:rFonts w:ascii="Cambria Math" w:eastAsia="inter" w:hAnsi="Cambria Math" w:cs="Cambria Math"/>
          <w:color w:val="000000"/>
        </w:rPr>
        <w:t>‑</w:t>
      </w:r>
      <w:r w:rsidRPr="00550BCB">
        <w:rPr>
          <w:rFonts w:ascii="Lato" w:eastAsia="inter" w:hAnsi="Lato" w:cs="inter"/>
          <w:color w:val="000000"/>
        </w:rPr>
        <w:t>enabled risk stratification and care gap identification can prioritize high</w:t>
      </w:r>
      <w:r w:rsidRPr="00550BCB">
        <w:rPr>
          <w:rFonts w:ascii="Cambria Math" w:eastAsia="inter" w:hAnsi="Cambria Math" w:cs="Cambria Math"/>
          <w:color w:val="000000"/>
        </w:rPr>
        <w:t>‑</w:t>
      </w:r>
      <w:r w:rsidRPr="00550BCB">
        <w:rPr>
          <w:rFonts w:ascii="Lato" w:eastAsia="inter" w:hAnsi="Lato" w:cs="inter"/>
          <w:color w:val="000000"/>
        </w:rPr>
        <w:t>risk patients for outreach, ensuring timelier care and reducing avoidable hospitalizations.</w:t>
      </w:r>
      <w:r>
        <w:rPr>
          <w:rFonts w:ascii="Lato" w:eastAsia="inter" w:hAnsi="Lato" w:cs="inter"/>
          <w:color w:val="000000"/>
        </w:rPr>
        <w:t xml:space="preserve"> But knowing that healthcare is local, these systems need to account for regional factors (</w:t>
      </w:r>
      <w:r w:rsidRPr="00707C9B">
        <w:rPr>
          <w:rFonts w:ascii="Lato" w:eastAsia="inter" w:hAnsi="Lato" w:cs="inter"/>
          <w:color w:val="000000"/>
        </w:rPr>
        <w:t>medical personnel, geographic isolation, socioeconomic status, and population demographics</w:t>
      </w:r>
      <w:r>
        <w:rPr>
          <w:rFonts w:ascii="Lato" w:eastAsia="inter" w:hAnsi="Lato" w:cs="inter"/>
          <w:color w:val="000000"/>
        </w:rPr>
        <w:t xml:space="preserve">) and physician-specific approaches to care. </w:t>
      </w:r>
    </w:p>
    <w:p w14:paraId="28CE9BFB" w14:textId="77777777" w:rsidR="00F322DE" w:rsidRPr="00550BCB" w:rsidRDefault="00F322DE" w:rsidP="00F322DE">
      <w:pPr>
        <w:numPr>
          <w:ilvl w:val="0"/>
          <w:numId w:val="27"/>
        </w:numPr>
        <w:spacing w:before="105" w:after="105"/>
        <w:rPr>
          <w:rFonts w:ascii="Lato" w:hAnsi="Lato"/>
        </w:rPr>
      </w:pPr>
      <w:r w:rsidRPr="00375D98">
        <w:rPr>
          <w:rFonts w:ascii="Lato" w:eastAsia="inter" w:hAnsi="Lato" w:cs="inter"/>
          <w:b/>
          <w:bCs/>
          <w:color w:val="000000"/>
        </w:rPr>
        <w:t xml:space="preserve">Administrative burden and confusion. </w:t>
      </w:r>
      <w:r w:rsidRPr="00550BCB">
        <w:rPr>
          <w:rFonts w:ascii="Lato" w:eastAsia="inter" w:hAnsi="Lato" w:cs="inter"/>
          <w:color w:val="000000"/>
        </w:rPr>
        <w:t>Patients benefit when AI reduces clinician documentation burden and back</w:t>
      </w:r>
      <w:r w:rsidRPr="00550BCB">
        <w:rPr>
          <w:rFonts w:ascii="Cambria Math" w:eastAsia="inter" w:hAnsi="Cambria Math" w:cs="Cambria Math"/>
          <w:color w:val="000000"/>
        </w:rPr>
        <w:t>‑</w:t>
      </w:r>
      <w:r w:rsidRPr="00550BCB">
        <w:rPr>
          <w:rFonts w:ascii="Lato" w:eastAsia="inter" w:hAnsi="Lato" w:cs="inter"/>
          <w:color w:val="000000"/>
        </w:rPr>
        <w:t>office inefficiencies, freeing more time for communication and shared</w:t>
      </w:r>
      <w:r>
        <w:rPr>
          <w:rFonts w:ascii="Lato" w:eastAsia="inter" w:hAnsi="Lato" w:cs="inter"/>
          <w:color w:val="000000"/>
        </w:rPr>
        <w:t>, personalized</w:t>
      </w:r>
      <w:r w:rsidRPr="00550BCB">
        <w:rPr>
          <w:rFonts w:ascii="Lato" w:eastAsia="inter" w:hAnsi="Lato" w:cs="inter"/>
          <w:color w:val="000000"/>
        </w:rPr>
        <w:t xml:space="preserve"> decision</w:t>
      </w:r>
      <w:r w:rsidRPr="00550BCB">
        <w:rPr>
          <w:rFonts w:ascii="Cambria Math" w:eastAsia="inter" w:hAnsi="Cambria Math" w:cs="Cambria Math"/>
          <w:color w:val="000000"/>
        </w:rPr>
        <w:t>‑</w:t>
      </w:r>
      <w:r w:rsidRPr="00550BCB">
        <w:rPr>
          <w:rFonts w:ascii="Lato" w:eastAsia="inter" w:hAnsi="Lato" w:cs="inter"/>
          <w:color w:val="000000"/>
        </w:rPr>
        <w:t>making.</w:t>
      </w:r>
    </w:p>
    <w:p w14:paraId="1942B0AC" w14:textId="77777777" w:rsidR="00F322DE" w:rsidRPr="00550BCB" w:rsidRDefault="00F322DE" w:rsidP="00F322DE">
      <w:pPr>
        <w:numPr>
          <w:ilvl w:val="0"/>
          <w:numId w:val="27"/>
        </w:numPr>
        <w:spacing w:before="105" w:after="105"/>
        <w:rPr>
          <w:rFonts w:ascii="Lato" w:hAnsi="Lato"/>
        </w:rPr>
      </w:pPr>
      <w:r w:rsidRPr="00375D98">
        <w:rPr>
          <w:rFonts w:ascii="Lato" w:eastAsia="inter" w:hAnsi="Lato" w:cs="inter"/>
          <w:b/>
          <w:bCs/>
          <w:color w:val="000000"/>
        </w:rPr>
        <w:t xml:space="preserve">Health equity and tailored care. </w:t>
      </w:r>
      <w:r w:rsidRPr="00550BCB">
        <w:rPr>
          <w:rFonts w:ascii="Lato" w:eastAsia="inter" w:hAnsi="Lato" w:cs="inter"/>
          <w:color w:val="000000"/>
        </w:rPr>
        <w:t>AI can help identify disparities in access and outcomes and support more targeted interventions, provided fairness is monitored and addressed.</w:t>
      </w:r>
      <w:r>
        <w:rPr>
          <w:rFonts w:ascii="Lato" w:eastAsia="inter" w:hAnsi="Lato" w:cs="inter"/>
          <w:color w:val="000000"/>
        </w:rPr>
        <w:t xml:space="preserve"> As above, </w:t>
      </w:r>
      <w:r w:rsidRPr="00CD10D7">
        <w:rPr>
          <w:rFonts w:ascii="Lato" w:eastAsia="inter" w:hAnsi="Lato" w:cs="inter"/>
          <w:color w:val="000000"/>
        </w:rPr>
        <w:t>need to account for regional factors (medical personnel, geographic isolation, socioeconomic status, and population demographics) and physician-specific approaches to care</w:t>
      </w:r>
      <w:r>
        <w:rPr>
          <w:rFonts w:ascii="Lato" w:eastAsia="inter" w:hAnsi="Lato" w:cs="inter"/>
          <w:color w:val="000000"/>
        </w:rPr>
        <w:t>.</w:t>
      </w:r>
    </w:p>
    <w:p w14:paraId="2E806AB6" w14:textId="77777777" w:rsidR="00F322DE" w:rsidRPr="00550BCB" w:rsidRDefault="00F322DE" w:rsidP="00F322DE">
      <w:pPr>
        <w:spacing w:before="315" w:after="105"/>
        <w:ind w:left="-30"/>
        <w:rPr>
          <w:rFonts w:ascii="Lato" w:hAnsi="Lato"/>
        </w:rPr>
      </w:pPr>
      <w:bookmarkStart w:id="25" w:name="bm_9_2_concerns_about_ai_in_clini_38de1f"/>
      <w:r w:rsidRPr="00550BCB">
        <w:rPr>
          <w:rFonts w:ascii="Lato" w:eastAsia="inter" w:hAnsi="Lato" w:cs="inter"/>
          <w:b/>
          <w:color w:val="000000"/>
        </w:rPr>
        <w:t>9.2. Concerns about AI in clinical care</w:t>
      </w:r>
      <w:bookmarkEnd w:id="25"/>
    </w:p>
    <w:p w14:paraId="0F8A92C0" w14:textId="77777777" w:rsidR="00F322DE" w:rsidRPr="00550BCB" w:rsidRDefault="00F322DE" w:rsidP="00F322DE">
      <w:pPr>
        <w:spacing w:after="210"/>
        <w:rPr>
          <w:rFonts w:ascii="Lato" w:hAnsi="Lato"/>
        </w:rPr>
      </w:pPr>
      <w:r w:rsidRPr="00550BCB">
        <w:rPr>
          <w:rFonts w:ascii="Lato" w:eastAsia="inter" w:hAnsi="Lato" w:cs="inter"/>
          <w:color w:val="000000"/>
        </w:rPr>
        <w:t>Common concerns include:</w:t>
      </w:r>
    </w:p>
    <w:p w14:paraId="522C7FEE" w14:textId="77777777" w:rsidR="00F322DE" w:rsidRPr="00550BCB" w:rsidRDefault="00F322DE" w:rsidP="00F322DE">
      <w:pPr>
        <w:numPr>
          <w:ilvl w:val="0"/>
          <w:numId w:val="28"/>
        </w:numPr>
        <w:spacing w:before="105" w:after="105"/>
        <w:rPr>
          <w:rFonts w:ascii="Lato" w:hAnsi="Lato"/>
        </w:rPr>
      </w:pPr>
      <w:r w:rsidRPr="00375D98">
        <w:rPr>
          <w:rFonts w:ascii="Lato" w:eastAsia="inter" w:hAnsi="Lato" w:cs="inter"/>
          <w:b/>
          <w:bCs/>
          <w:color w:val="000000"/>
        </w:rPr>
        <w:lastRenderedPageBreak/>
        <w:t xml:space="preserve">Loss of human judgment and relationship. </w:t>
      </w:r>
      <w:r w:rsidRPr="00550BCB">
        <w:rPr>
          <w:rFonts w:ascii="Lato" w:eastAsia="inter" w:hAnsi="Lato" w:cs="inter"/>
          <w:color w:val="000000"/>
        </w:rPr>
        <w:t>Patients and caregivers worry that AI may replace, rather than augment, clinician judgment. Reveleer deliberately positions EVE as clinical decision support, with non</w:t>
      </w:r>
      <w:r w:rsidRPr="00550BCB">
        <w:rPr>
          <w:rFonts w:ascii="Cambria Math" w:eastAsia="inter" w:hAnsi="Cambria Math" w:cs="Cambria Math"/>
          <w:color w:val="000000"/>
        </w:rPr>
        <w:t>‑</w:t>
      </w:r>
      <w:r w:rsidRPr="00550BCB">
        <w:rPr>
          <w:rFonts w:ascii="Lato" w:eastAsia="inter" w:hAnsi="Lato" w:cs="inter"/>
          <w:color w:val="000000"/>
        </w:rPr>
        <w:t>binding recommendations and required human validation.</w:t>
      </w:r>
    </w:p>
    <w:p w14:paraId="10349F70" w14:textId="77777777" w:rsidR="00F322DE" w:rsidRPr="00550BCB" w:rsidRDefault="00F322DE" w:rsidP="00F322DE">
      <w:pPr>
        <w:numPr>
          <w:ilvl w:val="0"/>
          <w:numId w:val="28"/>
        </w:numPr>
        <w:spacing w:before="105" w:after="105"/>
        <w:rPr>
          <w:rFonts w:ascii="Lato" w:hAnsi="Lato"/>
        </w:rPr>
      </w:pPr>
      <w:r w:rsidRPr="00375D98">
        <w:rPr>
          <w:rFonts w:ascii="Lato" w:eastAsia="inter" w:hAnsi="Lato" w:cs="inter"/>
          <w:b/>
          <w:bCs/>
          <w:color w:val="000000"/>
        </w:rPr>
        <w:t xml:space="preserve">Privacy, data security, and secondary use. </w:t>
      </w:r>
      <w:r w:rsidRPr="00550BCB">
        <w:rPr>
          <w:rFonts w:ascii="Lato" w:eastAsia="inter" w:hAnsi="Lato" w:cs="inter"/>
          <w:color w:val="000000"/>
        </w:rPr>
        <w:t>There is concern that AI requires extensive sharing and repurposing of sensitive health data. Reveleer addresses this with HIPAA</w:t>
      </w:r>
      <w:r w:rsidRPr="00550BCB">
        <w:rPr>
          <w:rFonts w:ascii="Cambria Math" w:eastAsia="inter" w:hAnsi="Cambria Math" w:cs="Cambria Math"/>
          <w:color w:val="000000"/>
        </w:rPr>
        <w:t>‑</w:t>
      </w:r>
      <w:r w:rsidRPr="00550BCB">
        <w:rPr>
          <w:rFonts w:ascii="Lato" w:eastAsia="inter" w:hAnsi="Lato" w:cs="inter"/>
          <w:color w:val="000000"/>
        </w:rPr>
        <w:t xml:space="preserve"> and HITRUST</w:t>
      </w:r>
      <w:r w:rsidRPr="00550BCB">
        <w:rPr>
          <w:rFonts w:ascii="Cambria Math" w:eastAsia="inter" w:hAnsi="Cambria Math" w:cs="Cambria Math"/>
          <w:color w:val="000000"/>
        </w:rPr>
        <w:t>‑</w:t>
      </w:r>
      <w:r w:rsidRPr="00550BCB">
        <w:rPr>
          <w:rFonts w:ascii="Lato" w:eastAsia="inter" w:hAnsi="Lato" w:cs="inter"/>
          <w:color w:val="000000"/>
        </w:rPr>
        <w:t>aligned controls, de</w:t>
      </w:r>
      <w:r w:rsidRPr="00550BCB">
        <w:rPr>
          <w:rFonts w:ascii="Cambria Math" w:eastAsia="inter" w:hAnsi="Cambria Math" w:cs="Cambria Math"/>
          <w:color w:val="000000"/>
        </w:rPr>
        <w:t>‑</w:t>
      </w:r>
      <w:r w:rsidRPr="00550BCB">
        <w:rPr>
          <w:rFonts w:ascii="Lato" w:eastAsia="inter" w:hAnsi="Lato" w:cs="inter"/>
          <w:color w:val="000000"/>
        </w:rPr>
        <w:t>identification or redaction where appropriate, and strict purpose limitations on data use.</w:t>
      </w:r>
    </w:p>
    <w:p w14:paraId="4DD53439" w14:textId="77777777" w:rsidR="00F322DE" w:rsidRPr="00550BCB" w:rsidRDefault="00F322DE" w:rsidP="00F322DE">
      <w:pPr>
        <w:numPr>
          <w:ilvl w:val="0"/>
          <w:numId w:val="28"/>
        </w:numPr>
        <w:spacing w:before="105" w:after="105"/>
        <w:rPr>
          <w:rFonts w:ascii="Lato" w:hAnsi="Lato"/>
        </w:rPr>
      </w:pPr>
      <w:r w:rsidRPr="00375D98">
        <w:rPr>
          <w:rFonts w:ascii="Lato" w:eastAsia="inter" w:hAnsi="Lato" w:cs="inter"/>
          <w:b/>
          <w:bCs/>
          <w:color w:val="000000"/>
        </w:rPr>
        <w:t xml:space="preserve">Bias and fairness. </w:t>
      </w:r>
      <w:r w:rsidRPr="00550BCB">
        <w:rPr>
          <w:rFonts w:ascii="Lato" w:eastAsia="inter" w:hAnsi="Lato" w:cs="inter"/>
          <w:color w:val="000000"/>
        </w:rPr>
        <w:t>Patients may fear that AI will perpetuate or worsen inequities. Continuous fairness monitoring and transparent performance metrics by subgroup are essential to mitigate this risk.</w:t>
      </w:r>
    </w:p>
    <w:p w14:paraId="074152D1" w14:textId="77777777" w:rsidR="00F322DE" w:rsidRPr="00550BCB" w:rsidRDefault="00F322DE" w:rsidP="00F322DE">
      <w:pPr>
        <w:numPr>
          <w:ilvl w:val="0"/>
          <w:numId w:val="28"/>
        </w:numPr>
        <w:spacing w:before="105" w:after="105"/>
        <w:rPr>
          <w:rFonts w:ascii="Lato" w:hAnsi="Lato"/>
        </w:rPr>
      </w:pPr>
      <w:r w:rsidRPr="00375D98">
        <w:rPr>
          <w:rFonts w:ascii="Lato" w:eastAsia="inter" w:hAnsi="Lato" w:cs="inter"/>
          <w:b/>
          <w:bCs/>
          <w:color w:val="000000"/>
        </w:rPr>
        <w:t xml:space="preserve">Opacity and lack of recourse. </w:t>
      </w:r>
      <w:r w:rsidRPr="00550BCB">
        <w:rPr>
          <w:rFonts w:ascii="Lato" w:eastAsia="inter" w:hAnsi="Lato" w:cs="inter"/>
          <w:color w:val="000000"/>
        </w:rPr>
        <w:t>Without explainability and clear appeal mechanisms, patients may feel that algorithmic decisions are unchallengeable. Evidence</w:t>
      </w:r>
      <w:r w:rsidRPr="00550BCB">
        <w:rPr>
          <w:rFonts w:ascii="Cambria Math" w:eastAsia="inter" w:hAnsi="Cambria Math" w:cs="Cambria Math"/>
          <w:color w:val="000000"/>
        </w:rPr>
        <w:t>‑</w:t>
      </w:r>
      <w:r w:rsidRPr="00550BCB">
        <w:rPr>
          <w:rFonts w:ascii="Lato" w:eastAsia="inter" w:hAnsi="Lato" w:cs="inter"/>
          <w:color w:val="000000"/>
        </w:rPr>
        <w:t>linked AI and human</w:t>
      </w:r>
      <w:r w:rsidRPr="00550BCB">
        <w:rPr>
          <w:rFonts w:ascii="Cambria Math" w:eastAsia="inter" w:hAnsi="Cambria Math" w:cs="Cambria Math"/>
          <w:color w:val="000000"/>
        </w:rPr>
        <w:t>‑</w:t>
      </w:r>
      <w:r w:rsidRPr="00550BCB">
        <w:rPr>
          <w:rFonts w:ascii="Lato" w:eastAsia="inter" w:hAnsi="Lato" w:cs="inter"/>
          <w:color w:val="000000"/>
        </w:rPr>
        <w:t>in</w:t>
      </w:r>
      <w:r w:rsidRPr="00550BCB">
        <w:rPr>
          <w:rFonts w:ascii="Cambria Math" w:eastAsia="inter" w:hAnsi="Cambria Math" w:cs="Cambria Math"/>
          <w:color w:val="000000"/>
        </w:rPr>
        <w:t>‑</w:t>
      </w:r>
      <w:r w:rsidRPr="00550BCB">
        <w:rPr>
          <w:rFonts w:ascii="Lato" w:eastAsia="inter" w:hAnsi="Lato" w:cs="inter"/>
          <w:color w:val="000000"/>
        </w:rPr>
        <w:t>the</w:t>
      </w:r>
      <w:r w:rsidRPr="00550BCB">
        <w:rPr>
          <w:rFonts w:ascii="Cambria Math" w:eastAsia="inter" w:hAnsi="Cambria Math" w:cs="Cambria Math"/>
          <w:color w:val="000000"/>
        </w:rPr>
        <w:t>‑</w:t>
      </w:r>
      <w:r w:rsidRPr="00550BCB">
        <w:rPr>
          <w:rFonts w:ascii="Lato" w:eastAsia="inter" w:hAnsi="Lato" w:cs="inter"/>
          <w:color w:val="000000"/>
        </w:rPr>
        <w:t>loop workflows provide a foundation for explainable decisions and remediation.</w:t>
      </w:r>
    </w:p>
    <w:p w14:paraId="7012C2D0" w14:textId="77777777" w:rsidR="00F322DE" w:rsidRPr="00550BCB" w:rsidRDefault="00F322DE" w:rsidP="00F322DE">
      <w:pPr>
        <w:spacing w:after="210"/>
        <w:rPr>
          <w:rFonts w:ascii="Lato" w:hAnsi="Lato"/>
        </w:rPr>
      </w:pPr>
      <w:r w:rsidRPr="00550BCB">
        <w:rPr>
          <w:rFonts w:ascii="Lato" w:eastAsia="inter" w:hAnsi="Lato" w:cs="inter"/>
          <w:color w:val="000000"/>
        </w:rPr>
        <w:t>HHS can support trust by emphasizing evidence</w:t>
      </w:r>
      <w:r w:rsidRPr="00550BCB">
        <w:rPr>
          <w:rFonts w:ascii="Cambria Math" w:eastAsia="inter" w:hAnsi="Cambria Math" w:cs="Cambria Math"/>
          <w:color w:val="000000"/>
        </w:rPr>
        <w:t>‑</w:t>
      </w:r>
      <w:r w:rsidRPr="00550BCB">
        <w:rPr>
          <w:rFonts w:ascii="Lato" w:eastAsia="inter" w:hAnsi="Lato" w:cs="inter"/>
          <w:color w:val="000000"/>
        </w:rPr>
        <w:t>linked, human</w:t>
      </w:r>
      <w:r w:rsidRPr="00550BCB">
        <w:rPr>
          <w:rFonts w:ascii="Cambria Math" w:eastAsia="inter" w:hAnsi="Cambria Math" w:cs="Cambria Math"/>
          <w:color w:val="000000"/>
        </w:rPr>
        <w:t>‑</w:t>
      </w:r>
      <w:r w:rsidRPr="00550BCB">
        <w:rPr>
          <w:rFonts w:ascii="Lato" w:eastAsia="inter" w:hAnsi="Lato" w:cs="inter"/>
          <w:color w:val="000000"/>
        </w:rPr>
        <w:t>supervised AI and promoting patient</w:t>
      </w:r>
      <w:r w:rsidRPr="00550BCB">
        <w:rPr>
          <w:rFonts w:ascii="Cambria Math" w:eastAsia="inter" w:hAnsi="Cambria Math" w:cs="Cambria Math"/>
          <w:color w:val="000000"/>
        </w:rPr>
        <w:t>‑</w:t>
      </w:r>
      <w:r w:rsidRPr="00550BCB">
        <w:rPr>
          <w:rFonts w:ascii="Lato" w:eastAsia="inter" w:hAnsi="Lato" w:cs="inter"/>
          <w:color w:val="000000"/>
        </w:rPr>
        <w:t>facing transparency about when and how AI is used in care decisions.</w:t>
      </w:r>
    </w:p>
    <w:p w14:paraId="1AC889D2" w14:textId="0AFA20D1" w:rsidR="00F322DE" w:rsidRPr="00550BCB" w:rsidRDefault="00F322DE" w:rsidP="00F322DE">
      <w:pPr>
        <w:spacing w:before="210" w:after="0"/>
        <w:rPr>
          <w:rFonts w:ascii="Lato" w:hAnsi="Lato"/>
        </w:rPr>
      </w:pPr>
      <w:r>
        <w:rPr>
          <w:noProof/>
        </w:rPr>
        <mc:AlternateContent>
          <mc:Choice Requires="wps">
            <w:drawing>
              <wp:inline distT="0" distB="0" distL="0" distR="0" wp14:anchorId="0B6B9288" wp14:editId="38E11751">
                <wp:extent cx="6038850" cy="635"/>
                <wp:effectExtent l="0" t="0" r="19050" b="24765"/>
                <wp:docPr id="18891024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8289F5B" id="Rectangle 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1A5BF21E" w14:textId="77777777" w:rsidR="00F322DE" w:rsidRPr="00550BCB" w:rsidRDefault="00F322DE" w:rsidP="00F322DE">
      <w:pPr>
        <w:spacing w:before="315" w:after="105"/>
        <w:ind w:left="-30"/>
        <w:rPr>
          <w:rFonts w:ascii="Lato" w:hAnsi="Lato"/>
        </w:rPr>
      </w:pPr>
      <w:bookmarkStart w:id="26" w:name="bm_10_priority_ai_research_areas_71d59f"/>
      <w:r w:rsidRPr="00550BCB">
        <w:rPr>
          <w:rFonts w:ascii="Lato" w:eastAsia="inter" w:hAnsi="Lato" w:cs="inter"/>
          <w:b/>
          <w:color w:val="000000"/>
        </w:rPr>
        <w:t>10. Priority AI research areas; literature on costs, benefits, and transfers</w:t>
      </w:r>
      <w:bookmarkEnd w:id="26"/>
    </w:p>
    <w:p w14:paraId="54641E8C" w14:textId="77777777" w:rsidR="00F322DE" w:rsidRPr="00550BCB" w:rsidRDefault="00F322DE" w:rsidP="00F322DE">
      <w:pPr>
        <w:spacing w:before="315" w:after="105"/>
        <w:ind w:left="-30"/>
        <w:rPr>
          <w:rFonts w:ascii="Lato" w:hAnsi="Lato"/>
        </w:rPr>
      </w:pPr>
      <w:bookmarkStart w:id="27" w:name="bm_10_1_priority_research_areas"/>
      <w:r w:rsidRPr="00550BCB">
        <w:rPr>
          <w:rFonts w:ascii="Lato" w:eastAsia="inter" w:hAnsi="Lato" w:cs="inter"/>
          <w:b/>
          <w:color w:val="000000"/>
        </w:rPr>
        <w:t>10.1. Priority research areas</w:t>
      </w:r>
      <w:bookmarkEnd w:id="27"/>
    </w:p>
    <w:p w14:paraId="1FF4BCCC" w14:textId="77777777" w:rsidR="00F322DE" w:rsidRPr="00550BCB" w:rsidRDefault="00F322DE" w:rsidP="00F322DE">
      <w:pPr>
        <w:spacing w:after="210"/>
        <w:rPr>
          <w:rFonts w:ascii="Lato" w:hAnsi="Lato"/>
        </w:rPr>
      </w:pPr>
      <w:r w:rsidRPr="00550BCB">
        <w:rPr>
          <w:rFonts w:ascii="Lato" w:eastAsia="inter" w:hAnsi="Lato" w:cs="inter"/>
          <w:color w:val="000000"/>
        </w:rPr>
        <w:t>Reveleer recommends that HHS prioritize research in:</w:t>
      </w:r>
    </w:p>
    <w:p w14:paraId="0AFBB315" w14:textId="77777777" w:rsidR="00F322DE" w:rsidRPr="00550BCB" w:rsidRDefault="00F322DE" w:rsidP="00F322DE">
      <w:pPr>
        <w:numPr>
          <w:ilvl w:val="0"/>
          <w:numId w:val="29"/>
        </w:numPr>
        <w:spacing w:before="105" w:after="105"/>
        <w:rPr>
          <w:rFonts w:ascii="Lato" w:hAnsi="Lato"/>
        </w:rPr>
      </w:pPr>
      <w:r w:rsidRPr="00550BCB">
        <w:rPr>
          <w:rFonts w:ascii="Lato" w:eastAsia="inter" w:hAnsi="Lato" w:cs="inter"/>
          <w:color w:val="000000"/>
        </w:rPr>
        <w:t>Hybrid AI architectures for non</w:t>
      </w:r>
      <w:r w:rsidRPr="00550BCB">
        <w:rPr>
          <w:rFonts w:ascii="Cambria Math" w:eastAsia="inter" w:hAnsi="Cambria Math" w:cs="Cambria Math"/>
          <w:color w:val="000000"/>
        </w:rPr>
        <w:t>‑</w:t>
      </w:r>
      <w:r w:rsidRPr="00550BCB">
        <w:rPr>
          <w:rFonts w:ascii="Lato" w:eastAsia="inter" w:hAnsi="Lato" w:cs="inter"/>
          <w:color w:val="000000"/>
        </w:rPr>
        <w:t>device clinical decision support. Comparative studies should evaluate hybrid agentic</w:t>
      </w:r>
      <w:r w:rsidRPr="00550BCB">
        <w:rPr>
          <w:rFonts w:ascii="Cambria Math" w:eastAsia="inter" w:hAnsi="Cambria Math" w:cs="Cambria Math"/>
          <w:color w:val="000000"/>
        </w:rPr>
        <w:t>‑</w:t>
      </w:r>
      <w:r w:rsidRPr="00550BCB">
        <w:rPr>
          <w:rFonts w:ascii="Lato" w:eastAsia="inter" w:hAnsi="Lato" w:cs="inter"/>
          <w:color w:val="000000"/>
        </w:rPr>
        <w:t>plus</w:t>
      </w:r>
      <w:r w:rsidRPr="00550BCB">
        <w:rPr>
          <w:rFonts w:ascii="Cambria Math" w:eastAsia="inter" w:hAnsi="Cambria Math" w:cs="Cambria Math"/>
          <w:color w:val="000000"/>
        </w:rPr>
        <w:t>‑</w:t>
      </w:r>
      <w:r w:rsidRPr="00550BCB">
        <w:rPr>
          <w:rFonts w:ascii="Lato" w:eastAsia="inter" w:hAnsi="Lato" w:cs="inter"/>
          <w:color w:val="000000"/>
        </w:rPr>
        <w:t>deterministic approaches (like EVE Hybrid AI) against pure generative or black</w:t>
      </w:r>
      <w:r w:rsidRPr="00550BCB">
        <w:rPr>
          <w:rFonts w:ascii="Cambria Math" w:eastAsia="inter" w:hAnsi="Cambria Math" w:cs="Cambria Math"/>
          <w:color w:val="000000"/>
        </w:rPr>
        <w:t>‑</w:t>
      </w:r>
      <w:r w:rsidRPr="00550BCB">
        <w:rPr>
          <w:rFonts w:ascii="Lato" w:eastAsia="inter" w:hAnsi="Lato" w:cs="inter"/>
          <w:color w:val="000000"/>
        </w:rPr>
        <w:t>box models in terms of accuracy, auditability, provider acceptance, and regulatory compliance in risk adjustment and quality workflows.</w:t>
      </w:r>
    </w:p>
    <w:p w14:paraId="7511DF5A" w14:textId="77777777" w:rsidR="00F322DE" w:rsidRPr="00550BCB" w:rsidRDefault="00F322DE" w:rsidP="00F322DE">
      <w:pPr>
        <w:numPr>
          <w:ilvl w:val="0"/>
          <w:numId w:val="29"/>
        </w:numPr>
        <w:spacing w:before="105" w:after="105"/>
        <w:rPr>
          <w:rFonts w:ascii="Lato" w:hAnsi="Lato"/>
        </w:rPr>
      </w:pPr>
      <w:r w:rsidRPr="00550BCB">
        <w:rPr>
          <w:rFonts w:ascii="Lato" w:eastAsia="inter" w:hAnsi="Lato" w:cs="inter"/>
          <w:color w:val="000000"/>
        </w:rPr>
        <w:lastRenderedPageBreak/>
        <w:t>AI</w:t>
      </w:r>
      <w:r w:rsidRPr="00550BCB">
        <w:rPr>
          <w:rFonts w:ascii="Cambria Math" w:eastAsia="inter" w:hAnsi="Cambria Math" w:cs="Cambria Math"/>
          <w:color w:val="000000"/>
        </w:rPr>
        <w:t>‑</w:t>
      </w:r>
      <w:r w:rsidRPr="00550BCB">
        <w:rPr>
          <w:rFonts w:ascii="Lato" w:eastAsia="inter" w:hAnsi="Lato" w:cs="inter"/>
          <w:color w:val="000000"/>
        </w:rPr>
        <w:t>enabled evidence layers and continuous learning systems. Studies should examine how unified, provenance</w:t>
      </w:r>
      <w:r w:rsidRPr="00550BCB">
        <w:rPr>
          <w:rFonts w:ascii="Cambria Math" w:eastAsia="inter" w:hAnsi="Cambria Math" w:cs="Cambria Math"/>
          <w:color w:val="000000"/>
        </w:rPr>
        <w:t>‑</w:t>
      </w:r>
      <w:r w:rsidRPr="00550BCB">
        <w:rPr>
          <w:rFonts w:ascii="Lato" w:eastAsia="inter" w:hAnsi="Lato" w:cs="inter"/>
          <w:color w:val="000000"/>
        </w:rPr>
        <w:t>rich evidence layers coupled with continuous</w:t>
      </w:r>
      <w:r w:rsidRPr="00550BCB">
        <w:rPr>
          <w:rFonts w:ascii="Cambria Math" w:eastAsia="inter" w:hAnsi="Cambria Math" w:cs="Cambria Math"/>
          <w:color w:val="000000"/>
        </w:rPr>
        <w:t>‑</w:t>
      </w:r>
      <w:r w:rsidRPr="00550BCB">
        <w:rPr>
          <w:rFonts w:ascii="Lato" w:eastAsia="inter" w:hAnsi="Lato" w:cs="inter"/>
          <w:color w:val="000000"/>
        </w:rPr>
        <w:t>learning AI engines affect outcomes, costs, and resilience of value</w:t>
      </w:r>
      <w:r w:rsidRPr="00550BCB">
        <w:rPr>
          <w:rFonts w:ascii="Cambria Math" w:eastAsia="inter" w:hAnsi="Cambria Math" w:cs="Cambria Math"/>
          <w:color w:val="000000"/>
        </w:rPr>
        <w:t>‑</w:t>
      </w:r>
      <w:r w:rsidRPr="00550BCB">
        <w:rPr>
          <w:rFonts w:ascii="Lato" w:eastAsia="inter" w:hAnsi="Lato" w:cs="inter"/>
          <w:color w:val="000000"/>
        </w:rPr>
        <w:t>based care programs over multi</w:t>
      </w:r>
      <w:r w:rsidRPr="00550BCB">
        <w:rPr>
          <w:rFonts w:ascii="Cambria Math" w:eastAsia="inter" w:hAnsi="Cambria Math" w:cs="Cambria Math"/>
          <w:color w:val="000000"/>
        </w:rPr>
        <w:t>‑</w:t>
      </w:r>
      <w:r w:rsidRPr="00550BCB">
        <w:rPr>
          <w:rFonts w:ascii="Lato" w:eastAsia="inter" w:hAnsi="Lato" w:cs="inter"/>
          <w:color w:val="000000"/>
        </w:rPr>
        <w:t>year horizons.</w:t>
      </w:r>
    </w:p>
    <w:p w14:paraId="49B27EC6" w14:textId="77777777" w:rsidR="00F322DE" w:rsidRPr="00550BCB" w:rsidRDefault="00F322DE" w:rsidP="00F322DE">
      <w:pPr>
        <w:numPr>
          <w:ilvl w:val="0"/>
          <w:numId w:val="29"/>
        </w:numPr>
        <w:spacing w:before="105" w:after="105"/>
        <w:rPr>
          <w:rFonts w:ascii="Lato" w:hAnsi="Lato"/>
        </w:rPr>
      </w:pPr>
      <w:r w:rsidRPr="00550BCB">
        <w:rPr>
          <w:rFonts w:ascii="Lato" w:eastAsia="inter" w:hAnsi="Lato" w:cs="inter"/>
          <w:color w:val="000000"/>
        </w:rPr>
        <w:t>Digital quality measurement embedded in care. Research should develop and validate methods for AI to maintain measure</w:t>
      </w:r>
      <w:r w:rsidRPr="00550BCB">
        <w:rPr>
          <w:rFonts w:ascii="Cambria Math" w:eastAsia="inter" w:hAnsi="Cambria Math" w:cs="Cambria Math"/>
          <w:color w:val="000000"/>
        </w:rPr>
        <w:t>‑</w:t>
      </w:r>
      <w:r w:rsidRPr="00550BCB">
        <w:rPr>
          <w:rFonts w:ascii="Lato" w:eastAsia="inter" w:hAnsi="Lato" w:cs="inter"/>
          <w:color w:val="000000"/>
        </w:rPr>
        <w:t>aligned quality data and surface in</w:t>
      </w:r>
      <w:r w:rsidRPr="00550BCB">
        <w:rPr>
          <w:rFonts w:ascii="Cambria Math" w:eastAsia="inter" w:hAnsi="Cambria Math" w:cs="Cambria Math"/>
          <w:color w:val="000000"/>
        </w:rPr>
        <w:t>‑</w:t>
      </w:r>
      <w:r w:rsidRPr="00550BCB">
        <w:rPr>
          <w:rFonts w:ascii="Lato" w:eastAsia="inter" w:hAnsi="Lato" w:cs="inter"/>
          <w:color w:val="000000"/>
        </w:rPr>
        <w:t>encounter opportunities to close gaps, instead of treating quality reporting as an after</w:t>
      </w:r>
      <w:r w:rsidRPr="00550BCB">
        <w:rPr>
          <w:rFonts w:ascii="Cambria Math" w:eastAsia="inter" w:hAnsi="Cambria Math" w:cs="Cambria Math"/>
          <w:color w:val="000000"/>
        </w:rPr>
        <w:t>‑</w:t>
      </w:r>
      <w:r w:rsidRPr="00550BCB">
        <w:rPr>
          <w:rFonts w:ascii="Lato" w:eastAsia="inter" w:hAnsi="Lato" w:cs="inter"/>
          <w:color w:val="000000"/>
        </w:rPr>
        <w:t>the</w:t>
      </w:r>
      <w:r w:rsidRPr="00550BCB">
        <w:rPr>
          <w:rFonts w:ascii="Cambria Math" w:eastAsia="inter" w:hAnsi="Cambria Math" w:cs="Cambria Math"/>
          <w:color w:val="000000"/>
        </w:rPr>
        <w:t>‑</w:t>
      </w:r>
      <w:r w:rsidRPr="00550BCB">
        <w:rPr>
          <w:rFonts w:ascii="Lato" w:eastAsia="inter" w:hAnsi="Lato" w:cs="inter"/>
          <w:color w:val="000000"/>
        </w:rPr>
        <w:t>fact exercise.</w:t>
      </w:r>
    </w:p>
    <w:p w14:paraId="5FB64E2A" w14:textId="77777777" w:rsidR="00F322DE" w:rsidRPr="00550BCB" w:rsidRDefault="00F322DE" w:rsidP="00F322DE">
      <w:pPr>
        <w:numPr>
          <w:ilvl w:val="0"/>
          <w:numId w:val="29"/>
        </w:numPr>
        <w:spacing w:before="105" w:after="105"/>
        <w:rPr>
          <w:rFonts w:ascii="Lato" w:hAnsi="Lato"/>
        </w:rPr>
      </w:pPr>
      <w:r w:rsidRPr="00550BCB">
        <w:rPr>
          <w:rFonts w:ascii="Lato" w:eastAsia="inter" w:hAnsi="Lato" w:cs="inter"/>
          <w:color w:val="000000"/>
        </w:rPr>
        <w:t>Human</w:t>
      </w:r>
      <w:r w:rsidRPr="00550BCB">
        <w:rPr>
          <w:rFonts w:ascii="Cambria Math" w:eastAsia="inter" w:hAnsi="Cambria Math" w:cs="Cambria Math"/>
          <w:color w:val="000000"/>
        </w:rPr>
        <w:t>‑</w:t>
      </w:r>
      <w:r w:rsidRPr="00550BCB">
        <w:rPr>
          <w:rFonts w:ascii="Lato" w:eastAsia="inter" w:hAnsi="Lato" w:cs="inter"/>
          <w:color w:val="000000"/>
        </w:rPr>
        <w:t>AI collaboration and workflow design. Empirical work should focus on UX patterns, alerting strategies, and feedback loops that maximize adoption, trust, and safety in AI</w:t>
      </w:r>
      <w:r w:rsidRPr="00550BCB">
        <w:rPr>
          <w:rFonts w:ascii="Cambria Math" w:eastAsia="inter" w:hAnsi="Cambria Math" w:cs="Cambria Math"/>
          <w:color w:val="000000"/>
        </w:rPr>
        <w:t>‑</w:t>
      </w:r>
      <w:r w:rsidRPr="00550BCB">
        <w:rPr>
          <w:rFonts w:ascii="Lato" w:eastAsia="inter" w:hAnsi="Lato" w:cs="inter"/>
          <w:color w:val="000000"/>
        </w:rPr>
        <w:t>augmented coding and clinical workflows.</w:t>
      </w:r>
    </w:p>
    <w:p w14:paraId="6FE19219" w14:textId="77777777" w:rsidR="00F322DE" w:rsidRPr="00550BCB" w:rsidRDefault="00F322DE" w:rsidP="00F322DE">
      <w:pPr>
        <w:numPr>
          <w:ilvl w:val="0"/>
          <w:numId w:val="29"/>
        </w:numPr>
        <w:spacing w:before="105" w:after="105"/>
        <w:rPr>
          <w:rFonts w:ascii="Lato" w:hAnsi="Lato"/>
        </w:rPr>
      </w:pPr>
      <w:r w:rsidRPr="00550BCB">
        <w:rPr>
          <w:rFonts w:ascii="Lato" w:eastAsia="inter" w:hAnsi="Lato" w:cs="inter"/>
          <w:color w:val="000000"/>
        </w:rPr>
        <w:t>Equity and fairness in AI</w:t>
      </w:r>
      <w:r w:rsidRPr="00550BCB">
        <w:rPr>
          <w:rFonts w:ascii="Cambria Math" w:eastAsia="inter" w:hAnsi="Cambria Math" w:cs="Cambria Math"/>
          <w:color w:val="000000"/>
        </w:rPr>
        <w:t>‑</w:t>
      </w:r>
      <w:r w:rsidRPr="00550BCB">
        <w:rPr>
          <w:rFonts w:ascii="Lato" w:eastAsia="inter" w:hAnsi="Lato" w:cs="inter"/>
          <w:color w:val="000000"/>
        </w:rPr>
        <w:t>enabled value</w:t>
      </w:r>
      <w:r w:rsidRPr="00550BCB">
        <w:rPr>
          <w:rFonts w:ascii="Cambria Math" w:eastAsia="inter" w:hAnsi="Cambria Math" w:cs="Cambria Math"/>
          <w:color w:val="000000"/>
        </w:rPr>
        <w:t>‑</w:t>
      </w:r>
      <w:r w:rsidRPr="00550BCB">
        <w:rPr>
          <w:rFonts w:ascii="Lato" w:eastAsia="inter" w:hAnsi="Lato" w:cs="inter"/>
          <w:color w:val="000000"/>
        </w:rPr>
        <w:t>based care. Research should investigate how AI affects care across different populations and payment models, including potential unintended consequences in risk selection and resource allocation.</w:t>
      </w:r>
    </w:p>
    <w:p w14:paraId="3BAEB80D" w14:textId="77777777" w:rsidR="00F322DE" w:rsidRPr="00550BCB" w:rsidRDefault="00F322DE" w:rsidP="00F322DE">
      <w:pPr>
        <w:spacing w:before="315" w:after="105"/>
        <w:ind w:left="-30"/>
        <w:rPr>
          <w:rFonts w:ascii="Lato" w:hAnsi="Lato"/>
        </w:rPr>
      </w:pPr>
      <w:bookmarkStart w:id="28" w:name="bm_10_2_published_findings_on_imp_b694c6"/>
      <w:r w:rsidRPr="00550BCB">
        <w:rPr>
          <w:rFonts w:ascii="Lato" w:eastAsia="inter" w:hAnsi="Lato" w:cs="inter"/>
          <w:b/>
          <w:color w:val="000000"/>
        </w:rPr>
        <w:t>10.2. Published findings on impact, costs, benefits, and transfers</w:t>
      </w:r>
      <w:bookmarkEnd w:id="28"/>
    </w:p>
    <w:p w14:paraId="38D7A503" w14:textId="77777777" w:rsidR="00F322DE" w:rsidRPr="00550BCB" w:rsidRDefault="00F322DE" w:rsidP="00F322DE">
      <w:pPr>
        <w:spacing w:after="210"/>
        <w:rPr>
          <w:rFonts w:ascii="Lato" w:hAnsi="Lato"/>
        </w:rPr>
      </w:pPr>
      <w:r w:rsidRPr="00550BCB">
        <w:rPr>
          <w:rFonts w:ascii="Lato" w:eastAsia="inter" w:hAnsi="Lato" w:cs="inter"/>
          <w:color w:val="000000"/>
        </w:rPr>
        <w:t>The emerging literature on AI in clinical care shows:</w:t>
      </w:r>
    </w:p>
    <w:p w14:paraId="43E23935" w14:textId="77777777" w:rsidR="00F322DE" w:rsidRPr="00550BCB" w:rsidRDefault="00F322DE" w:rsidP="00F322DE">
      <w:pPr>
        <w:numPr>
          <w:ilvl w:val="0"/>
          <w:numId w:val="30"/>
        </w:numPr>
        <w:spacing w:before="105" w:after="105"/>
        <w:rPr>
          <w:rFonts w:ascii="Lato" w:hAnsi="Lato"/>
        </w:rPr>
      </w:pPr>
      <w:r w:rsidRPr="00550BCB">
        <w:rPr>
          <w:rFonts w:ascii="Lato" w:eastAsia="inter" w:hAnsi="Lato" w:cs="inter"/>
          <w:color w:val="000000"/>
        </w:rPr>
        <w:t>Across multiple clinical domains (e.g., screening, chronic disease management, imaging), AI interventions have demonstrated strong cost</w:t>
      </w:r>
      <w:r w:rsidRPr="00550BCB">
        <w:rPr>
          <w:rFonts w:ascii="Cambria Math" w:eastAsia="inter" w:hAnsi="Cambria Math" w:cs="Cambria Math"/>
          <w:color w:val="000000"/>
        </w:rPr>
        <w:t>‑</w:t>
      </w:r>
      <w:r w:rsidRPr="00550BCB">
        <w:rPr>
          <w:rFonts w:ascii="Lato" w:eastAsia="inter" w:hAnsi="Lato" w:cs="inter"/>
          <w:color w:val="000000"/>
        </w:rPr>
        <w:t>effectiveness or cost</w:t>
      </w:r>
      <w:r w:rsidRPr="00550BCB">
        <w:rPr>
          <w:rFonts w:ascii="Cambria Math" w:eastAsia="inter" w:hAnsi="Cambria Math" w:cs="Cambria Math"/>
          <w:color w:val="000000"/>
        </w:rPr>
        <w:t>‑</w:t>
      </w:r>
      <w:r w:rsidRPr="00550BCB">
        <w:rPr>
          <w:rFonts w:ascii="Lato" w:eastAsia="inter" w:hAnsi="Lato" w:cs="inter"/>
          <w:color w:val="000000"/>
        </w:rPr>
        <w:t>saving potential, often via reduced unnecessary procedures, improved early detection, and fewer readmissions.</w:t>
      </w:r>
    </w:p>
    <w:p w14:paraId="58B98D47" w14:textId="77777777" w:rsidR="00F322DE" w:rsidRPr="00550BCB" w:rsidRDefault="00F322DE" w:rsidP="00F322DE">
      <w:pPr>
        <w:numPr>
          <w:ilvl w:val="0"/>
          <w:numId w:val="30"/>
        </w:numPr>
        <w:spacing w:before="105" w:after="105"/>
        <w:rPr>
          <w:rFonts w:ascii="Lato" w:hAnsi="Lato"/>
        </w:rPr>
      </w:pPr>
      <w:r w:rsidRPr="00550BCB">
        <w:rPr>
          <w:rFonts w:ascii="Lato" w:eastAsia="inter" w:hAnsi="Lato" w:cs="inter"/>
          <w:color w:val="000000"/>
        </w:rPr>
        <w:t>Evaluations of AI</w:t>
      </w:r>
      <w:r w:rsidRPr="00550BCB">
        <w:rPr>
          <w:rFonts w:ascii="Cambria Math" w:eastAsia="inter" w:hAnsi="Cambria Math" w:cs="Cambria Math"/>
          <w:color w:val="000000"/>
        </w:rPr>
        <w:t>‑</w:t>
      </w:r>
      <w:r w:rsidRPr="00550BCB">
        <w:rPr>
          <w:rFonts w:ascii="Lato" w:eastAsia="inter" w:hAnsi="Lato" w:cs="inter"/>
          <w:color w:val="000000"/>
        </w:rPr>
        <w:t>powered prospective risk and care management have found improvements in documentation completeness, reduced readmissions, and better alignment of reimbursement with true disease burden, while lowering administrative costs through automation of chart review and suspecting.</w:t>
      </w:r>
    </w:p>
    <w:p w14:paraId="616DD3A1" w14:textId="77777777" w:rsidR="00F322DE" w:rsidRPr="00550BCB" w:rsidRDefault="00F322DE" w:rsidP="00F322DE">
      <w:pPr>
        <w:numPr>
          <w:ilvl w:val="0"/>
          <w:numId w:val="30"/>
        </w:numPr>
        <w:spacing w:before="105" w:after="105"/>
        <w:rPr>
          <w:rFonts w:ascii="Lato" w:hAnsi="Lato"/>
        </w:rPr>
      </w:pPr>
      <w:r w:rsidRPr="00550BCB">
        <w:rPr>
          <w:rFonts w:ascii="Lato" w:eastAsia="inter" w:hAnsi="Lato" w:cs="inter"/>
          <w:color w:val="000000"/>
        </w:rPr>
        <w:t xml:space="preserve">Economic evaluations typically combine clinical outcomes (sensitivity, specificity, readmission rates, adverse events) with utilization changes (length of stay, number of procedures, outpatient versus inpatient mix) to derive budget impact and ROI. </w:t>
      </w:r>
      <w:r w:rsidRPr="00550BCB">
        <w:rPr>
          <w:rFonts w:ascii="Lato" w:eastAsia="inter" w:hAnsi="Lato" w:cs="inter"/>
          <w:color w:val="000000"/>
        </w:rPr>
        <w:lastRenderedPageBreak/>
        <w:t>Implementation costs such as integration, training, and model maintenance are explicitly accounted for, along with indirect effects on workflow and provider satisfaction.</w:t>
      </w:r>
    </w:p>
    <w:p w14:paraId="4D5CA479" w14:textId="38C9BBCE" w:rsidR="00F322DE" w:rsidRPr="00550BCB" w:rsidRDefault="00F322DE" w:rsidP="00F322DE">
      <w:pPr>
        <w:spacing w:after="210"/>
        <w:rPr>
          <w:rFonts w:ascii="Lato" w:hAnsi="Lato"/>
        </w:rPr>
      </w:pPr>
      <w:r w:rsidRPr="00550BCB">
        <w:rPr>
          <w:rFonts w:ascii="Lato" w:eastAsia="inter" w:hAnsi="Lato" w:cs="inter"/>
          <w:color w:val="000000"/>
        </w:rPr>
        <w:t>HHS</w:t>
      </w:r>
      <w:r w:rsidRPr="00550BCB">
        <w:rPr>
          <w:rFonts w:ascii="Cambria Math" w:eastAsia="inter" w:hAnsi="Cambria Math" w:cs="Cambria Math"/>
          <w:color w:val="000000"/>
        </w:rPr>
        <w:t>‑</w:t>
      </w:r>
      <w:r w:rsidRPr="00550BCB">
        <w:rPr>
          <w:rFonts w:ascii="Lato" w:eastAsia="inter" w:hAnsi="Lato" w:cs="inter"/>
          <w:color w:val="000000"/>
        </w:rPr>
        <w:t>funded research can extend this evidence base by focusing specifically on non</w:t>
      </w:r>
      <w:r w:rsidRPr="00550BCB">
        <w:rPr>
          <w:rFonts w:ascii="Cambria Math" w:eastAsia="inter" w:hAnsi="Cambria Math" w:cs="Cambria Math"/>
          <w:color w:val="000000"/>
        </w:rPr>
        <w:t>‑</w:t>
      </w:r>
      <w:r w:rsidRPr="00550BCB">
        <w:rPr>
          <w:rFonts w:ascii="Lato" w:eastAsia="inter" w:hAnsi="Lato" w:cs="inter"/>
          <w:color w:val="000000"/>
        </w:rPr>
        <w:t>device AI in value</w:t>
      </w:r>
      <w:r w:rsidRPr="00550BCB">
        <w:rPr>
          <w:rFonts w:ascii="Cambria Math" w:eastAsia="inter" w:hAnsi="Cambria Math" w:cs="Cambria Math"/>
          <w:color w:val="000000"/>
        </w:rPr>
        <w:t>‑</w:t>
      </w:r>
      <w:r w:rsidRPr="00550BCB">
        <w:rPr>
          <w:rFonts w:ascii="Lato" w:eastAsia="inter" w:hAnsi="Lato" w:cs="inter"/>
          <w:color w:val="000000"/>
        </w:rPr>
        <w:t>based care, using standardized frameworks to ensure that comparisons of AI</w:t>
      </w:r>
      <w:r w:rsidRPr="00550BCB">
        <w:rPr>
          <w:rFonts w:ascii="Cambria Math" w:eastAsia="inter" w:hAnsi="Cambria Math" w:cs="Cambria Math"/>
          <w:color w:val="000000"/>
        </w:rPr>
        <w:t>‑</w:t>
      </w:r>
      <w:r w:rsidRPr="00550BCB">
        <w:rPr>
          <w:rFonts w:ascii="Lato" w:eastAsia="inter" w:hAnsi="Lato" w:cs="inter"/>
          <w:color w:val="000000"/>
        </w:rPr>
        <w:t>assisted and traditional workflows are fair, transparent, and actionable for regulators and program designers.</w:t>
      </w:r>
      <w:r w:rsidRPr="00550BCB">
        <w:rPr>
          <w:rFonts w:ascii="Lato" w:eastAsia="inter" w:hAnsi="Lato" w:cs="inter"/>
          <w:color w:val="000000"/>
        </w:rPr>
        <w:br/>
      </w:r>
    </w:p>
    <w:p w14:paraId="761E9FC1" w14:textId="77777777" w:rsidR="00F322DE" w:rsidRPr="00550BCB" w:rsidRDefault="00F322DE" w:rsidP="00F322DE">
      <w:pPr>
        <w:spacing w:before="210" w:after="0"/>
        <w:rPr>
          <w:rFonts w:ascii="Lato" w:hAnsi="Lato"/>
        </w:rPr>
      </w:pPr>
      <w:bookmarkStart w:id="29" w:name="fn1"/>
      <w:bookmarkEnd w:id="29"/>
      <w:r>
        <w:rPr>
          <w:noProof/>
        </w:rPr>
        <mc:AlternateContent>
          <mc:Choice Requires="wps">
            <w:drawing>
              <wp:inline distT="0" distB="0" distL="0" distR="0" wp14:anchorId="11DDC18A" wp14:editId="03567AF1">
                <wp:extent cx="6038850" cy="635"/>
                <wp:effectExtent l="0" t="0" r="19050" b="24765"/>
                <wp:docPr id="170648104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9823B33"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r>
        <w:rPr>
          <w:noProof/>
        </w:rPr>
        <mc:AlternateContent>
          <mc:Choice Requires="wps">
            <w:drawing>
              <wp:inline distT="0" distB="0" distL="0" distR="0" wp14:anchorId="27B71EAF" wp14:editId="3720DCB7">
                <wp:extent cx="6038850" cy="635"/>
                <wp:effectExtent l="0" t="0" r="19050" b="24765"/>
                <wp:docPr id="85097293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8E48F4B"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r w:rsidRPr="00550BCB">
        <w:rPr>
          <w:rFonts w:ascii="Lato" w:eastAsia="inter" w:hAnsi="Lato" w:cs="inter"/>
          <w:color w:val="000000"/>
          <w:sz w:val="18"/>
        </w:rPr>
        <w:t xml:space="preserve"> </w:t>
      </w:r>
    </w:p>
    <w:p w14:paraId="6C9DE476" w14:textId="1A9D7571" w:rsidR="56107859" w:rsidRDefault="56107859" w:rsidP="56107859">
      <w:pPr>
        <w:rPr>
          <w:rFonts w:ascii="Aptos Narrow" w:hAnsi="Aptos Narrow"/>
          <w:b/>
          <w:bCs/>
          <w:sz w:val="22"/>
          <w:szCs w:val="22"/>
        </w:rPr>
      </w:pPr>
    </w:p>
    <w:sectPr w:rsidR="56107859">
      <w:headerReference w:type="default" r:id="rId17"/>
      <w:foot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aul Burke" w:date="2026-02-10T08:44:00Z" w:initials="PB">
    <w:p w14:paraId="02C03AB7" w14:textId="77777777" w:rsidR="00F322DE" w:rsidRDefault="00F322DE" w:rsidP="00F322DE">
      <w:r>
        <w:rPr>
          <w:rStyle w:val="CommentReference"/>
        </w:rPr>
        <w:annotationRef/>
      </w:r>
      <w:r>
        <w:rPr>
          <w:color w:val="0A0A0A"/>
          <w:sz w:val="20"/>
          <w:szCs w:val="20"/>
        </w:rPr>
        <w:t>Data provenance is the documented history of data, tracking its origin, transformations, ownership, and usage throughout its lifecycle, acting like a detailed audit trail to ensure transparency, accountability, and trustworthiness, especially crucial for AI, finance, and scientific research to verify data's accuracy and compliance. It answers key questions like who, what, when, where, and how data was created and changed, supporting quality control, regulatory adherence, and reproducibility.</w:t>
      </w:r>
      <w:r>
        <w:rPr>
          <w:sz w:val="20"/>
          <w:szCs w:val="20"/>
        </w:rPr>
        <w:t xml:space="preserve"> </w:t>
      </w:r>
    </w:p>
    <w:p w14:paraId="239936FA" w14:textId="77777777" w:rsidR="00F322DE" w:rsidRDefault="00F322DE" w:rsidP="00F322DE"/>
    <w:p w14:paraId="47DEED03" w14:textId="77777777" w:rsidR="00F322DE" w:rsidRDefault="00F322DE" w:rsidP="00F322DE">
      <w:r>
        <w:rPr>
          <w:sz w:val="20"/>
          <w:szCs w:val="20"/>
        </w:rPr>
        <w:t>This more about how it is managed in a common system, IMO.</w:t>
      </w:r>
    </w:p>
  </w:comment>
  <w:comment w:id="2" w:author="Paul Burke" w:date="2026-02-10T08:56:00Z" w:initials="PB">
    <w:p w14:paraId="4E3774EA" w14:textId="77777777" w:rsidR="00F322DE" w:rsidRDefault="00F322DE" w:rsidP="00F322DE">
      <w:r>
        <w:rPr>
          <w:rStyle w:val="CommentReference"/>
        </w:rPr>
        <w:annotationRef/>
      </w:r>
      <w:r>
        <w:rPr>
          <w:sz w:val="20"/>
          <w:szCs w:val="20"/>
        </w:rPr>
        <w:t xml:space="preserve">This is where we get to take a shot at closed systems like Epic. </w:t>
      </w:r>
    </w:p>
  </w:comment>
  <w:comment w:id="12" w:author="Jay Ackerman" w:date="2026-02-10T17:44:00Z" w:initials="JA">
    <w:p w14:paraId="408D1345" w14:textId="77777777" w:rsidR="00F322DE" w:rsidRDefault="00F322DE" w:rsidP="00F322DE">
      <w:pPr>
        <w:pStyle w:val="CommentText"/>
      </w:pPr>
      <w:r>
        <w:rPr>
          <w:rStyle w:val="CommentReference"/>
        </w:rPr>
        <w:annotationRef/>
      </w:r>
      <w:r>
        <w:fldChar w:fldCharType="begin"/>
      </w:r>
      <w:r>
        <w:instrText>HYPERLINK "mailto:Alan.Tam@reveleer.com"</w:instrText>
      </w:r>
      <w:bookmarkStart w:id="13" w:name="_@_71EEDC4D9A794FB7AE4AA2EA99ED80ECZ"/>
      <w:r>
        <w:fldChar w:fldCharType="separate"/>
      </w:r>
      <w:bookmarkEnd w:id="13"/>
      <w:r w:rsidRPr="00276E61">
        <w:rPr>
          <w:rStyle w:val="Mention"/>
          <w:noProof/>
        </w:rPr>
        <w:t>@Alan Tam</w:t>
      </w:r>
      <w:r>
        <w:fldChar w:fldCharType="end"/>
      </w:r>
      <w:r>
        <w:t xml:space="preserve"> </w:t>
      </w:r>
      <w:r>
        <w:fldChar w:fldCharType="begin"/>
      </w:r>
      <w:r>
        <w:instrText>HYPERLINK "mailto:paul.burke@reveleer.com"</w:instrText>
      </w:r>
      <w:bookmarkStart w:id="14" w:name="_@_90AA06A15A8F4F109EE611B1294C9671Z"/>
      <w:r>
        <w:fldChar w:fldCharType="separate"/>
      </w:r>
      <w:bookmarkEnd w:id="14"/>
      <w:r w:rsidRPr="00276E61">
        <w:rPr>
          <w:rStyle w:val="Mention"/>
          <w:noProof/>
        </w:rPr>
        <w:t>@Paul Burke</w:t>
      </w:r>
      <w:r>
        <w:fldChar w:fldCharType="end"/>
      </w:r>
      <w:r>
        <w:t xml:space="preserve">  - do we want to call out </w:t>
      </w:r>
      <w:r>
        <w:t>‘</w:t>
      </w:r>
      <w:r>
        <w:t>chart yield</w:t>
      </w:r>
      <w:r>
        <w:t>’</w:t>
      </w:r>
      <w:r>
        <w:t xml:space="preserve"> in a submission to CMS. I don</w:t>
      </w:r>
      <w:r>
        <w:t>’</w:t>
      </w:r>
      <w:r>
        <w:t>t think they would be eager to read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DEED03" w15:done="1"/>
  <w15:commentEx w15:paraId="4E3774EA" w15:done="0"/>
  <w15:commentEx w15:paraId="408D134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5662FA" w16cex:dateUtc="2026-02-10T13:44:00Z">
    <w16cex:extLst>
      <w16:ext w16:uri="{CE6994B0-6A32-4C9F-8C6B-6E91EDA988CE}">
        <cr:reactions xmlns:cr="http://schemas.microsoft.com/office/comments/2020/reactions">
          <cr:reaction reactionType="1">
            <cr:reactionInfo dateUtc="2026-02-10T16:36:35Z">
              <cr:user userId="S::Alan.Tam@reveleer.com::1f662d0d-0482-4997-803f-2c34401d2f8d" userProvider="AD" userName="Alan Tam"/>
            </cr:reactionInfo>
          </cr:reaction>
        </cr:reactions>
      </w16:ext>
    </w16cex:extLst>
  </w16cex:commentExtensible>
  <w16cex:commentExtensible w16cex:durableId="0BB73A4A" w16cex:dateUtc="2026-02-10T13:56:00Z">
    <w16cex:extLst>
      <w16:ext w16:uri="{CE6994B0-6A32-4C9F-8C6B-6E91EDA988CE}">
        <cr:reactions xmlns:cr="http://schemas.microsoft.com/office/comments/2020/reactions">
          <cr:reaction reactionType="1">
            <cr:reactionInfo dateUtc="2026-02-10T16:36:40Z">
              <cr:user userId="S::Alan.Tam@reveleer.com::1f662d0d-0482-4997-803f-2c34401d2f8d" userProvider="AD" userName="Alan Tam"/>
            </cr:reactionInfo>
          </cr:reaction>
        </cr:reactions>
      </w16:ext>
    </w16cex:extLst>
  </w16cex:commentExtensible>
  <w16cex:commentExtensible w16cex:durableId="112CC1AF" w16cex:dateUtc="2026-02-11T01:44:00Z">
    <w16cex:extLst>
      <w16:ext w16:uri="{CE6994B0-6A32-4C9F-8C6B-6E91EDA988CE}">
        <cr:reactions xmlns:cr="http://schemas.microsoft.com/office/comments/2020/reactions">
          <cr:reaction reactionType="1">
            <cr:reactionInfo dateUtc="2026-02-11T13:58:46Z">
              <cr:user userId="S::paul.burke@reveleer.com::e68f950f-f4f0-472e-bfa7-8dd222bac98b" userProvider="AD" userName="Paul Burke"/>
            </cr:reactionInfo>
            <cr:reactionInfo dateUtc="2026-02-23T16:39:06Z">
              <cr:user userId="S::Alan.Tam@reveleer.com::1f662d0d-0482-4997-803f-2c34401d2f8d" userProvider="AD" userName="Alan Tam"/>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DEED03" w16cid:durableId="325662FA"/>
  <w16cid:commentId w16cid:paraId="4E3774EA" w16cid:durableId="0BB73A4A"/>
  <w16cid:commentId w16cid:paraId="408D1345" w16cid:durableId="112CC1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D4035" w14:textId="77777777" w:rsidR="002E35F2" w:rsidRDefault="002E35F2" w:rsidP="002F380E">
      <w:pPr>
        <w:spacing w:after="0" w:line="240" w:lineRule="auto"/>
      </w:pPr>
      <w:r>
        <w:separator/>
      </w:r>
    </w:p>
  </w:endnote>
  <w:endnote w:type="continuationSeparator" w:id="0">
    <w:p w14:paraId="2EA691BE" w14:textId="77777777" w:rsidR="002E35F2" w:rsidRDefault="002E35F2" w:rsidP="002F3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Lato">
    <w:panose1 w:val="020F0502020204030203"/>
    <w:charset w:val="00"/>
    <w:family w:val="swiss"/>
    <w:pitch w:val="variable"/>
    <w:sig w:usb0="E10002FF" w:usb1="5000ECFF" w:usb2="00000021" w:usb3="00000000" w:csb0="0000019F" w:csb1="00000000"/>
  </w:font>
  <w:font w:name="inter">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Lato SemiBold">
    <w:altName w:val="Segoe UI"/>
    <w:panose1 w:val="020F08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B12DE" w14:textId="451D0814" w:rsidR="00887DE4" w:rsidRDefault="003D12B2" w:rsidP="0046110C">
    <w:pPr>
      <w:pStyle w:val="Footer"/>
      <w:spacing w:line="240" w:lineRule="exact"/>
    </w:pPr>
    <w:r w:rsidRPr="006A2F63">
      <w:rPr>
        <w:noProof/>
      </w:rPr>
      <mc:AlternateContent>
        <mc:Choice Requires="wps">
          <w:drawing>
            <wp:anchor distT="0" distB="0" distL="114300" distR="114300" simplePos="0" relativeHeight="251658241" behindDoc="0" locked="0" layoutInCell="1" allowOverlap="1" wp14:anchorId="7DBD0CD1" wp14:editId="1153251F">
              <wp:simplePos x="0" y="0"/>
              <wp:positionH relativeFrom="column">
                <wp:posOffset>-932815</wp:posOffset>
              </wp:positionH>
              <wp:positionV relativeFrom="paragraph">
                <wp:posOffset>446932</wp:posOffset>
              </wp:positionV>
              <wp:extent cx="7772400" cy="226060"/>
              <wp:effectExtent l="0" t="0" r="0" b="2540"/>
              <wp:wrapNone/>
              <wp:docPr id="1777067346" name="Rectangle 7"/>
              <wp:cNvGraphicFramePr/>
              <a:graphic xmlns:a="http://schemas.openxmlformats.org/drawingml/2006/main">
                <a:graphicData uri="http://schemas.microsoft.com/office/word/2010/wordprocessingShape">
                  <wps:wsp>
                    <wps:cNvSpPr/>
                    <wps:spPr>
                      <a:xfrm>
                        <a:off x="0" y="0"/>
                        <a:ext cx="7772400" cy="226060"/>
                      </a:xfrm>
                      <a:prstGeom prst="rect">
                        <a:avLst/>
                      </a:prstGeom>
                      <a:gradFill flip="none" rotWithShape="1">
                        <a:gsLst>
                          <a:gs pos="0">
                            <a:srgbClr val="25B5B8"/>
                          </a:gs>
                          <a:gs pos="78000">
                            <a:srgbClr val="4CCFD2"/>
                          </a:gs>
                          <a:gs pos="100000">
                            <a:srgbClr val="57D6D9"/>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w:pict w14:anchorId="57ECEEAE">
            <v:rect id="Rectangle 7" style="position:absolute;margin-left:-73.45pt;margin-top:35.2pt;width:612pt;height:17.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5b5b8" stroked="f" strokeweight="1pt" w14:anchorId="1B2E7F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">
              <v:fill type="gradient" color2="#57d6d9" colors="0 #25b5b8;51118f #4ccfd2;1 #57d6d9" angle="45" focus="100%" rotate="t"/>
            </v:rect>
          </w:pict>
        </mc:Fallback>
      </mc:AlternateContent>
    </w:r>
    <w:r w:rsidR="00C72F8A">
      <w:rPr>
        <w:rFonts w:ascii="Lato SemiBold" w:hAnsi="Lato SemiBold"/>
        <w:b/>
        <w:bCs/>
        <w:color w:val="008299"/>
        <w:sz w:val="16"/>
        <w:szCs w:val="16"/>
      </w:rPr>
      <w:tab/>
    </w:r>
    <w:r w:rsidR="00C72F8A">
      <w:rPr>
        <w:rFonts w:ascii="Lato SemiBold" w:hAnsi="Lato SemiBold"/>
        <w:b/>
        <w:bCs/>
        <w:color w:val="008299"/>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58796" w14:textId="77777777" w:rsidR="002E35F2" w:rsidRDefault="002E35F2" w:rsidP="002F380E">
      <w:pPr>
        <w:spacing w:after="0" w:line="240" w:lineRule="auto"/>
      </w:pPr>
      <w:r>
        <w:separator/>
      </w:r>
    </w:p>
  </w:footnote>
  <w:footnote w:type="continuationSeparator" w:id="0">
    <w:p w14:paraId="420FD034" w14:textId="77777777" w:rsidR="002E35F2" w:rsidRDefault="002E35F2" w:rsidP="002F38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C3519" w14:textId="516E493C" w:rsidR="002F380E" w:rsidRDefault="002F380E">
    <w:pPr>
      <w:pStyle w:val="Header"/>
    </w:pPr>
    <w:r w:rsidRPr="00D80F10">
      <w:rPr>
        <w:noProof/>
      </w:rPr>
      <w:drawing>
        <wp:inline distT="0" distB="0" distL="0" distR="0" wp14:anchorId="0EFC5A8B" wp14:editId="022A2E83">
          <wp:extent cx="1317812" cy="313826"/>
          <wp:effectExtent l="0" t="0" r="3175" b="3810"/>
          <wp:docPr id="1674115776" name="Picture 1"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4576" name="Picture 1" descr="A black and grey logo&#10;&#10;Description automatically generated"/>
                  <pic:cNvPicPr/>
                </pic:nvPicPr>
                <pic:blipFill>
                  <a:blip r:embed="rId1"/>
                  <a:stretch>
                    <a:fillRect/>
                  </a:stretch>
                </pic:blipFill>
                <pic:spPr>
                  <a:xfrm>
                    <a:off x="0" y="0"/>
                    <a:ext cx="1459739" cy="3476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3D4"/>
    <w:multiLevelType w:val="hybridMultilevel"/>
    <w:tmpl w:val="C83E8B64"/>
    <w:lvl w:ilvl="0" w:tplc="EEB42808">
      <w:start w:val="1"/>
      <w:numFmt w:val="bullet"/>
      <w:lvlText w:val=""/>
      <w:lvlJc w:val="left"/>
      <w:pPr>
        <w:tabs>
          <w:tab w:val="num" w:pos="900"/>
        </w:tabs>
        <w:ind w:left="540" w:hanging="360"/>
      </w:pPr>
      <w:rPr>
        <w:rFonts w:ascii="Symbol" w:hAnsi="Symbol" w:hint="default"/>
      </w:rPr>
    </w:lvl>
    <w:lvl w:ilvl="1" w:tplc="2FEA96E2">
      <w:numFmt w:val="decimal"/>
      <w:lvlText w:val=""/>
      <w:lvlJc w:val="left"/>
    </w:lvl>
    <w:lvl w:ilvl="2" w:tplc="F4806930">
      <w:numFmt w:val="decimal"/>
      <w:lvlText w:val=""/>
      <w:lvlJc w:val="left"/>
    </w:lvl>
    <w:lvl w:ilvl="3" w:tplc="B05C5EE8">
      <w:numFmt w:val="decimal"/>
      <w:lvlText w:val=""/>
      <w:lvlJc w:val="left"/>
    </w:lvl>
    <w:lvl w:ilvl="4" w:tplc="53AEAF1C">
      <w:numFmt w:val="decimal"/>
      <w:lvlText w:val=""/>
      <w:lvlJc w:val="left"/>
    </w:lvl>
    <w:lvl w:ilvl="5" w:tplc="6026E7FC">
      <w:numFmt w:val="decimal"/>
      <w:lvlText w:val=""/>
      <w:lvlJc w:val="left"/>
    </w:lvl>
    <w:lvl w:ilvl="6" w:tplc="5E9887A6">
      <w:numFmt w:val="decimal"/>
      <w:lvlText w:val=""/>
      <w:lvlJc w:val="left"/>
    </w:lvl>
    <w:lvl w:ilvl="7" w:tplc="5E6A8BFA">
      <w:numFmt w:val="decimal"/>
      <w:lvlText w:val=""/>
      <w:lvlJc w:val="left"/>
    </w:lvl>
    <w:lvl w:ilvl="8" w:tplc="87FAF240">
      <w:numFmt w:val="decimal"/>
      <w:lvlText w:val=""/>
      <w:lvlJc w:val="left"/>
    </w:lvl>
  </w:abstractNum>
  <w:abstractNum w:abstractNumId="1" w15:restartNumberingAfterBreak="0">
    <w:nsid w:val="0377CDB3"/>
    <w:multiLevelType w:val="hybridMultilevel"/>
    <w:tmpl w:val="95CE6FEA"/>
    <w:lvl w:ilvl="0" w:tplc="F77CFB36">
      <w:start w:val="1"/>
      <w:numFmt w:val="bullet"/>
      <w:lvlText w:val=""/>
      <w:lvlJc w:val="left"/>
      <w:pPr>
        <w:ind w:left="720" w:hanging="360"/>
      </w:pPr>
      <w:rPr>
        <w:rFonts w:ascii="Symbol" w:hAnsi="Symbol" w:hint="default"/>
      </w:rPr>
    </w:lvl>
    <w:lvl w:ilvl="1" w:tplc="FA042FE4">
      <w:start w:val="1"/>
      <w:numFmt w:val="bullet"/>
      <w:lvlText w:val="o"/>
      <w:lvlJc w:val="left"/>
      <w:pPr>
        <w:ind w:left="1440" w:hanging="360"/>
      </w:pPr>
      <w:rPr>
        <w:rFonts w:ascii="Courier New" w:hAnsi="Courier New" w:hint="default"/>
      </w:rPr>
    </w:lvl>
    <w:lvl w:ilvl="2" w:tplc="927C232C">
      <w:start w:val="1"/>
      <w:numFmt w:val="bullet"/>
      <w:lvlText w:val=""/>
      <w:lvlJc w:val="left"/>
      <w:pPr>
        <w:ind w:left="2160" w:hanging="360"/>
      </w:pPr>
      <w:rPr>
        <w:rFonts w:ascii="Wingdings" w:hAnsi="Wingdings" w:hint="default"/>
      </w:rPr>
    </w:lvl>
    <w:lvl w:ilvl="3" w:tplc="D1067D74">
      <w:start w:val="1"/>
      <w:numFmt w:val="bullet"/>
      <w:lvlText w:val=""/>
      <w:lvlJc w:val="left"/>
      <w:pPr>
        <w:ind w:left="2880" w:hanging="360"/>
      </w:pPr>
      <w:rPr>
        <w:rFonts w:ascii="Symbol" w:hAnsi="Symbol" w:hint="default"/>
      </w:rPr>
    </w:lvl>
    <w:lvl w:ilvl="4" w:tplc="2D5A544E">
      <w:start w:val="1"/>
      <w:numFmt w:val="bullet"/>
      <w:lvlText w:val="o"/>
      <w:lvlJc w:val="left"/>
      <w:pPr>
        <w:ind w:left="3600" w:hanging="360"/>
      </w:pPr>
      <w:rPr>
        <w:rFonts w:ascii="Courier New" w:hAnsi="Courier New" w:hint="default"/>
      </w:rPr>
    </w:lvl>
    <w:lvl w:ilvl="5" w:tplc="B81482A4">
      <w:start w:val="1"/>
      <w:numFmt w:val="bullet"/>
      <w:lvlText w:val=""/>
      <w:lvlJc w:val="left"/>
      <w:pPr>
        <w:ind w:left="4320" w:hanging="360"/>
      </w:pPr>
      <w:rPr>
        <w:rFonts w:ascii="Wingdings" w:hAnsi="Wingdings" w:hint="default"/>
      </w:rPr>
    </w:lvl>
    <w:lvl w:ilvl="6" w:tplc="3FC4AF92">
      <w:start w:val="1"/>
      <w:numFmt w:val="bullet"/>
      <w:lvlText w:val=""/>
      <w:lvlJc w:val="left"/>
      <w:pPr>
        <w:ind w:left="5040" w:hanging="360"/>
      </w:pPr>
      <w:rPr>
        <w:rFonts w:ascii="Symbol" w:hAnsi="Symbol" w:hint="default"/>
      </w:rPr>
    </w:lvl>
    <w:lvl w:ilvl="7" w:tplc="093CBE88">
      <w:start w:val="1"/>
      <w:numFmt w:val="bullet"/>
      <w:lvlText w:val="o"/>
      <w:lvlJc w:val="left"/>
      <w:pPr>
        <w:ind w:left="5760" w:hanging="360"/>
      </w:pPr>
      <w:rPr>
        <w:rFonts w:ascii="Courier New" w:hAnsi="Courier New" w:hint="default"/>
      </w:rPr>
    </w:lvl>
    <w:lvl w:ilvl="8" w:tplc="0F28B1FC">
      <w:start w:val="1"/>
      <w:numFmt w:val="bullet"/>
      <w:lvlText w:val=""/>
      <w:lvlJc w:val="left"/>
      <w:pPr>
        <w:ind w:left="6480" w:hanging="360"/>
      </w:pPr>
      <w:rPr>
        <w:rFonts w:ascii="Wingdings" w:hAnsi="Wingdings" w:hint="default"/>
      </w:rPr>
    </w:lvl>
  </w:abstractNum>
  <w:abstractNum w:abstractNumId="2" w15:restartNumberingAfterBreak="0">
    <w:nsid w:val="049C73A7"/>
    <w:multiLevelType w:val="multilevel"/>
    <w:tmpl w:val="253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664D1"/>
    <w:multiLevelType w:val="multilevel"/>
    <w:tmpl w:val="0918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3535E"/>
    <w:multiLevelType w:val="hybridMultilevel"/>
    <w:tmpl w:val="0C5EB454"/>
    <w:lvl w:ilvl="0" w:tplc="A776F3BC">
      <w:start w:val="1"/>
      <w:numFmt w:val="bullet"/>
      <w:lvlText w:val=""/>
      <w:lvlJc w:val="left"/>
      <w:pPr>
        <w:tabs>
          <w:tab w:val="num" w:pos="900"/>
        </w:tabs>
        <w:ind w:left="540" w:hanging="360"/>
      </w:pPr>
      <w:rPr>
        <w:rFonts w:ascii="Symbol" w:hAnsi="Symbol" w:hint="default"/>
      </w:rPr>
    </w:lvl>
    <w:lvl w:ilvl="1" w:tplc="3B5EFDE8">
      <w:numFmt w:val="decimal"/>
      <w:lvlText w:val=""/>
      <w:lvlJc w:val="left"/>
    </w:lvl>
    <w:lvl w:ilvl="2" w:tplc="6902DAD4">
      <w:numFmt w:val="decimal"/>
      <w:lvlText w:val=""/>
      <w:lvlJc w:val="left"/>
    </w:lvl>
    <w:lvl w:ilvl="3" w:tplc="7370FE0E">
      <w:numFmt w:val="decimal"/>
      <w:lvlText w:val=""/>
      <w:lvlJc w:val="left"/>
    </w:lvl>
    <w:lvl w:ilvl="4" w:tplc="F8020F8E">
      <w:numFmt w:val="decimal"/>
      <w:lvlText w:val=""/>
      <w:lvlJc w:val="left"/>
    </w:lvl>
    <w:lvl w:ilvl="5" w:tplc="03A8A76C">
      <w:numFmt w:val="decimal"/>
      <w:lvlText w:val=""/>
      <w:lvlJc w:val="left"/>
    </w:lvl>
    <w:lvl w:ilvl="6" w:tplc="53A44748">
      <w:numFmt w:val="decimal"/>
      <w:lvlText w:val=""/>
      <w:lvlJc w:val="left"/>
    </w:lvl>
    <w:lvl w:ilvl="7" w:tplc="1C309DD4">
      <w:numFmt w:val="decimal"/>
      <w:lvlText w:val=""/>
      <w:lvlJc w:val="left"/>
    </w:lvl>
    <w:lvl w:ilvl="8" w:tplc="711EFD72">
      <w:numFmt w:val="decimal"/>
      <w:lvlText w:val=""/>
      <w:lvlJc w:val="left"/>
    </w:lvl>
  </w:abstractNum>
  <w:abstractNum w:abstractNumId="5" w15:restartNumberingAfterBreak="0">
    <w:nsid w:val="118E2C48"/>
    <w:multiLevelType w:val="hybridMultilevel"/>
    <w:tmpl w:val="E0A84FD0"/>
    <w:lvl w:ilvl="0" w:tplc="576E7284">
      <w:start w:val="1"/>
      <w:numFmt w:val="bullet"/>
      <w:lvlText w:val=""/>
      <w:lvlJc w:val="left"/>
      <w:pPr>
        <w:tabs>
          <w:tab w:val="num" w:pos="900"/>
        </w:tabs>
        <w:ind w:left="540" w:hanging="360"/>
      </w:pPr>
      <w:rPr>
        <w:rFonts w:ascii="Symbol" w:hAnsi="Symbol" w:hint="default"/>
      </w:rPr>
    </w:lvl>
    <w:lvl w:ilvl="1" w:tplc="AE3222EA">
      <w:numFmt w:val="decimal"/>
      <w:lvlText w:val=""/>
      <w:lvlJc w:val="left"/>
    </w:lvl>
    <w:lvl w:ilvl="2" w:tplc="CF545FFA">
      <w:numFmt w:val="decimal"/>
      <w:lvlText w:val=""/>
      <w:lvlJc w:val="left"/>
    </w:lvl>
    <w:lvl w:ilvl="3" w:tplc="52F878B0">
      <w:numFmt w:val="decimal"/>
      <w:lvlText w:val=""/>
      <w:lvlJc w:val="left"/>
    </w:lvl>
    <w:lvl w:ilvl="4" w:tplc="6A0A62F0">
      <w:numFmt w:val="decimal"/>
      <w:lvlText w:val=""/>
      <w:lvlJc w:val="left"/>
    </w:lvl>
    <w:lvl w:ilvl="5" w:tplc="ED683B48">
      <w:numFmt w:val="decimal"/>
      <w:lvlText w:val=""/>
      <w:lvlJc w:val="left"/>
    </w:lvl>
    <w:lvl w:ilvl="6" w:tplc="ABB60274">
      <w:numFmt w:val="decimal"/>
      <w:lvlText w:val=""/>
      <w:lvlJc w:val="left"/>
    </w:lvl>
    <w:lvl w:ilvl="7" w:tplc="7B921352">
      <w:numFmt w:val="decimal"/>
      <w:lvlText w:val=""/>
      <w:lvlJc w:val="left"/>
    </w:lvl>
    <w:lvl w:ilvl="8" w:tplc="6F7089FC">
      <w:numFmt w:val="decimal"/>
      <w:lvlText w:val=""/>
      <w:lvlJc w:val="left"/>
    </w:lvl>
  </w:abstractNum>
  <w:abstractNum w:abstractNumId="6" w15:restartNumberingAfterBreak="0">
    <w:nsid w:val="14B10146"/>
    <w:multiLevelType w:val="hybridMultilevel"/>
    <w:tmpl w:val="F0FA4B3C"/>
    <w:lvl w:ilvl="0" w:tplc="A212F5DE">
      <w:start w:val="1"/>
      <w:numFmt w:val="bullet"/>
      <w:lvlText w:val=""/>
      <w:lvlJc w:val="left"/>
      <w:pPr>
        <w:tabs>
          <w:tab w:val="num" w:pos="900"/>
        </w:tabs>
        <w:ind w:left="540" w:hanging="360"/>
      </w:pPr>
      <w:rPr>
        <w:rFonts w:ascii="Symbol" w:hAnsi="Symbol" w:hint="default"/>
      </w:rPr>
    </w:lvl>
    <w:lvl w:ilvl="1" w:tplc="0D90B1EE">
      <w:numFmt w:val="decimal"/>
      <w:lvlText w:val=""/>
      <w:lvlJc w:val="left"/>
    </w:lvl>
    <w:lvl w:ilvl="2" w:tplc="945E5AFA">
      <w:numFmt w:val="decimal"/>
      <w:lvlText w:val=""/>
      <w:lvlJc w:val="left"/>
    </w:lvl>
    <w:lvl w:ilvl="3" w:tplc="8040846C">
      <w:numFmt w:val="decimal"/>
      <w:lvlText w:val=""/>
      <w:lvlJc w:val="left"/>
    </w:lvl>
    <w:lvl w:ilvl="4" w:tplc="9E9A10FE">
      <w:numFmt w:val="decimal"/>
      <w:lvlText w:val=""/>
      <w:lvlJc w:val="left"/>
    </w:lvl>
    <w:lvl w:ilvl="5" w:tplc="208AD194">
      <w:numFmt w:val="decimal"/>
      <w:lvlText w:val=""/>
      <w:lvlJc w:val="left"/>
    </w:lvl>
    <w:lvl w:ilvl="6" w:tplc="C24090E2">
      <w:numFmt w:val="decimal"/>
      <w:lvlText w:val=""/>
      <w:lvlJc w:val="left"/>
    </w:lvl>
    <w:lvl w:ilvl="7" w:tplc="D47C1D54">
      <w:numFmt w:val="decimal"/>
      <w:lvlText w:val=""/>
      <w:lvlJc w:val="left"/>
    </w:lvl>
    <w:lvl w:ilvl="8" w:tplc="7A044898">
      <w:numFmt w:val="decimal"/>
      <w:lvlText w:val=""/>
      <w:lvlJc w:val="left"/>
    </w:lvl>
  </w:abstractNum>
  <w:abstractNum w:abstractNumId="7" w15:restartNumberingAfterBreak="0">
    <w:nsid w:val="16823892"/>
    <w:multiLevelType w:val="hybridMultilevel"/>
    <w:tmpl w:val="F88A6276"/>
    <w:lvl w:ilvl="0" w:tplc="D360B814">
      <w:start w:val="1"/>
      <w:numFmt w:val="bullet"/>
      <w:lvlText w:val=""/>
      <w:lvlJc w:val="left"/>
      <w:pPr>
        <w:tabs>
          <w:tab w:val="num" w:pos="900"/>
        </w:tabs>
        <w:ind w:left="540" w:hanging="360"/>
      </w:pPr>
      <w:rPr>
        <w:rFonts w:ascii="Symbol" w:hAnsi="Symbol" w:hint="default"/>
      </w:rPr>
    </w:lvl>
    <w:lvl w:ilvl="1" w:tplc="6DD8947C">
      <w:numFmt w:val="decimal"/>
      <w:lvlText w:val=""/>
      <w:lvlJc w:val="left"/>
    </w:lvl>
    <w:lvl w:ilvl="2" w:tplc="C7440D08">
      <w:numFmt w:val="decimal"/>
      <w:lvlText w:val=""/>
      <w:lvlJc w:val="left"/>
    </w:lvl>
    <w:lvl w:ilvl="3" w:tplc="3422762C">
      <w:numFmt w:val="decimal"/>
      <w:lvlText w:val=""/>
      <w:lvlJc w:val="left"/>
    </w:lvl>
    <w:lvl w:ilvl="4" w:tplc="FB1E6CBE">
      <w:numFmt w:val="decimal"/>
      <w:lvlText w:val=""/>
      <w:lvlJc w:val="left"/>
    </w:lvl>
    <w:lvl w:ilvl="5" w:tplc="5414F544">
      <w:numFmt w:val="decimal"/>
      <w:lvlText w:val=""/>
      <w:lvlJc w:val="left"/>
    </w:lvl>
    <w:lvl w:ilvl="6" w:tplc="B414EB22">
      <w:numFmt w:val="decimal"/>
      <w:lvlText w:val=""/>
      <w:lvlJc w:val="left"/>
    </w:lvl>
    <w:lvl w:ilvl="7" w:tplc="176E56DA">
      <w:numFmt w:val="decimal"/>
      <w:lvlText w:val=""/>
      <w:lvlJc w:val="left"/>
    </w:lvl>
    <w:lvl w:ilvl="8" w:tplc="41EEA85E">
      <w:numFmt w:val="decimal"/>
      <w:lvlText w:val=""/>
      <w:lvlJc w:val="left"/>
    </w:lvl>
  </w:abstractNum>
  <w:abstractNum w:abstractNumId="8" w15:restartNumberingAfterBreak="0">
    <w:nsid w:val="17C06095"/>
    <w:multiLevelType w:val="hybridMultilevel"/>
    <w:tmpl w:val="21F89AF8"/>
    <w:lvl w:ilvl="0" w:tplc="BA38AF12">
      <w:start w:val="1"/>
      <w:numFmt w:val="bullet"/>
      <w:lvlText w:val=""/>
      <w:lvlJc w:val="left"/>
      <w:pPr>
        <w:tabs>
          <w:tab w:val="num" w:pos="900"/>
        </w:tabs>
        <w:ind w:left="540" w:hanging="360"/>
      </w:pPr>
      <w:rPr>
        <w:rFonts w:ascii="Symbol" w:hAnsi="Symbol" w:hint="default"/>
      </w:rPr>
    </w:lvl>
    <w:lvl w:ilvl="1" w:tplc="CBEE28E2">
      <w:numFmt w:val="decimal"/>
      <w:lvlText w:val=""/>
      <w:lvlJc w:val="left"/>
    </w:lvl>
    <w:lvl w:ilvl="2" w:tplc="AD12FE24">
      <w:numFmt w:val="decimal"/>
      <w:lvlText w:val=""/>
      <w:lvlJc w:val="left"/>
    </w:lvl>
    <w:lvl w:ilvl="3" w:tplc="470E3426">
      <w:numFmt w:val="decimal"/>
      <w:lvlText w:val=""/>
      <w:lvlJc w:val="left"/>
    </w:lvl>
    <w:lvl w:ilvl="4" w:tplc="E2EE6314">
      <w:numFmt w:val="decimal"/>
      <w:lvlText w:val=""/>
      <w:lvlJc w:val="left"/>
    </w:lvl>
    <w:lvl w:ilvl="5" w:tplc="82F0A4AE">
      <w:numFmt w:val="decimal"/>
      <w:lvlText w:val=""/>
      <w:lvlJc w:val="left"/>
    </w:lvl>
    <w:lvl w:ilvl="6" w:tplc="4EAC913A">
      <w:numFmt w:val="decimal"/>
      <w:lvlText w:val=""/>
      <w:lvlJc w:val="left"/>
    </w:lvl>
    <w:lvl w:ilvl="7" w:tplc="CE98515E">
      <w:numFmt w:val="decimal"/>
      <w:lvlText w:val=""/>
      <w:lvlJc w:val="left"/>
    </w:lvl>
    <w:lvl w:ilvl="8" w:tplc="1BC815C2">
      <w:numFmt w:val="decimal"/>
      <w:lvlText w:val=""/>
      <w:lvlJc w:val="left"/>
    </w:lvl>
  </w:abstractNum>
  <w:abstractNum w:abstractNumId="9" w15:restartNumberingAfterBreak="0">
    <w:nsid w:val="1D3655C8"/>
    <w:multiLevelType w:val="hybridMultilevel"/>
    <w:tmpl w:val="3488D34A"/>
    <w:lvl w:ilvl="0" w:tplc="591AD4A2">
      <w:start w:val="1"/>
      <w:numFmt w:val="bullet"/>
      <w:lvlText w:val=""/>
      <w:lvlJc w:val="left"/>
      <w:pPr>
        <w:tabs>
          <w:tab w:val="num" w:pos="900"/>
        </w:tabs>
        <w:ind w:left="540" w:hanging="360"/>
      </w:pPr>
      <w:rPr>
        <w:rFonts w:ascii="Symbol" w:hAnsi="Symbol" w:hint="default"/>
      </w:rPr>
    </w:lvl>
    <w:lvl w:ilvl="1" w:tplc="01C0A4C2">
      <w:numFmt w:val="decimal"/>
      <w:lvlText w:val=""/>
      <w:lvlJc w:val="left"/>
    </w:lvl>
    <w:lvl w:ilvl="2" w:tplc="17C40452">
      <w:numFmt w:val="decimal"/>
      <w:lvlText w:val=""/>
      <w:lvlJc w:val="left"/>
    </w:lvl>
    <w:lvl w:ilvl="3" w:tplc="15CA2DC4">
      <w:numFmt w:val="decimal"/>
      <w:lvlText w:val=""/>
      <w:lvlJc w:val="left"/>
    </w:lvl>
    <w:lvl w:ilvl="4" w:tplc="1EAAD626">
      <w:numFmt w:val="decimal"/>
      <w:lvlText w:val=""/>
      <w:lvlJc w:val="left"/>
    </w:lvl>
    <w:lvl w:ilvl="5" w:tplc="2DCAE9D0">
      <w:numFmt w:val="decimal"/>
      <w:lvlText w:val=""/>
      <w:lvlJc w:val="left"/>
    </w:lvl>
    <w:lvl w:ilvl="6" w:tplc="89C02FD6">
      <w:numFmt w:val="decimal"/>
      <w:lvlText w:val=""/>
      <w:lvlJc w:val="left"/>
    </w:lvl>
    <w:lvl w:ilvl="7" w:tplc="A8C4E014">
      <w:numFmt w:val="decimal"/>
      <w:lvlText w:val=""/>
      <w:lvlJc w:val="left"/>
    </w:lvl>
    <w:lvl w:ilvl="8" w:tplc="EE3AE5DE">
      <w:numFmt w:val="decimal"/>
      <w:lvlText w:val=""/>
      <w:lvlJc w:val="left"/>
    </w:lvl>
  </w:abstractNum>
  <w:abstractNum w:abstractNumId="10" w15:restartNumberingAfterBreak="0">
    <w:nsid w:val="20A055BF"/>
    <w:multiLevelType w:val="hybridMultilevel"/>
    <w:tmpl w:val="AE3A5CC4"/>
    <w:lvl w:ilvl="0" w:tplc="501257B2">
      <w:start w:val="1"/>
      <w:numFmt w:val="bullet"/>
      <w:lvlText w:val=""/>
      <w:lvlJc w:val="left"/>
      <w:pPr>
        <w:tabs>
          <w:tab w:val="num" w:pos="900"/>
        </w:tabs>
        <w:ind w:left="540" w:hanging="360"/>
      </w:pPr>
      <w:rPr>
        <w:rFonts w:ascii="Symbol" w:hAnsi="Symbol" w:hint="default"/>
      </w:rPr>
    </w:lvl>
    <w:lvl w:ilvl="1" w:tplc="ACEC6586">
      <w:numFmt w:val="decimal"/>
      <w:lvlText w:val=""/>
      <w:lvlJc w:val="left"/>
    </w:lvl>
    <w:lvl w:ilvl="2" w:tplc="44DACF04">
      <w:numFmt w:val="decimal"/>
      <w:lvlText w:val=""/>
      <w:lvlJc w:val="left"/>
    </w:lvl>
    <w:lvl w:ilvl="3" w:tplc="5F025C7C">
      <w:numFmt w:val="decimal"/>
      <w:lvlText w:val=""/>
      <w:lvlJc w:val="left"/>
    </w:lvl>
    <w:lvl w:ilvl="4" w:tplc="8C4A7270">
      <w:numFmt w:val="decimal"/>
      <w:lvlText w:val=""/>
      <w:lvlJc w:val="left"/>
    </w:lvl>
    <w:lvl w:ilvl="5" w:tplc="9D9ABBE6">
      <w:numFmt w:val="decimal"/>
      <w:lvlText w:val=""/>
      <w:lvlJc w:val="left"/>
    </w:lvl>
    <w:lvl w:ilvl="6" w:tplc="E1C25064">
      <w:numFmt w:val="decimal"/>
      <w:lvlText w:val=""/>
      <w:lvlJc w:val="left"/>
    </w:lvl>
    <w:lvl w:ilvl="7" w:tplc="727A1A60">
      <w:numFmt w:val="decimal"/>
      <w:lvlText w:val=""/>
      <w:lvlJc w:val="left"/>
    </w:lvl>
    <w:lvl w:ilvl="8" w:tplc="273445FC">
      <w:numFmt w:val="decimal"/>
      <w:lvlText w:val=""/>
      <w:lvlJc w:val="left"/>
    </w:lvl>
  </w:abstractNum>
  <w:abstractNum w:abstractNumId="11" w15:restartNumberingAfterBreak="0">
    <w:nsid w:val="24F27FBC"/>
    <w:multiLevelType w:val="hybridMultilevel"/>
    <w:tmpl w:val="2F14A292"/>
    <w:lvl w:ilvl="0" w:tplc="6798BD2E">
      <w:start w:val="1"/>
      <w:numFmt w:val="bullet"/>
      <w:lvlText w:val=""/>
      <w:lvlJc w:val="left"/>
      <w:pPr>
        <w:tabs>
          <w:tab w:val="num" w:pos="900"/>
        </w:tabs>
        <w:ind w:left="540" w:hanging="360"/>
      </w:pPr>
      <w:rPr>
        <w:rFonts w:ascii="Symbol" w:hAnsi="Symbol" w:hint="default"/>
      </w:rPr>
    </w:lvl>
    <w:lvl w:ilvl="1" w:tplc="269CA838">
      <w:numFmt w:val="decimal"/>
      <w:lvlText w:val=""/>
      <w:lvlJc w:val="left"/>
    </w:lvl>
    <w:lvl w:ilvl="2" w:tplc="F1C0ED70">
      <w:numFmt w:val="decimal"/>
      <w:lvlText w:val=""/>
      <w:lvlJc w:val="left"/>
    </w:lvl>
    <w:lvl w:ilvl="3" w:tplc="82EE551C">
      <w:numFmt w:val="decimal"/>
      <w:lvlText w:val=""/>
      <w:lvlJc w:val="left"/>
    </w:lvl>
    <w:lvl w:ilvl="4" w:tplc="A8E04A78">
      <w:numFmt w:val="decimal"/>
      <w:lvlText w:val=""/>
      <w:lvlJc w:val="left"/>
    </w:lvl>
    <w:lvl w:ilvl="5" w:tplc="7102C32E">
      <w:numFmt w:val="decimal"/>
      <w:lvlText w:val=""/>
      <w:lvlJc w:val="left"/>
    </w:lvl>
    <w:lvl w:ilvl="6" w:tplc="5520157A">
      <w:numFmt w:val="decimal"/>
      <w:lvlText w:val=""/>
      <w:lvlJc w:val="left"/>
    </w:lvl>
    <w:lvl w:ilvl="7" w:tplc="454CE00A">
      <w:numFmt w:val="decimal"/>
      <w:lvlText w:val=""/>
      <w:lvlJc w:val="left"/>
    </w:lvl>
    <w:lvl w:ilvl="8" w:tplc="821E513E">
      <w:numFmt w:val="decimal"/>
      <w:lvlText w:val=""/>
      <w:lvlJc w:val="left"/>
    </w:lvl>
  </w:abstractNum>
  <w:abstractNum w:abstractNumId="12" w15:restartNumberingAfterBreak="0">
    <w:nsid w:val="2605550C"/>
    <w:multiLevelType w:val="hybridMultilevel"/>
    <w:tmpl w:val="062C163E"/>
    <w:lvl w:ilvl="0" w:tplc="9960A154">
      <w:start w:val="1"/>
      <w:numFmt w:val="bullet"/>
      <w:lvlText w:val=""/>
      <w:lvlJc w:val="left"/>
      <w:pPr>
        <w:tabs>
          <w:tab w:val="num" w:pos="900"/>
        </w:tabs>
        <w:ind w:left="540" w:hanging="360"/>
      </w:pPr>
      <w:rPr>
        <w:rFonts w:ascii="Symbol" w:hAnsi="Symbol" w:hint="default"/>
      </w:rPr>
    </w:lvl>
    <w:lvl w:ilvl="1" w:tplc="C082AB7A">
      <w:numFmt w:val="decimal"/>
      <w:lvlText w:val=""/>
      <w:lvlJc w:val="left"/>
    </w:lvl>
    <w:lvl w:ilvl="2" w:tplc="D5A6EB9C">
      <w:numFmt w:val="decimal"/>
      <w:lvlText w:val=""/>
      <w:lvlJc w:val="left"/>
    </w:lvl>
    <w:lvl w:ilvl="3" w:tplc="600E9074">
      <w:numFmt w:val="decimal"/>
      <w:lvlText w:val=""/>
      <w:lvlJc w:val="left"/>
    </w:lvl>
    <w:lvl w:ilvl="4" w:tplc="33CA3DAE">
      <w:numFmt w:val="decimal"/>
      <w:lvlText w:val=""/>
      <w:lvlJc w:val="left"/>
    </w:lvl>
    <w:lvl w:ilvl="5" w:tplc="C170791A">
      <w:numFmt w:val="decimal"/>
      <w:lvlText w:val=""/>
      <w:lvlJc w:val="left"/>
    </w:lvl>
    <w:lvl w:ilvl="6" w:tplc="3788B4DC">
      <w:numFmt w:val="decimal"/>
      <w:lvlText w:val=""/>
      <w:lvlJc w:val="left"/>
    </w:lvl>
    <w:lvl w:ilvl="7" w:tplc="CB700086">
      <w:numFmt w:val="decimal"/>
      <w:lvlText w:val=""/>
      <w:lvlJc w:val="left"/>
    </w:lvl>
    <w:lvl w:ilvl="8" w:tplc="5610F922">
      <w:numFmt w:val="decimal"/>
      <w:lvlText w:val=""/>
      <w:lvlJc w:val="left"/>
    </w:lvl>
  </w:abstractNum>
  <w:abstractNum w:abstractNumId="13" w15:restartNumberingAfterBreak="0">
    <w:nsid w:val="280E4D96"/>
    <w:multiLevelType w:val="hybridMultilevel"/>
    <w:tmpl w:val="8AD8164A"/>
    <w:lvl w:ilvl="0" w:tplc="5A6EC3A0">
      <w:start w:val="1"/>
      <w:numFmt w:val="bullet"/>
      <w:lvlText w:val=""/>
      <w:lvlJc w:val="left"/>
      <w:pPr>
        <w:tabs>
          <w:tab w:val="num" w:pos="900"/>
        </w:tabs>
        <w:ind w:left="540" w:hanging="360"/>
      </w:pPr>
      <w:rPr>
        <w:rFonts w:ascii="Symbol" w:hAnsi="Symbol" w:hint="default"/>
      </w:rPr>
    </w:lvl>
    <w:lvl w:ilvl="1" w:tplc="61020088">
      <w:numFmt w:val="decimal"/>
      <w:lvlText w:val=""/>
      <w:lvlJc w:val="left"/>
    </w:lvl>
    <w:lvl w:ilvl="2" w:tplc="D282458A">
      <w:numFmt w:val="decimal"/>
      <w:lvlText w:val=""/>
      <w:lvlJc w:val="left"/>
    </w:lvl>
    <w:lvl w:ilvl="3" w:tplc="2CFE5A2C">
      <w:numFmt w:val="decimal"/>
      <w:lvlText w:val=""/>
      <w:lvlJc w:val="left"/>
    </w:lvl>
    <w:lvl w:ilvl="4" w:tplc="C50ABE04">
      <w:numFmt w:val="decimal"/>
      <w:lvlText w:val=""/>
      <w:lvlJc w:val="left"/>
    </w:lvl>
    <w:lvl w:ilvl="5" w:tplc="38E4DFCC">
      <w:numFmt w:val="decimal"/>
      <w:lvlText w:val=""/>
      <w:lvlJc w:val="left"/>
    </w:lvl>
    <w:lvl w:ilvl="6" w:tplc="3B103C64">
      <w:numFmt w:val="decimal"/>
      <w:lvlText w:val=""/>
      <w:lvlJc w:val="left"/>
    </w:lvl>
    <w:lvl w:ilvl="7" w:tplc="4568F2F6">
      <w:numFmt w:val="decimal"/>
      <w:lvlText w:val=""/>
      <w:lvlJc w:val="left"/>
    </w:lvl>
    <w:lvl w:ilvl="8" w:tplc="4FD63BD6">
      <w:numFmt w:val="decimal"/>
      <w:lvlText w:val=""/>
      <w:lvlJc w:val="left"/>
    </w:lvl>
  </w:abstractNum>
  <w:abstractNum w:abstractNumId="14" w15:restartNumberingAfterBreak="0">
    <w:nsid w:val="2BB7384F"/>
    <w:multiLevelType w:val="hybridMultilevel"/>
    <w:tmpl w:val="00B8CAF4"/>
    <w:lvl w:ilvl="0" w:tplc="8134112A">
      <w:start w:val="1"/>
      <w:numFmt w:val="bullet"/>
      <w:lvlText w:val=""/>
      <w:lvlJc w:val="left"/>
      <w:pPr>
        <w:tabs>
          <w:tab w:val="num" w:pos="900"/>
        </w:tabs>
        <w:ind w:left="540" w:hanging="360"/>
      </w:pPr>
      <w:rPr>
        <w:rFonts w:ascii="Symbol" w:hAnsi="Symbol" w:hint="default"/>
      </w:rPr>
    </w:lvl>
    <w:lvl w:ilvl="1" w:tplc="ED7C47C2">
      <w:numFmt w:val="decimal"/>
      <w:lvlText w:val=""/>
      <w:lvlJc w:val="left"/>
    </w:lvl>
    <w:lvl w:ilvl="2" w:tplc="533EEA02">
      <w:numFmt w:val="decimal"/>
      <w:lvlText w:val=""/>
      <w:lvlJc w:val="left"/>
    </w:lvl>
    <w:lvl w:ilvl="3" w:tplc="E376D4EE">
      <w:numFmt w:val="decimal"/>
      <w:lvlText w:val=""/>
      <w:lvlJc w:val="left"/>
    </w:lvl>
    <w:lvl w:ilvl="4" w:tplc="2A6E3D66">
      <w:numFmt w:val="decimal"/>
      <w:lvlText w:val=""/>
      <w:lvlJc w:val="left"/>
    </w:lvl>
    <w:lvl w:ilvl="5" w:tplc="C5D65796">
      <w:numFmt w:val="decimal"/>
      <w:lvlText w:val=""/>
      <w:lvlJc w:val="left"/>
    </w:lvl>
    <w:lvl w:ilvl="6" w:tplc="6E88F75C">
      <w:numFmt w:val="decimal"/>
      <w:lvlText w:val=""/>
      <w:lvlJc w:val="left"/>
    </w:lvl>
    <w:lvl w:ilvl="7" w:tplc="0D6C3A24">
      <w:numFmt w:val="decimal"/>
      <w:lvlText w:val=""/>
      <w:lvlJc w:val="left"/>
    </w:lvl>
    <w:lvl w:ilvl="8" w:tplc="E2FA2D5C">
      <w:numFmt w:val="decimal"/>
      <w:lvlText w:val=""/>
      <w:lvlJc w:val="left"/>
    </w:lvl>
  </w:abstractNum>
  <w:abstractNum w:abstractNumId="15" w15:restartNumberingAfterBreak="0">
    <w:nsid w:val="2FB44740"/>
    <w:multiLevelType w:val="hybridMultilevel"/>
    <w:tmpl w:val="38BCF88C"/>
    <w:lvl w:ilvl="0" w:tplc="D8B89DDC">
      <w:start w:val="1"/>
      <w:numFmt w:val="bullet"/>
      <w:lvlText w:val=""/>
      <w:lvlJc w:val="left"/>
      <w:pPr>
        <w:tabs>
          <w:tab w:val="num" w:pos="900"/>
        </w:tabs>
        <w:ind w:left="540" w:hanging="360"/>
      </w:pPr>
      <w:rPr>
        <w:rFonts w:ascii="Symbol" w:hAnsi="Symbol" w:hint="default"/>
      </w:rPr>
    </w:lvl>
    <w:lvl w:ilvl="1" w:tplc="6F44F9E8">
      <w:numFmt w:val="decimal"/>
      <w:lvlText w:val=""/>
      <w:lvlJc w:val="left"/>
    </w:lvl>
    <w:lvl w:ilvl="2" w:tplc="BA9A2914">
      <w:numFmt w:val="decimal"/>
      <w:lvlText w:val=""/>
      <w:lvlJc w:val="left"/>
    </w:lvl>
    <w:lvl w:ilvl="3" w:tplc="66E0282C">
      <w:numFmt w:val="decimal"/>
      <w:lvlText w:val=""/>
      <w:lvlJc w:val="left"/>
    </w:lvl>
    <w:lvl w:ilvl="4" w:tplc="65D8869E">
      <w:numFmt w:val="decimal"/>
      <w:lvlText w:val=""/>
      <w:lvlJc w:val="left"/>
    </w:lvl>
    <w:lvl w:ilvl="5" w:tplc="C696DA8C">
      <w:numFmt w:val="decimal"/>
      <w:lvlText w:val=""/>
      <w:lvlJc w:val="left"/>
    </w:lvl>
    <w:lvl w:ilvl="6" w:tplc="E948F60C">
      <w:numFmt w:val="decimal"/>
      <w:lvlText w:val=""/>
      <w:lvlJc w:val="left"/>
    </w:lvl>
    <w:lvl w:ilvl="7" w:tplc="B75E451A">
      <w:numFmt w:val="decimal"/>
      <w:lvlText w:val=""/>
      <w:lvlJc w:val="left"/>
    </w:lvl>
    <w:lvl w:ilvl="8" w:tplc="6AB2971A">
      <w:numFmt w:val="decimal"/>
      <w:lvlText w:val=""/>
      <w:lvlJc w:val="left"/>
    </w:lvl>
  </w:abstractNum>
  <w:abstractNum w:abstractNumId="16" w15:restartNumberingAfterBreak="0">
    <w:nsid w:val="35263070"/>
    <w:multiLevelType w:val="multilevel"/>
    <w:tmpl w:val="E4B4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8363F"/>
    <w:multiLevelType w:val="hybridMultilevel"/>
    <w:tmpl w:val="7C52E254"/>
    <w:lvl w:ilvl="0" w:tplc="71E6F95C">
      <w:start w:val="1"/>
      <w:numFmt w:val="bullet"/>
      <w:lvlText w:val=""/>
      <w:lvlJc w:val="left"/>
      <w:pPr>
        <w:tabs>
          <w:tab w:val="num" w:pos="900"/>
        </w:tabs>
        <w:ind w:left="540" w:hanging="360"/>
      </w:pPr>
      <w:rPr>
        <w:rFonts w:ascii="Symbol" w:hAnsi="Symbol" w:hint="default"/>
      </w:rPr>
    </w:lvl>
    <w:lvl w:ilvl="1" w:tplc="EA1A9A8C">
      <w:numFmt w:val="decimal"/>
      <w:lvlText w:val=""/>
      <w:lvlJc w:val="left"/>
    </w:lvl>
    <w:lvl w:ilvl="2" w:tplc="58621630">
      <w:numFmt w:val="decimal"/>
      <w:lvlText w:val=""/>
      <w:lvlJc w:val="left"/>
    </w:lvl>
    <w:lvl w:ilvl="3" w:tplc="9E0470B8">
      <w:numFmt w:val="decimal"/>
      <w:lvlText w:val=""/>
      <w:lvlJc w:val="left"/>
    </w:lvl>
    <w:lvl w:ilvl="4" w:tplc="A40A878E">
      <w:numFmt w:val="decimal"/>
      <w:lvlText w:val=""/>
      <w:lvlJc w:val="left"/>
    </w:lvl>
    <w:lvl w:ilvl="5" w:tplc="CC58DB6E">
      <w:numFmt w:val="decimal"/>
      <w:lvlText w:val=""/>
      <w:lvlJc w:val="left"/>
    </w:lvl>
    <w:lvl w:ilvl="6" w:tplc="B2D877A2">
      <w:numFmt w:val="decimal"/>
      <w:lvlText w:val=""/>
      <w:lvlJc w:val="left"/>
    </w:lvl>
    <w:lvl w:ilvl="7" w:tplc="EC6688E2">
      <w:numFmt w:val="decimal"/>
      <w:lvlText w:val=""/>
      <w:lvlJc w:val="left"/>
    </w:lvl>
    <w:lvl w:ilvl="8" w:tplc="D318FA9C">
      <w:numFmt w:val="decimal"/>
      <w:lvlText w:val=""/>
      <w:lvlJc w:val="left"/>
    </w:lvl>
  </w:abstractNum>
  <w:abstractNum w:abstractNumId="18" w15:restartNumberingAfterBreak="0">
    <w:nsid w:val="39647AD8"/>
    <w:multiLevelType w:val="hybridMultilevel"/>
    <w:tmpl w:val="25F0E5EE"/>
    <w:lvl w:ilvl="0" w:tplc="93A82E92">
      <w:start w:val="1"/>
      <w:numFmt w:val="bullet"/>
      <w:lvlText w:val=""/>
      <w:lvlJc w:val="left"/>
      <w:pPr>
        <w:tabs>
          <w:tab w:val="num" w:pos="900"/>
        </w:tabs>
        <w:ind w:left="540" w:hanging="360"/>
      </w:pPr>
      <w:rPr>
        <w:rFonts w:ascii="Symbol" w:hAnsi="Symbol" w:hint="default"/>
      </w:rPr>
    </w:lvl>
    <w:lvl w:ilvl="1" w:tplc="032E6B74">
      <w:numFmt w:val="decimal"/>
      <w:lvlText w:val=""/>
      <w:lvlJc w:val="left"/>
    </w:lvl>
    <w:lvl w:ilvl="2" w:tplc="C28AACE8">
      <w:numFmt w:val="decimal"/>
      <w:lvlText w:val=""/>
      <w:lvlJc w:val="left"/>
    </w:lvl>
    <w:lvl w:ilvl="3" w:tplc="B91E5A4A">
      <w:numFmt w:val="decimal"/>
      <w:lvlText w:val=""/>
      <w:lvlJc w:val="left"/>
    </w:lvl>
    <w:lvl w:ilvl="4" w:tplc="42DC8666">
      <w:numFmt w:val="decimal"/>
      <w:lvlText w:val=""/>
      <w:lvlJc w:val="left"/>
    </w:lvl>
    <w:lvl w:ilvl="5" w:tplc="7D20D74E">
      <w:numFmt w:val="decimal"/>
      <w:lvlText w:val=""/>
      <w:lvlJc w:val="left"/>
    </w:lvl>
    <w:lvl w:ilvl="6" w:tplc="7EA63F3C">
      <w:numFmt w:val="decimal"/>
      <w:lvlText w:val=""/>
      <w:lvlJc w:val="left"/>
    </w:lvl>
    <w:lvl w:ilvl="7" w:tplc="32BE3104">
      <w:numFmt w:val="decimal"/>
      <w:lvlText w:val=""/>
      <w:lvlJc w:val="left"/>
    </w:lvl>
    <w:lvl w:ilvl="8" w:tplc="DAF22002">
      <w:numFmt w:val="decimal"/>
      <w:lvlText w:val=""/>
      <w:lvlJc w:val="left"/>
    </w:lvl>
  </w:abstractNum>
  <w:abstractNum w:abstractNumId="19" w15:restartNumberingAfterBreak="0">
    <w:nsid w:val="3BE8671D"/>
    <w:multiLevelType w:val="hybridMultilevel"/>
    <w:tmpl w:val="FC446448"/>
    <w:lvl w:ilvl="0" w:tplc="7E367A50">
      <w:start w:val="1"/>
      <w:numFmt w:val="bullet"/>
      <w:lvlText w:val=""/>
      <w:lvlJc w:val="left"/>
      <w:pPr>
        <w:tabs>
          <w:tab w:val="num" w:pos="900"/>
        </w:tabs>
        <w:ind w:left="540" w:hanging="360"/>
      </w:pPr>
      <w:rPr>
        <w:rFonts w:ascii="Symbol" w:hAnsi="Symbol" w:hint="default"/>
      </w:rPr>
    </w:lvl>
    <w:lvl w:ilvl="1" w:tplc="CED08906">
      <w:numFmt w:val="decimal"/>
      <w:lvlText w:val=""/>
      <w:lvlJc w:val="left"/>
    </w:lvl>
    <w:lvl w:ilvl="2" w:tplc="208E34A4">
      <w:numFmt w:val="decimal"/>
      <w:lvlText w:val=""/>
      <w:lvlJc w:val="left"/>
    </w:lvl>
    <w:lvl w:ilvl="3" w:tplc="FB30F7F6">
      <w:numFmt w:val="decimal"/>
      <w:lvlText w:val=""/>
      <w:lvlJc w:val="left"/>
    </w:lvl>
    <w:lvl w:ilvl="4" w:tplc="33DE1866">
      <w:numFmt w:val="decimal"/>
      <w:lvlText w:val=""/>
      <w:lvlJc w:val="left"/>
    </w:lvl>
    <w:lvl w:ilvl="5" w:tplc="69D2FE8C">
      <w:numFmt w:val="decimal"/>
      <w:lvlText w:val=""/>
      <w:lvlJc w:val="left"/>
    </w:lvl>
    <w:lvl w:ilvl="6" w:tplc="0B96CC12">
      <w:numFmt w:val="decimal"/>
      <w:lvlText w:val=""/>
      <w:lvlJc w:val="left"/>
    </w:lvl>
    <w:lvl w:ilvl="7" w:tplc="8BD6F276">
      <w:numFmt w:val="decimal"/>
      <w:lvlText w:val=""/>
      <w:lvlJc w:val="left"/>
    </w:lvl>
    <w:lvl w:ilvl="8" w:tplc="27C87724">
      <w:numFmt w:val="decimal"/>
      <w:lvlText w:val=""/>
      <w:lvlJc w:val="left"/>
    </w:lvl>
  </w:abstractNum>
  <w:abstractNum w:abstractNumId="20" w15:restartNumberingAfterBreak="0">
    <w:nsid w:val="4957628B"/>
    <w:multiLevelType w:val="hybridMultilevel"/>
    <w:tmpl w:val="712E540A"/>
    <w:lvl w:ilvl="0" w:tplc="7982E522">
      <w:start w:val="1"/>
      <w:numFmt w:val="bullet"/>
      <w:lvlText w:val=""/>
      <w:lvlJc w:val="left"/>
      <w:pPr>
        <w:tabs>
          <w:tab w:val="num" w:pos="900"/>
        </w:tabs>
        <w:ind w:left="540" w:hanging="360"/>
      </w:pPr>
      <w:rPr>
        <w:rFonts w:ascii="Symbol" w:hAnsi="Symbol" w:hint="default"/>
      </w:rPr>
    </w:lvl>
    <w:lvl w:ilvl="1" w:tplc="CE1A303E">
      <w:numFmt w:val="decimal"/>
      <w:lvlText w:val=""/>
      <w:lvlJc w:val="left"/>
    </w:lvl>
    <w:lvl w:ilvl="2" w:tplc="15A6EA9C">
      <w:numFmt w:val="decimal"/>
      <w:lvlText w:val=""/>
      <w:lvlJc w:val="left"/>
    </w:lvl>
    <w:lvl w:ilvl="3" w:tplc="1312F144">
      <w:numFmt w:val="decimal"/>
      <w:lvlText w:val=""/>
      <w:lvlJc w:val="left"/>
    </w:lvl>
    <w:lvl w:ilvl="4" w:tplc="66EE2EF0">
      <w:numFmt w:val="decimal"/>
      <w:lvlText w:val=""/>
      <w:lvlJc w:val="left"/>
    </w:lvl>
    <w:lvl w:ilvl="5" w:tplc="31BEC0E6">
      <w:numFmt w:val="decimal"/>
      <w:lvlText w:val=""/>
      <w:lvlJc w:val="left"/>
    </w:lvl>
    <w:lvl w:ilvl="6" w:tplc="E0663326">
      <w:numFmt w:val="decimal"/>
      <w:lvlText w:val=""/>
      <w:lvlJc w:val="left"/>
    </w:lvl>
    <w:lvl w:ilvl="7" w:tplc="A12A4F70">
      <w:numFmt w:val="decimal"/>
      <w:lvlText w:val=""/>
      <w:lvlJc w:val="left"/>
    </w:lvl>
    <w:lvl w:ilvl="8" w:tplc="E854A4F4">
      <w:numFmt w:val="decimal"/>
      <w:lvlText w:val=""/>
      <w:lvlJc w:val="left"/>
    </w:lvl>
  </w:abstractNum>
  <w:abstractNum w:abstractNumId="21" w15:restartNumberingAfterBreak="0">
    <w:nsid w:val="4B7509F1"/>
    <w:multiLevelType w:val="hybridMultilevel"/>
    <w:tmpl w:val="4B4AB074"/>
    <w:lvl w:ilvl="0" w:tplc="0418699A">
      <w:start w:val="1"/>
      <w:numFmt w:val="bullet"/>
      <w:lvlText w:val=""/>
      <w:lvlJc w:val="left"/>
      <w:pPr>
        <w:tabs>
          <w:tab w:val="num" w:pos="900"/>
        </w:tabs>
        <w:ind w:left="540" w:hanging="360"/>
      </w:pPr>
      <w:rPr>
        <w:rFonts w:ascii="Symbol" w:hAnsi="Symbol" w:hint="default"/>
      </w:rPr>
    </w:lvl>
    <w:lvl w:ilvl="1" w:tplc="D1C02FF2">
      <w:numFmt w:val="decimal"/>
      <w:lvlText w:val=""/>
      <w:lvlJc w:val="left"/>
    </w:lvl>
    <w:lvl w:ilvl="2" w:tplc="AA0E6994">
      <w:numFmt w:val="decimal"/>
      <w:lvlText w:val=""/>
      <w:lvlJc w:val="left"/>
    </w:lvl>
    <w:lvl w:ilvl="3" w:tplc="AD4A900A">
      <w:numFmt w:val="decimal"/>
      <w:lvlText w:val=""/>
      <w:lvlJc w:val="left"/>
    </w:lvl>
    <w:lvl w:ilvl="4" w:tplc="402EB3EC">
      <w:numFmt w:val="decimal"/>
      <w:lvlText w:val=""/>
      <w:lvlJc w:val="left"/>
    </w:lvl>
    <w:lvl w:ilvl="5" w:tplc="FF8085DA">
      <w:numFmt w:val="decimal"/>
      <w:lvlText w:val=""/>
      <w:lvlJc w:val="left"/>
    </w:lvl>
    <w:lvl w:ilvl="6" w:tplc="7B08494E">
      <w:numFmt w:val="decimal"/>
      <w:lvlText w:val=""/>
      <w:lvlJc w:val="left"/>
    </w:lvl>
    <w:lvl w:ilvl="7" w:tplc="A40271B8">
      <w:numFmt w:val="decimal"/>
      <w:lvlText w:val=""/>
      <w:lvlJc w:val="left"/>
    </w:lvl>
    <w:lvl w:ilvl="8" w:tplc="06BE22FC">
      <w:numFmt w:val="decimal"/>
      <w:lvlText w:val=""/>
      <w:lvlJc w:val="left"/>
    </w:lvl>
  </w:abstractNum>
  <w:abstractNum w:abstractNumId="22" w15:restartNumberingAfterBreak="0">
    <w:nsid w:val="4D7F4397"/>
    <w:multiLevelType w:val="hybridMultilevel"/>
    <w:tmpl w:val="51546B08"/>
    <w:lvl w:ilvl="0" w:tplc="91723EBE">
      <w:start w:val="1"/>
      <w:numFmt w:val="bullet"/>
      <w:lvlText w:val=""/>
      <w:lvlJc w:val="left"/>
      <w:pPr>
        <w:tabs>
          <w:tab w:val="num" w:pos="900"/>
        </w:tabs>
        <w:ind w:left="540" w:hanging="360"/>
      </w:pPr>
      <w:rPr>
        <w:rFonts w:ascii="Symbol" w:hAnsi="Symbol" w:hint="default"/>
      </w:rPr>
    </w:lvl>
    <w:lvl w:ilvl="1" w:tplc="6910151C">
      <w:numFmt w:val="decimal"/>
      <w:lvlText w:val=""/>
      <w:lvlJc w:val="left"/>
    </w:lvl>
    <w:lvl w:ilvl="2" w:tplc="59F80B32">
      <w:numFmt w:val="decimal"/>
      <w:lvlText w:val=""/>
      <w:lvlJc w:val="left"/>
    </w:lvl>
    <w:lvl w:ilvl="3" w:tplc="CFD82E40">
      <w:numFmt w:val="decimal"/>
      <w:lvlText w:val=""/>
      <w:lvlJc w:val="left"/>
    </w:lvl>
    <w:lvl w:ilvl="4" w:tplc="C57CBB8E">
      <w:numFmt w:val="decimal"/>
      <w:lvlText w:val=""/>
      <w:lvlJc w:val="left"/>
    </w:lvl>
    <w:lvl w:ilvl="5" w:tplc="B2FA946E">
      <w:numFmt w:val="decimal"/>
      <w:lvlText w:val=""/>
      <w:lvlJc w:val="left"/>
    </w:lvl>
    <w:lvl w:ilvl="6" w:tplc="D2103EAE">
      <w:numFmt w:val="decimal"/>
      <w:lvlText w:val=""/>
      <w:lvlJc w:val="left"/>
    </w:lvl>
    <w:lvl w:ilvl="7" w:tplc="0C50BDB6">
      <w:numFmt w:val="decimal"/>
      <w:lvlText w:val=""/>
      <w:lvlJc w:val="left"/>
    </w:lvl>
    <w:lvl w:ilvl="8" w:tplc="84AC3298">
      <w:numFmt w:val="decimal"/>
      <w:lvlText w:val=""/>
      <w:lvlJc w:val="left"/>
    </w:lvl>
  </w:abstractNum>
  <w:abstractNum w:abstractNumId="23" w15:restartNumberingAfterBreak="0">
    <w:nsid w:val="5203771E"/>
    <w:multiLevelType w:val="multilevel"/>
    <w:tmpl w:val="042C5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0A1706"/>
    <w:multiLevelType w:val="multilevel"/>
    <w:tmpl w:val="0D58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5F7163"/>
    <w:multiLevelType w:val="hybridMultilevel"/>
    <w:tmpl w:val="6422F85C"/>
    <w:lvl w:ilvl="0" w:tplc="AAA2B2B6">
      <w:start w:val="1"/>
      <w:numFmt w:val="bullet"/>
      <w:lvlText w:val=""/>
      <w:lvlJc w:val="left"/>
      <w:pPr>
        <w:tabs>
          <w:tab w:val="num" w:pos="900"/>
        </w:tabs>
        <w:ind w:left="540" w:hanging="360"/>
      </w:pPr>
      <w:rPr>
        <w:rFonts w:ascii="Symbol" w:hAnsi="Symbol" w:hint="default"/>
      </w:rPr>
    </w:lvl>
    <w:lvl w:ilvl="1" w:tplc="91003A6A">
      <w:numFmt w:val="decimal"/>
      <w:lvlText w:val=""/>
      <w:lvlJc w:val="left"/>
    </w:lvl>
    <w:lvl w:ilvl="2" w:tplc="46F81B00">
      <w:numFmt w:val="decimal"/>
      <w:lvlText w:val=""/>
      <w:lvlJc w:val="left"/>
    </w:lvl>
    <w:lvl w:ilvl="3" w:tplc="49EC3036">
      <w:numFmt w:val="decimal"/>
      <w:lvlText w:val=""/>
      <w:lvlJc w:val="left"/>
    </w:lvl>
    <w:lvl w:ilvl="4" w:tplc="043EFC2A">
      <w:numFmt w:val="decimal"/>
      <w:lvlText w:val=""/>
      <w:lvlJc w:val="left"/>
    </w:lvl>
    <w:lvl w:ilvl="5" w:tplc="94422A3C">
      <w:numFmt w:val="decimal"/>
      <w:lvlText w:val=""/>
      <w:lvlJc w:val="left"/>
    </w:lvl>
    <w:lvl w:ilvl="6" w:tplc="B7561208">
      <w:numFmt w:val="decimal"/>
      <w:lvlText w:val=""/>
      <w:lvlJc w:val="left"/>
    </w:lvl>
    <w:lvl w:ilvl="7" w:tplc="3DB474DE">
      <w:numFmt w:val="decimal"/>
      <w:lvlText w:val=""/>
      <w:lvlJc w:val="left"/>
    </w:lvl>
    <w:lvl w:ilvl="8" w:tplc="CD68CAFE">
      <w:numFmt w:val="decimal"/>
      <w:lvlText w:val=""/>
      <w:lvlJc w:val="left"/>
    </w:lvl>
  </w:abstractNum>
  <w:abstractNum w:abstractNumId="26" w15:restartNumberingAfterBreak="0">
    <w:nsid w:val="5EF77AE8"/>
    <w:multiLevelType w:val="hybridMultilevel"/>
    <w:tmpl w:val="E0DE44D2"/>
    <w:lvl w:ilvl="0" w:tplc="B8901C1A">
      <w:start w:val="1"/>
      <w:numFmt w:val="bullet"/>
      <w:lvlText w:val=""/>
      <w:lvlJc w:val="left"/>
      <w:pPr>
        <w:tabs>
          <w:tab w:val="num" w:pos="900"/>
        </w:tabs>
        <w:ind w:left="540" w:hanging="360"/>
      </w:pPr>
      <w:rPr>
        <w:rFonts w:ascii="Symbol" w:hAnsi="Symbol" w:hint="default"/>
      </w:rPr>
    </w:lvl>
    <w:lvl w:ilvl="1" w:tplc="6602C67C">
      <w:numFmt w:val="decimal"/>
      <w:lvlText w:val=""/>
      <w:lvlJc w:val="left"/>
    </w:lvl>
    <w:lvl w:ilvl="2" w:tplc="3F66B528">
      <w:numFmt w:val="decimal"/>
      <w:lvlText w:val=""/>
      <w:lvlJc w:val="left"/>
    </w:lvl>
    <w:lvl w:ilvl="3" w:tplc="41C0AFF6">
      <w:numFmt w:val="decimal"/>
      <w:lvlText w:val=""/>
      <w:lvlJc w:val="left"/>
    </w:lvl>
    <w:lvl w:ilvl="4" w:tplc="041CE6CA">
      <w:numFmt w:val="decimal"/>
      <w:lvlText w:val=""/>
      <w:lvlJc w:val="left"/>
    </w:lvl>
    <w:lvl w:ilvl="5" w:tplc="97203206">
      <w:numFmt w:val="decimal"/>
      <w:lvlText w:val=""/>
      <w:lvlJc w:val="left"/>
    </w:lvl>
    <w:lvl w:ilvl="6" w:tplc="6BC83BF8">
      <w:numFmt w:val="decimal"/>
      <w:lvlText w:val=""/>
      <w:lvlJc w:val="left"/>
    </w:lvl>
    <w:lvl w:ilvl="7" w:tplc="02A82BEE">
      <w:numFmt w:val="decimal"/>
      <w:lvlText w:val=""/>
      <w:lvlJc w:val="left"/>
    </w:lvl>
    <w:lvl w:ilvl="8" w:tplc="BAEC71F6">
      <w:numFmt w:val="decimal"/>
      <w:lvlText w:val=""/>
      <w:lvlJc w:val="left"/>
    </w:lvl>
  </w:abstractNum>
  <w:abstractNum w:abstractNumId="27" w15:restartNumberingAfterBreak="0">
    <w:nsid w:val="5FC02648"/>
    <w:multiLevelType w:val="hybridMultilevel"/>
    <w:tmpl w:val="8B0A9A5A"/>
    <w:lvl w:ilvl="0" w:tplc="DD3E2F0A">
      <w:start w:val="1"/>
      <w:numFmt w:val="bullet"/>
      <w:lvlText w:val=""/>
      <w:lvlJc w:val="left"/>
      <w:pPr>
        <w:tabs>
          <w:tab w:val="num" w:pos="900"/>
        </w:tabs>
        <w:ind w:left="540" w:hanging="360"/>
      </w:pPr>
      <w:rPr>
        <w:rFonts w:ascii="Symbol" w:hAnsi="Symbol" w:hint="default"/>
      </w:rPr>
    </w:lvl>
    <w:lvl w:ilvl="1" w:tplc="F9DAABAC">
      <w:numFmt w:val="decimal"/>
      <w:lvlText w:val=""/>
      <w:lvlJc w:val="left"/>
    </w:lvl>
    <w:lvl w:ilvl="2" w:tplc="971212E6">
      <w:numFmt w:val="decimal"/>
      <w:lvlText w:val=""/>
      <w:lvlJc w:val="left"/>
    </w:lvl>
    <w:lvl w:ilvl="3" w:tplc="7108AD98">
      <w:numFmt w:val="decimal"/>
      <w:lvlText w:val=""/>
      <w:lvlJc w:val="left"/>
    </w:lvl>
    <w:lvl w:ilvl="4" w:tplc="41EED2BE">
      <w:numFmt w:val="decimal"/>
      <w:lvlText w:val=""/>
      <w:lvlJc w:val="left"/>
    </w:lvl>
    <w:lvl w:ilvl="5" w:tplc="5FB4F7CA">
      <w:numFmt w:val="decimal"/>
      <w:lvlText w:val=""/>
      <w:lvlJc w:val="left"/>
    </w:lvl>
    <w:lvl w:ilvl="6" w:tplc="8214CC18">
      <w:numFmt w:val="decimal"/>
      <w:lvlText w:val=""/>
      <w:lvlJc w:val="left"/>
    </w:lvl>
    <w:lvl w:ilvl="7" w:tplc="74A2FB08">
      <w:numFmt w:val="decimal"/>
      <w:lvlText w:val=""/>
      <w:lvlJc w:val="left"/>
    </w:lvl>
    <w:lvl w:ilvl="8" w:tplc="F08A6C18">
      <w:numFmt w:val="decimal"/>
      <w:lvlText w:val=""/>
      <w:lvlJc w:val="left"/>
    </w:lvl>
  </w:abstractNum>
  <w:abstractNum w:abstractNumId="28" w15:restartNumberingAfterBreak="0">
    <w:nsid w:val="65680BD1"/>
    <w:multiLevelType w:val="hybridMultilevel"/>
    <w:tmpl w:val="EF9E0992"/>
    <w:lvl w:ilvl="0" w:tplc="756662DE">
      <w:start w:val="1"/>
      <w:numFmt w:val="bullet"/>
      <w:lvlText w:val=""/>
      <w:lvlJc w:val="left"/>
      <w:pPr>
        <w:tabs>
          <w:tab w:val="num" w:pos="900"/>
        </w:tabs>
        <w:ind w:left="540" w:hanging="360"/>
      </w:pPr>
      <w:rPr>
        <w:rFonts w:ascii="Symbol" w:hAnsi="Symbol" w:hint="default"/>
      </w:rPr>
    </w:lvl>
    <w:lvl w:ilvl="1" w:tplc="3B103EB4">
      <w:numFmt w:val="decimal"/>
      <w:lvlText w:val=""/>
      <w:lvlJc w:val="left"/>
    </w:lvl>
    <w:lvl w:ilvl="2" w:tplc="0F00D73A">
      <w:numFmt w:val="decimal"/>
      <w:lvlText w:val=""/>
      <w:lvlJc w:val="left"/>
    </w:lvl>
    <w:lvl w:ilvl="3" w:tplc="7CAC51E8">
      <w:numFmt w:val="decimal"/>
      <w:lvlText w:val=""/>
      <w:lvlJc w:val="left"/>
    </w:lvl>
    <w:lvl w:ilvl="4" w:tplc="A9243364">
      <w:numFmt w:val="decimal"/>
      <w:lvlText w:val=""/>
      <w:lvlJc w:val="left"/>
    </w:lvl>
    <w:lvl w:ilvl="5" w:tplc="D6D2F6A6">
      <w:numFmt w:val="decimal"/>
      <w:lvlText w:val=""/>
      <w:lvlJc w:val="left"/>
    </w:lvl>
    <w:lvl w:ilvl="6" w:tplc="F588F9E0">
      <w:numFmt w:val="decimal"/>
      <w:lvlText w:val=""/>
      <w:lvlJc w:val="left"/>
    </w:lvl>
    <w:lvl w:ilvl="7" w:tplc="96664AB0">
      <w:numFmt w:val="decimal"/>
      <w:lvlText w:val=""/>
      <w:lvlJc w:val="left"/>
    </w:lvl>
    <w:lvl w:ilvl="8" w:tplc="AAE47E52">
      <w:numFmt w:val="decimal"/>
      <w:lvlText w:val=""/>
      <w:lvlJc w:val="left"/>
    </w:lvl>
  </w:abstractNum>
  <w:abstractNum w:abstractNumId="29" w15:restartNumberingAfterBreak="0">
    <w:nsid w:val="68F25AAC"/>
    <w:multiLevelType w:val="hybridMultilevel"/>
    <w:tmpl w:val="731A149A"/>
    <w:lvl w:ilvl="0" w:tplc="B284E886">
      <w:start w:val="1"/>
      <w:numFmt w:val="bullet"/>
      <w:lvlText w:val=""/>
      <w:lvlJc w:val="left"/>
      <w:pPr>
        <w:tabs>
          <w:tab w:val="num" w:pos="900"/>
        </w:tabs>
        <w:ind w:left="540" w:hanging="360"/>
      </w:pPr>
      <w:rPr>
        <w:rFonts w:ascii="Symbol" w:hAnsi="Symbol" w:hint="default"/>
      </w:rPr>
    </w:lvl>
    <w:lvl w:ilvl="1" w:tplc="F9AE3BB8">
      <w:numFmt w:val="decimal"/>
      <w:lvlText w:val=""/>
      <w:lvlJc w:val="left"/>
    </w:lvl>
    <w:lvl w:ilvl="2" w:tplc="64A0CBA8">
      <w:numFmt w:val="decimal"/>
      <w:lvlText w:val=""/>
      <w:lvlJc w:val="left"/>
    </w:lvl>
    <w:lvl w:ilvl="3" w:tplc="982C6A60">
      <w:numFmt w:val="decimal"/>
      <w:lvlText w:val=""/>
      <w:lvlJc w:val="left"/>
    </w:lvl>
    <w:lvl w:ilvl="4" w:tplc="44ACF94E">
      <w:numFmt w:val="decimal"/>
      <w:lvlText w:val=""/>
      <w:lvlJc w:val="left"/>
    </w:lvl>
    <w:lvl w:ilvl="5" w:tplc="C23AC996">
      <w:numFmt w:val="decimal"/>
      <w:lvlText w:val=""/>
      <w:lvlJc w:val="left"/>
    </w:lvl>
    <w:lvl w:ilvl="6" w:tplc="098446B4">
      <w:numFmt w:val="decimal"/>
      <w:lvlText w:val=""/>
      <w:lvlJc w:val="left"/>
    </w:lvl>
    <w:lvl w:ilvl="7" w:tplc="D81AF3C8">
      <w:numFmt w:val="decimal"/>
      <w:lvlText w:val=""/>
      <w:lvlJc w:val="left"/>
    </w:lvl>
    <w:lvl w:ilvl="8" w:tplc="F4CCEE3C">
      <w:numFmt w:val="decimal"/>
      <w:lvlText w:val=""/>
      <w:lvlJc w:val="left"/>
    </w:lvl>
  </w:abstractNum>
  <w:num w:numId="1" w16cid:durableId="1790512747">
    <w:abstractNumId w:val="1"/>
  </w:num>
  <w:num w:numId="2" w16cid:durableId="1038316085">
    <w:abstractNumId w:val="23"/>
  </w:num>
  <w:num w:numId="3" w16cid:durableId="1037924651">
    <w:abstractNumId w:val="24"/>
  </w:num>
  <w:num w:numId="4" w16cid:durableId="442850400">
    <w:abstractNumId w:val="16"/>
  </w:num>
  <w:num w:numId="5" w16cid:durableId="1786729564">
    <w:abstractNumId w:val="3"/>
  </w:num>
  <w:num w:numId="6" w16cid:durableId="53819029">
    <w:abstractNumId w:val="2"/>
  </w:num>
  <w:num w:numId="7" w16cid:durableId="1145273202">
    <w:abstractNumId w:val="18"/>
  </w:num>
  <w:num w:numId="8" w16cid:durableId="380401644">
    <w:abstractNumId w:val="12"/>
  </w:num>
  <w:num w:numId="9" w16cid:durableId="625307852">
    <w:abstractNumId w:val="20"/>
  </w:num>
  <w:num w:numId="10" w16cid:durableId="1918129477">
    <w:abstractNumId w:val="8"/>
  </w:num>
  <w:num w:numId="11" w16cid:durableId="1715302936">
    <w:abstractNumId w:val="15"/>
  </w:num>
  <w:num w:numId="12" w16cid:durableId="1619095654">
    <w:abstractNumId w:val="7"/>
  </w:num>
  <w:num w:numId="13" w16cid:durableId="391539373">
    <w:abstractNumId w:val="26"/>
  </w:num>
  <w:num w:numId="14" w16cid:durableId="1611275793">
    <w:abstractNumId w:val="9"/>
  </w:num>
  <w:num w:numId="15" w16cid:durableId="870533160">
    <w:abstractNumId w:val="22"/>
  </w:num>
  <w:num w:numId="16" w16cid:durableId="122577940">
    <w:abstractNumId w:val="13"/>
  </w:num>
  <w:num w:numId="17" w16cid:durableId="1211957444">
    <w:abstractNumId w:val="17"/>
  </w:num>
  <w:num w:numId="18" w16cid:durableId="1652490274">
    <w:abstractNumId w:val="21"/>
  </w:num>
  <w:num w:numId="19" w16cid:durableId="1382752916">
    <w:abstractNumId w:val="11"/>
  </w:num>
  <w:num w:numId="20" w16cid:durableId="1098133794">
    <w:abstractNumId w:val="19"/>
  </w:num>
  <w:num w:numId="21" w16cid:durableId="1827167386">
    <w:abstractNumId w:val="27"/>
  </w:num>
  <w:num w:numId="22" w16cid:durableId="1021399957">
    <w:abstractNumId w:val="14"/>
  </w:num>
  <w:num w:numId="23" w16cid:durableId="865293123">
    <w:abstractNumId w:val="6"/>
  </w:num>
  <w:num w:numId="24" w16cid:durableId="1544170128">
    <w:abstractNumId w:val="4"/>
  </w:num>
  <w:num w:numId="25" w16cid:durableId="1727490673">
    <w:abstractNumId w:val="0"/>
  </w:num>
  <w:num w:numId="26" w16cid:durableId="910458141">
    <w:abstractNumId w:val="28"/>
  </w:num>
  <w:num w:numId="27" w16cid:durableId="136923089">
    <w:abstractNumId w:val="29"/>
  </w:num>
  <w:num w:numId="28" w16cid:durableId="622809420">
    <w:abstractNumId w:val="25"/>
  </w:num>
  <w:num w:numId="29" w16cid:durableId="1491141921">
    <w:abstractNumId w:val="10"/>
  </w:num>
  <w:num w:numId="30" w16cid:durableId="14609698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Burke">
    <w15:presenceInfo w15:providerId="AD" w15:userId="S::paul.burke@reveleer.com::e68f950f-f4f0-472e-bfa7-8dd222bac98b"/>
  </w15:person>
  <w15:person w15:author="Jay Ackerman">
    <w15:presenceInfo w15:providerId="AD" w15:userId="S::Jay.Ackerman@reveleer.com::82640cc3-95f0-49c6-b20b-2d61cbe58b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80E"/>
    <w:rsid w:val="00027D24"/>
    <w:rsid w:val="000730CE"/>
    <w:rsid w:val="000831B4"/>
    <w:rsid w:val="000B36C2"/>
    <w:rsid w:val="0013633E"/>
    <w:rsid w:val="0017349C"/>
    <w:rsid w:val="00183D3F"/>
    <w:rsid w:val="00185B3C"/>
    <w:rsid w:val="001E3F9F"/>
    <w:rsid w:val="001E5480"/>
    <w:rsid w:val="001F6162"/>
    <w:rsid w:val="001F780E"/>
    <w:rsid w:val="00215499"/>
    <w:rsid w:val="00231CA6"/>
    <w:rsid w:val="0028360D"/>
    <w:rsid w:val="002920E8"/>
    <w:rsid w:val="002C29A4"/>
    <w:rsid w:val="002D75F4"/>
    <w:rsid w:val="002E35F2"/>
    <w:rsid w:val="002F380E"/>
    <w:rsid w:val="002F6152"/>
    <w:rsid w:val="00333296"/>
    <w:rsid w:val="0034789A"/>
    <w:rsid w:val="00356788"/>
    <w:rsid w:val="00357CE8"/>
    <w:rsid w:val="00386546"/>
    <w:rsid w:val="003A5D3C"/>
    <w:rsid w:val="003B2877"/>
    <w:rsid w:val="003C3724"/>
    <w:rsid w:val="003D12B2"/>
    <w:rsid w:val="003E25B1"/>
    <w:rsid w:val="00423342"/>
    <w:rsid w:val="0045006C"/>
    <w:rsid w:val="00450B88"/>
    <w:rsid w:val="0046110C"/>
    <w:rsid w:val="00462133"/>
    <w:rsid w:val="00477166"/>
    <w:rsid w:val="004B7D1A"/>
    <w:rsid w:val="004C0637"/>
    <w:rsid w:val="004C0F54"/>
    <w:rsid w:val="004E145D"/>
    <w:rsid w:val="00500ED6"/>
    <w:rsid w:val="0054207A"/>
    <w:rsid w:val="005535AF"/>
    <w:rsid w:val="00576871"/>
    <w:rsid w:val="00591CBC"/>
    <w:rsid w:val="005A1935"/>
    <w:rsid w:val="005B1686"/>
    <w:rsid w:val="005E1851"/>
    <w:rsid w:val="00603305"/>
    <w:rsid w:val="00604FC3"/>
    <w:rsid w:val="00645AA5"/>
    <w:rsid w:val="00655954"/>
    <w:rsid w:val="00693089"/>
    <w:rsid w:val="006A36A3"/>
    <w:rsid w:val="006B27CF"/>
    <w:rsid w:val="006E426C"/>
    <w:rsid w:val="007024B8"/>
    <w:rsid w:val="00725528"/>
    <w:rsid w:val="00745027"/>
    <w:rsid w:val="00750894"/>
    <w:rsid w:val="00750C3C"/>
    <w:rsid w:val="00771B21"/>
    <w:rsid w:val="007834DC"/>
    <w:rsid w:val="0079291F"/>
    <w:rsid w:val="00804572"/>
    <w:rsid w:val="0082097E"/>
    <w:rsid w:val="00831E22"/>
    <w:rsid w:val="00854929"/>
    <w:rsid w:val="00854F91"/>
    <w:rsid w:val="00887DE4"/>
    <w:rsid w:val="008B6CA4"/>
    <w:rsid w:val="008B737F"/>
    <w:rsid w:val="008C72EF"/>
    <w:rsid w:val="008D6547"/>
    <w:rsid w:val="008D7BC0"/>
    <w:rsid w:val="008E0E57"/>
    <w:rsid w:val="009009EE"/>
    <w:rsid w:val="00950737"/>
    <w:rsid w:val="009F138E"/>
    <w:rsid w:val="00A16D72"/>
    <w:rsid w:val="00A22748"/>
    <w:rsid w:val="00A241F1"/>
    <w:rsid w:val="00A474C7"/>
    <w:rsid w:val="00AB4321"/>
    <w:rsid w:val="00AF07DA"/>
    <w:rsid w:val="00B66534"/>
    <w:rsid w:val="00B708AF"/>
    <w:rsid w:val="00B81FEE"/>
    <w:rsid w:val="00BA45E7"/>
    <w:rsid w:val="00BC2434"/>
    <w:rsid w:val="00C55D7B"/>
    <w:rsid w:val="00C72F8A"/>
    <w:rsid w:val="00CB1F5D"/>
    <w:rsid w:val="00CD5AB5"/>
    <w:rsid w:val="00CD6A9A"/>
    <w:rsid w:val="00CE6745"/>
    <w:rsid w:val="00D14460"/>
    <w:rsid w:val="00D24FE3"/>
    <w:rsid w:val="00D37A32"/>
    <w:rsid w:val="00D42695"/>
    <w:rsid w:val="00DA1C21"/>
    <w:rsid w:val="00E0381F"/>
    <w:rsid w:val="00E478A3"/>
    <w:rsid w:val="00E57CC3"/>
    <w:rsid w:val="00E673E8"/>
    <w:rsid w:val="00E83B3E"/>
    <w:rsid w:val="00E859A2"/>
    <w:rsid w:val="00E928AF"/>
    <w:rsid w:val="00EA420C"/>
    <w:rsid w:val="00F12A29"/>
    <w:rsid w:val="00F322DE"/>
    <w:rsid w:val="00F701AD"/>
    <w:rsid w:val="00F936A7"/>
    <w:rsid w:val="00FA08DB"/>
    <w:rsid w:val="00FB39F7"/>
    <w:rsid w:val="094FD76F"/>
    <w:rsid w:val="0AE16397"/>
    <w:rsid w:val="1519BB06"/>
    <w:rsid w:val="1A8F1617"/>
    <w:rsid w:val="43E55C34"/>
    <w:rsid w:val="477D157F"/>
    <w:rsid w:val="53418A09"/>
    <w:rsid w:val="56107859"/>
    <w:rsid w:val="5F42517D"/>
    <w:rsid w:val="60523C21"/>
    <w:rsid w:val="67DA2985"/>
    <w:rsid w:val="6DAA7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7A308"/>
  <w15:chartTrackingRefBased/>
  <w15:docId w15:val="{414199C7-39E8-441D-81EE-AB7F4199D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80E"/>
    <w:pPr>
      <w:spacing w:after="120" w:line="360" w:lineRule="auto"/>
    </w:pPr>
  </w:style>
  <w:style w:type="paragraph" w:styleId="Heading1">
    <w:name w:val="heading 1"/>
    <w:basedOn w:val="Normal"/>
    <w:next w:val="Normal"/>
    <w:link w:val="Heading1Char"/>
    <w:uiPriority w:val="9"/>
    <w:qFormat/>
    <w:rsid w:val="002F380E"/>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80E"/>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80E"/>
    <w:pPr>
      <w:keepNext/>
      <w:keepLines/>
      <w:spacing w:before="160" w:after="80" w:line="240"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80E"/>
    <w:pPr>
      <w:keepNext/>
      <w:keepLines/>
      <w:spacing w:before="80" w:after="40" w:line="240"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80E"/>
    <w:pPr>
      <w:keepNext/>
      <w:keepLines/>
      <w:spacing w:before="80" w:after="40" w:line="240"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80E"/>
    <w:pPr>
      <w:keepNext/>
      <w:keepLines/>
      <w:spacing w:before="40" w:after="0" w:line="240"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80E"/>
    <w:pPr>
      <w:keepNext/>
      <w:keepLines/>
      <w:spacing w:before="40" w:after="0" w:line="240"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80E"/>
    <w:pPr>
      <w:keepNext/>
      <w:keepLines/>
      <w:spacing w:after="0" w:line="240"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80E"/>
    <w:pPr>
      <w:keepNext/>
      <w:keepLines/>
      <w:spacing w:after="0" w:line="240"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80E"/>
    <w:rPr>
      <w:rFonts w:eastAsiaTheme="majorEastAsia" w:cstheme="majorBidi"/>
      <w:color w:val="272727" w:themeColor="text1" w:themeTint="D8"/>
    </w:rPr>
  </w:style>
  <w:style w:type="paragraph" w:styleId="Title">
    <w:name w:val="Title"/>
    <w:basedOn w:val="Normal"/>
    <w:next w:val="Normal"/>
    <w:link w:val="TitleChar"/>
    <w:uiPriority w:val="10"/>
    <w:qFormat/>
    <w:rsid w:val="002F3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80E"/>
    <w:pPr>
      <w:numPr>
        <w:ilvl w:val="1"/>
      </w:numPr>
      <w:spacing w:after="160"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80E"/>
    <w:pPr>
      <w:spacing w:before="160" w:after="160" w:line="240" w:lineRule="auto"/>
      <w:jc w:val="center"/>
    </w:pPr>
    <w:rPr>
      <w:i/>
      <w:iCs/>
      <w:color w:val="404040" w:themeColor="text1" w:themeTint="BF"/>
    </w:rPr>
  </w:style>
  <w:style w:type="character" w:customStyle="1" w:styleId="QuoteChar">
    <w:name w:val="Quote Char"/>
    <w:basedOn w:val="DefaultParagraphFont"/>
    <w:link w:val="Quote"/>
    <w:uiPriority w:val="29"/>
    <w:rsid w:val="002F380E"/>
    <w:rPr>
      <w:i/>
      <w:iCs/>
      <w:color w:val="404040" w:themeColor="text1" w:themeTint="BF"/>
    </w:rPr>
  </w:style>
  <w:style w:type="paragraph" w:styleId="ListParagraph">
    <w:name w:val="List Paragraph"/>
    <w:basedOn w:val="Normal"/>
    <w:uiPriority w:val="34"/>
    <w:qFormat/>
    <w:rsid w:val="002F380E"/>
    <w:pPr>
      <w:spacing w:after="0" w:line="240" w:lineRule="auto"/>
      <w:ind w:left="720"/>
      <w:contextualSpacing/>
    </w:pPr>
  </w:style>
  <w:style w:type="character" w:styleId="IntenseEmphasis">
    <w:name w:val="Intense Emphasis"/>
    <w:basedOn w:val="DefaultParagraphFont"/>
    <w:uiPriority w:val="21"/>
    <w:qFormat/>
    <w:rsid w:val="002F380E"/>
    <w:rPr>
      <w:i/>
      <w:iCs/>
      <w:color w:val="0F4761" w:themeColor="accent1" w:themeShade="BF"/>
    </w:rPr>
  </w:style>
  <w:style w:type="paragraph" w:styleId="IntenseQuote">
    <w:name w:val="Intense Quote"/>
    <w:basedOn w:val="Normal"/>
    <w:next w:val="Normal"/>
    <w:link w:val="IntenseQuoteChar"/>
    <w:uiPriority w:val="30"/>
    <w:qFormat/>
    <w:rsid w:val="002F380E"/>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80E"/>
    <w:rPr>
      <w:i/>
      <w:iCs/>
      <w:color w:val="0F4761" w:themeColor="accent1" w:themeShade="BF"/>
    </w:rPr>
  </w:style>
  <w:style w:type="character" w:styleId="IntenseReference">
    <w:name w:val="Intense Reference"/>
    <w:basedOn w:val="DefaultParagraphFont"/>
    <w:uiPriority w:val="32"/>
    <w:qFormat/>
    <w:rsid w:val="002F380E"/>
    <w:rPr>
      <w:b/>
      <w:bCs/>
      <w:smallCaps/>
      <w:color w:val="0F4761" w:themeColor="accent1" w:themeShade="BF"/>
      <w:spacing w:val="5"/>
    </w:rPr>
  </w:style>
  <w:style w:type="paragraph" w:styleId="Header">
    <w:name w:val="header"/>
    <w:basedOn w:val="Normal"/>
    <w:link w:val="HeaderChar"/>
    <w:uiPriority w:val="99"/>
    <w:unhideWhenUsed/>
    <w:rsid w:val="002F38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380E"/>
  </w:style>
  <w:style w:type="paragraph" w:styleId="Footer">
    <w:name w:val="footer"/>
    <w:basedOn w:val="Normal"/>
    <w:link w:val="FooterChar"/>
    <w:uiPriority w:val="99"/>
    <w:unhideWhenUsed/>
    <w:rsid w:val="002F38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380E"/>
  </w:style>
  <w:style w:type="character" w:styleId="Hyperlink">
    <w:name w:val="Hyperlink"/>
    <w:basedOn w:val="DefaultParagraphFont"/>
    <w:uiPriority w:val="99"/>
    <w:unhideWhenUsed/>
    <w:rsid w:val="00604FC3"/>
    <w:rPr>
      <w:color w:val="467886" w:themeColor="hyperlink"/>
      <w:u w:val="single"/>
    </w:rPr>
  </w:style>
  <w:style w:type="character" w:styleId="UnresolvedMention">
    <w:name w:val="Unresolved Mention"/>
    <w:basedOn w:val="DefaultParagraphFont"/>
    <w:uiPriority w:val="99"/>
    <w:semiHidden/>
    <w:unhideWhenUsed/>
    <w:rsid w:val="00604FC3"/>
    <w:rPr>
      <w:color w:val="605E5C"/>
      <w:shd w:val="clear" w:color="auto" w:fill="E1DFDD"/>
    </w:rPr>
  </w:style>
  <w:style w:type="character" w:styleId="FollowedHyperlink">
    <w:name w:val="FollowedHyperlink"/>
    <w:basedOn w:val="DefaultParagraphFont"/>
    <w:uiPriority w:val="99"/>
    <w:semiHidden/>
    <w:unhideWhenUsed/>
    <w:rsid w:val="00604FC3"/>
    <w:rPr>
      <w:color w:val="96607D" w:themeColor="followedHyperlink"/>
      <w:u w:val="single"/>
    </w:rPr>
  </w:style>
  <w:style w:type="character" w:styleId="CommentReference">
    <w:name w:val="annotation reference"/>
    <w:basedOn w:val="DefaultParagraphFont"/>
    <w:uiPriority w:val="99"/>
    <w:semiHidden/>
    <w:unhideWhenUsed/>
    <w:rsid w:val="00F322DE"/>
    <w:rPr>
      <w:sz w:val="16"/>
      <w:szCs w:val="16"/>
    </w:rPr>
  </w:style>
  <w:style w:type="paragraph" w:styleId="CommentText">
    <w:name w:val="annotation text"/>
    <w:basedOn w:val="Normal"/>
    <w:link w:val="CommentTextChar"/>
    <w:uiPriority w:val="99"/>
    <w:unhideWhenUsed/>
    <w:rsid w:val="00F322DE"/>
    <w:pPr>
      <w:spacing w:line="240" w:lineRule="auto"/>
    </w:pPr>
    <w:rPr>
      <w:rFonts w:ascii="Georgia"/>
      <w:sz w:val="20"/>
      <w:szCs w:val="20"/>
    </w:rPr>
  </w:style>
  <w:style w:type="character" w:customStyle="1" w:styleId="CommentTextChar">
    <w:name w:val="Comment Text Char"/>
    <w:basedOn w:val="DefaultParagraphFont"/>
    <w:link w:val="CommentText"/>
    <w:uiPriority w:val="99"/>
    <w:rsid w:val="00F322DE"/>
    <w:rPr>
      <w:rFonts w:ascii="Georgia"/>
      <w:sz w:val="20"/>
      <w:szCs w:val="20"/>
    </w:rPr>
  </w:style>
  <w:style w:type="character" w:styleId="Mention">
    <w:name w:val="Mention"/>
    <w:basedOn w:val="DefaultParagraphFont"/>
    <w:uiPriority w:val="99"/>
    <w:unhideWhenUsed/>
    <w:rsid w:val="00F322D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alan.tam@reveleer.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reveleer.com/" TargetMode="Externa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8BFCA5AA-2E51-476D-B680-AD8856460AE3}">
    <t:Anchor>
      <t:Comment id="288145839"/>
    </t:Anchor>
    <t:History>
      <t:Event id="{B9D2602B-9074-46C2-8155-13A1DD475F11}" time="2026-02-11T01:44:29.817Z">
        <t:Attribution userId="S::Jay.Ackerman@reveleer.com::82640cc3-95f0-49c6-b20b-2d61cbe58bf0" userProvider="AD" userName="Jay Ackerman"/>
        <t:Anchor>
          <t:Comment id="288145839"/>
        </t:Anchor>
        <t:Create/>
      </t:Event>
      <t:Event id="{7A3E4CAE-0ED1-4311-B9C7-CD873DA441FB}" time="2026-02-11T01:44:29.817Z">
        <t:Attribution userId="S::Jay.Ackerman@reveleer.com::82640cc3-95f0-49c6-b20b-2d61cbe58bf0" userProvider="AD" userName="Jay Ackerman"/>
        <t:Anchor>
          <t:Comment id="288145839"/>
        </t:Anchor>
        <t:Assign userId="S::Alan.Tam@reveleer.com::1f662d0d-0482-4997-803f-2c34401d2f8d" userProvider="AD" userName="Alan Tam"/>
      </t:Event>
      <t:Event id="{AE357433-4B05-4BD6-8040-A86C9EBA569E}" time="2026-02-11T01:44:29.817Z">
        <t:Attribution userId="S::Jay.Ackerman@reveleer.com::82640cc3-95f0-49c6-b20b-2d61cbe58bf0" userProvider="AD" userName="Jay Ackerman"/>
        <t:Anchor>
          <t:Comment id="288145839"/>
        </t:Anchor>
        <t:SetTitle title="@Alan Tam @Paul Burke - do we want to call out ‘chart yield’ in a submission to CMS. I don’t think they would be eager to read that."/>
      </t:Event>
      <t:Event id="{7EF8655D-4CFA-C747-ABFE-E9CA34ACE6E9}" time="2026-02-23T22:35:19.534Z">
        <t:Attribution userId="S::Alan.Tam@reveleer.com::1f662d0d-0482-4997-803f-2c34401d2f8d" userProvider="AD" userName="Alan Tam"/>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07db190-2134-465a-8626-3fe607b71a1f">
      <Terms xmlns="http://schemas.microsoft.com/office/infopath/2007/PartnerControls"/>
    </lcf76f155ced4ddcb4097134ff3c332f>
    <TaxCatchAll xmlns="e76a1ba6-5748-4e2f-80f4-5aae49b2395a" xsi:nil="true"/>
    <SharedWithUsers xmlns="e76a1ba6-5748-4e2f-80f4-5aae49b2395a">
      <UserInfo>
        <DisplayName/>
        <AccountId xsi:nil="true"/>
        <AccountType/>
      </UserInfo>
    </SharedWithUsers>
    <MediaLengthInSeconds xmlns="c07db190-2134-465a-8626-3fe607b71a1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090E9402F7E714D8E245DEBF3D5DD89" ma:contentTypeVersion="16" ma:contentTypeDescription="Create a new document." ma:contentTypeScope="" ma:versionID="694a58d0fa8be61ed4e81b4b2b5854e3">
  <xsd:schema xmlns:xsd="http://www.w3.org/2001/XMLSchema" xmlns:xs="http://www.w3.org/2001/XMLSchema" xmlns:p="http://schemas.microsoft.com/office/2006/metadata/properties" xmlns:ns2="c07db190-2134-465a-8626-3fe607b71a1f" xmlns:ns3="e76a1ba6-5748-4e2f-80f4-5aae49b2395a" targetNamespace="http://schemas.microsoft.com/office/2006/metadata/properties" ma:root="true" ma:fieldsID="2d3216c75646f70e26c5bf67de96a0c4" ns2:_="" ns3:_="">
    <xsd:import namespace="c07db190-2134-465a-8626-3fe607b71a1f"/>
    <xsd:import namespace="e76a1ba6-5748-4e2f-80f4-5aae49b2395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db190-2134-465a-8626-3fe607b71a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64a01cb-ab99-416a-ad84-fc4048f0766e"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6a1ba6-5748-4e2f-80f4-5aae49b2395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1cd7eaa-6356-4621-afea-cc96769726ee}" ma:internalName="TaxCatchAll" ma:showField="CatchAllData" ma:web="e76a1ba6-5748-4e2f-80f4-5aae49b2395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056ACD-5C0E-4462-889F-AE4AE12BDD33}">
  <ds:schemaRefs>
    <ds:schemaRef ds:uri="http://schemas.microsoft.com/office/2006/metadata/properties"/>
    <ds:schemaRef ds:uri="http://schemas.microsoft.com/office/infopath/2007/PartnerControls"/>
    <ds:schemaRef ds:uri="c07db190-2134-465a-8626-3fe607b71a1f"/>
    <ds:schemaRef ds:uri="e76a1ba6-5748-4e2f-80f4-5aae49b2395a"/>
  </ds:schemaRefs>
</ds:datastoreItem>
</file>

<file path=customXml/itemProps2.xml><?xml version="1.0" encoding="utf-8"?>
<ds:datastoreItem xmlns:ds="http://schemas.openxmlformats.org/officeDocument/2006/customXml" ds:itemID="{B47734F7-A8D0-4009-B768-E54A7BC88B32}">
  <ds:schemaRefs>
    <ds:schemaRef ds:uri="http://schemas.microsoft.com/sharepoint/v3/contenttype/forms"/>
  </ds:schemaRefs>
</ds:datastoreItem>
</file>

<file path=customXml/itemProps3.xml><?xml version="1.0" encoding="utf-8"?>
<ds:datastoreItem xmlns:ds="http://schemas.openxmlformats.org/officeDocument/2006/customXml" ds:itemID="{DE6E9637-DA89-CB4A-813B-914E8E113C54}">
  <ds:schemaRefs>
    <ds:schemaRef ds:uri="http://schemas.openxmlformats.org/officeDocument/2006/bibliography"/>
  </ds:schemaRefs>
</ds:datastoreItem>
</file>

<file path=customXml/itemProps4.xml><?xml version="1.0" encoding="utf-8"?>
<ds:datastoreItem xmlns:ds="http://schemas.openxmlformats.org/officeDocument/2006/customXml" ds:itemID="{1130DD31-6858-4DE6-A738-5EE4E7E80A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db190-2134-465a-8626-3fe607b71a1f"/>
    <ds:schemaRef ds:uri="e76a1ba6-5748-4e2f-80f4-5aae49b239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3793</Words>
  <Characters>24469</Characters>
  <Application>Microsoft Office Word</Application>
  <DocSecurity>0</DocSecurity>
  <Lines>436</Lines>
  <Paragraphs>158</Paragraphs>
  <ScaleCrop>false</ScaleCrop>
  <Company/>
  <LinksUpToDate>false</LinksUpToDate>
  <CharactersWithSpaces>28104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Dilenschneider</dc:creator>
  <cp:keywords/>
  <dc:description/>
  <cp:lastModifiedBy>Alan Tam</cp:lastModifiedBy>
  <cp:revision>2</cp:revision>
  <dcterms:created xsi:type="dcterms:W3CDTF">2026-02-23T22:56:00Z</dcterms:created>
  <dcterms:modified xsi:type="dcterms:W3CDTF">2026-02-23T22:56:00Z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0x0101003090E9402F7E714D8E245DEBF3D5DD89</vt:lpwstr>
  </property>
  <property fmtid="{D5CDD505-2E9C-101B-9397-08002B2CF9AE}" pid="3" name="Order">
    <vt:r8>272100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GrammarlyDocumentId">
    <vt:lpwstr>c93e57d5-005e-4df6-babe-acd1c807b3a3</vt:lpwstr>
  </property>
  <property fmtid="{D5CDD505-2E9C-101B-9397-08002B2CF9AE}" pid="12" name="docLang">
    <vt:lpwstr>en</vt:lpwstr>
  </property>
</Properties>
</file>