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Department of Health and Human Services (HHS) Office of the National Coordinator for Health Information Technology (ONC) </w:t>
      </w:r>
    </w:p>
    <w:p w14:paraId="00000002" w14:textId="77777777" w:rsidR="007946C3" w:rsidRDefault="00000000">
      <w:p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Request for Information (RFI): Accelerating the Adoption and Use of Artificial Intelligence as Part of Clinical Care (Federal Register Doc. 2025-23641)</w:t>
      </w:r>
    </w:p>
    <w:p w14:paraId="00000003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Tayab Waseem MD PhD, Jefferson Lin JD, Dave Schoolcraft JD, Stephanie Simmons JD, on behalf of the Digital Health Counsel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</w:p>
    <w:p w14:paraId="00000004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Subject: The "Parallel Cognitive Record" and the Necessity of Privilege for Clinical AI Queries (Response to Questions 3 &amp; 9)</w:t>
      </w:r>
    </w:p>
    <w:p w14:paraId="00000005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the Coordinator:</w:t>
      </w:r>
    </w:p>
    <w:p w14:paraId="00000006" w14:textId="77777777" w:rsidR="007946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Digital Health Counsel (DHC) is a multidisciplinary collaboration among clinicians, technologists, legal experts, and policy professionals focused on the responsible development, deployment, and governance of digital health technologies. Our work centers on identifying real-world barriers to adoption, aligning innovation with patient safety, and ensuring that regulatory frameworks reflect how technology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used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clinical practice.</w:t>
      </w:r>
    </w:p>
    <w:p w14:paraId="00000007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write to urge the Department to address a critical, emerging liability vector that creates a massive, structural barrier to the safe adoption of AI in medicine: the creation of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"Parallel Cognitive Record."</w:t>
      </w:r>
    </w:p>
    <w:p w14:paraId="00000008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the RFI correctly identifies "liability" as a potential barrier for non-device AI (Question 3), current policy discussions often miss the granular reality of how this liability manifests in the daily workflow of a clinician. The risk is not merely that an AI tool might give a wrong answer; the risk is that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physician’s interaction with the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creates a discoverable, permanent record of their internal thought process. This includes their doubts, their differentials, and their double-checks, which can be weaponized in litigation.</w:t>
      </w:r>
    </w:p>
    <w:p w14:paraId="00000009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Defining the Problem: The Parallel Cognitive Record (Response to Question 3)</w:t>
      </w:r>
    </w:p>
    <w:p w14:paraId="0000000A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Historically, the physician’s progress note served as the definitive legal account of a clinical encounter. It is a "Performative Record", a sanitized, professional conclusion designed for communication and billing.</w:t>
      </w:r>
    </w:p>
    <w:p w14:paraId="0000000B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the rapid adoption of Large Language Models (LLMs) and decision-support tools (e.g.,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OpenEvidence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ChatGPT, UpToDate AI,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DoxGPT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has created a "Cognitive Record" which includes the raw, timestamped logs of the queries a doctor makes. Under current discovery rules, these logs are treated as standard Electronically Stored Information (ESI).</w:t>
      </w:r>
    </w:p>
    <w:p w14:paraId="0000000C" w14:textId="77777777" w:rsidR="007946C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creates a dangerous divergence between the official medical record and the digital exhaust of the physician's workflow. </w:t>
      </w:r>
      <w:r>
        <w:rPr>
          <w:rFonts w:ascii="Times New Roman" w:eastAsia="Times New Roman" w:hAnsi="Times New Roman" w:cs="Times New Roman"/>
          <w:color w:val="444746"/>
          <w:sz w:val="24"/>
          <w:szCs w:val="24"/>
        </w:rPr>
        <w:t xml:space="preserve">These logs present a foreseeable litigation risk that plaintiff attorneys may seek to use. </w:t>
      </w:r>
    </w:p>
    <w:p w14:paraId="0000000D" w14:textId="129696DD" w:rsidR="007946C3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Impeach Clinical Expertise: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a physician's prudent verification of basic facts ("What is the dosage for X?") as evidence of incompetence or lack of </w:t>
      </w:r>
      <w:r w:rsidR="004722FA">
        <w:rPr>
          <w:rFonts w:ascii="Times New Roman" w:eastAsia="Times New Roman" w:hAnsi="Times New Roman" w:cs="Times New Roman"/>
          <w:sz w:val="24"/>
          <w:szCs w:val="24"/>
        </w:rPr>
        <w:t>training.</w:t>
      </w:r>
    </w:p>
    <w:p w14:paraId="0000000E" w14:textId="7769F686" w:rsidR="007946C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Prove "Scienter" (Knowledge of Risk):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a physician's exploration of alternative treatments or "what-if" scenarios to prove they were subjectively aware of a risk that was not documented in the final note, elevating negligence claims to </w:t>
      </w:r>
      <w:r w:rsidR="004722FA">
        <w:rPr>
          <w:rFonts w:ascii="Times New Roman" w:eastAsia="Times New Roman" w:hAnsi="Times New Roman" w:cs="Times New Roman"/>
          <w:sz w:val="24"/>
          <w:szCs w:val="24"/>
        </w:rPr>
        <w:t>recklessness.</w:t>
      </w:r>
    </w:p>
    <w:p w14:paraId="0000000F" w14:textId="670F0D6E" w:rsidR="007946C3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Undermine Clinical Judgment: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Highlighting the timestamped gap between a query and a decision to suggest that the physician "shopped" for an answer that fit a desired outcome rather than following the patient's </w:t>
      </w:r>
      <w:r w:rsidR="004722FA">
        <w:rPr>
          <w:rFonts w:ascii="Times New Roman" w:eastAsia="Times New Roman" w:hAnsi="Times New Roman" w:cs="Times New Roman"/>
          <w:sz w:val="24"/>
          <w:szCs w:val="24"/>
        </w:rPr>
        <w:t>presentation.</w:t>
      </w:r>
    </w:p>
    <w:p w14:paraId="00000010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The Chilling Effect on Adoption (Response to Question 9)</w:t>
      </w:r>
    </w:p>
    <w:p w14:paraId="00000011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RFI asks what concerns exist regarding the adoption of AI. The examples above illustrate the primary barrier: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Radical Transparency creates Defensive Medicine.</w:t>
      </w:r>
    </w:p>
    <w:p w14:paraId="00000012" w14:textId="645B1AD5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physicians understand that every </w:t>
      </w:r>
      <w:r w:rsidR="004722FA">
        <w:rPr>
          <w:rFonts w:ascii="Times New Roman" w:eastAsia="Times New Roman" w:hAnsi="Times New Roman" w:cs="Times New Roman"/>
          <w:sz w:val="24"/>
          <w:szCs w:val="24"/>
        </w:rPr>
        <w:t>question,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they ask an AI tool (every admission of uncertainty) is being logged and can be subpoenaed to impeach their expertise,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they will stop asking questions.</w:t>
      </w:r>
    </w:p>
    <w:p w14:paraId="00000013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creates a perverse incentive structure:</w:t>
      </w:r>
    </w:p>
    <w:p w14:paraId="00000014" w14:textId="77777777" w:rsidR="007946C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Safe Behavior (for the Patient):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doctor uses AI to verify their knowledge, catching potential errors before they happen.</w:t>
      </w:r>
    </w:p>
    <w:p w14:paraId="00000015" w14:textId="77777777" w:rsidR="007946C3" w:rsidRDefault="00000000">
      <w:pPr>
        <w:numPr>
          <w:ilvl w:val="0"/>
          <w:numId w:val="2"/>
        </w:numPr>
        <w:spacing w:after="1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Safe Behavior (for the Doctor):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doctor relies solely on memory to avoid creating a digital paper trail of "doubt."</w:t>
      </w:r>
    </w:p>
    <w:p w14:paraId="00000016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cannot expect clinicians to embrace these powerful diagnostic aids while the responsible use of such tools– verifying clinical judgments through AI queries– simultaneously exposes them to heightened litigation risk.</w:t>
      </w:r>
    </w:p>
    <w:p w14:paraId="00000017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 Potential Solution: A Federal Standard of "Cognitive Privilege"</w:t>
      </w:r>
    </w:p>
    <w:p w14:paraId="00000018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accelerate the adoption of AI in clinical care, HHS must clarify that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clinical queries to AI decision-support tools constitute "Patient Safety Work Product" (PSWP).</w:t>
      </w:r>
    </w:p>
    <w:p w14:paraId="00000019" w14:textId="77777777" w:rsidR="007946C3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Just as hospital Morbidity &amp; Mortality conferences and Peer Review deliberations are privileged to encourage open discussion of errors,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query logs must be privileged to encourage the open verification of knowledge.</w:t>
      </w:r>
    </w:p>
    <w:p w14:paraId="0000001A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respectfully recommend that HHS, in coordination with the Agency for Healthcare Research and Quality (AHRQ), issue guidance clarifying that:</w:t>
      </w:r>
    </w:p>
    <w:p w14:paraId="0000001B" w14:textId="77777777" w:rsidR="007946C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Protective Scope: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Prompt histories generated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during the course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patient care are protected under the framework of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 Safety and Quality Improvement Act of 2005 (PSQIA)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C" w14:textId="77777777" w:rsidR="007946C3" w:rsidRDefault="00000000">
      <w:pPr>
        <w:numPr>
          <w:ilvl w:val="0"/>
          <w:numId w:val="3"/>
        </w:numPr>
        <w:spacing w:after="1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Limits: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These logs should be discoverable only in cases of criminal misconduct, not standard civil liability, mirroring the protections afforded to peer review files.</w:t>
      </w:r>
    </w:p>
    <w:p w14:paraId="0000001D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Without this "Cognitive Privilege," the adoption of AI will be stifled by fear of legal liability, and the potential for these tools to reduce diagnostic error will be impeded.</w:t>
      </w:r>
    </w:p>
    <w:p w14:paraId="0000001E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Respectfully,</w:t>
      </w:r>
    </w:p>
    <w:p w14:paraId="0000001F" w14:textId="77777777" w:rsidR="007946C3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Tayab Waseem MD PhD, Jefferson Lin JD, Dave Schoolcraft JD, Stephanie Simmons JD on behalf of the Digital Health Counsel. </w:t>
      </w:r>
    </w:p>
    <w:p w14:paraId="00000020" w14:textId="77777777" w:rsidR="007946C3" w:rsidRDefault="007946C3"/>
    <w:sectPr w:rsidR="007946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F0E4" w14:textId="77777777" w:rsidR="00963784" w:rsidRDefault="00963784">
      <w:pPr>
        <w:spacing w:line="240" w:lineRule="auto"/>
      </w:pPr>
      <w:r>
        <w:separator/>
      </w:r>
    </w:p>
  </w:endnote>
  <w:endnote w:type="continuationSeparator" w:id="0">
    <w:p w14:paraId="00CCB41E" w14:textId="77777777" w:rsidR="00963784" w:rsidRDefault="00963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3733D26-9BB2-AF47-A17A-A0D8D79D308B}"/>
    <w:embedBold r:id="rId2" w:fontKey="{402854EC-3DC6-964D-A017-BCB7849815EB}"/>
    <w:embedItalic r:id="rId3" w:fontKey="{199A4941-A5C7-1B40-8BE4-4FA3A500EA0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B401BD7D-214E-3040-9769-F618BCBD147B}"/>
    <w:embedItalic r:id="rId5" w:fontKey="{A3D8712B-6A7F-F141-BD45-201075B6BEC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77C848BD-12E0-4F48-883E-A705E19E0288}"/>
  </w:font>
  <w:font w:name="Cambria">
    <w:panose1 w:val="02040503050406030204"/>
    <w:charset w:val="00"/>
    <w:family w:val="roman"/>
    <w:notTrueType/>
    <w:pitch w:val="default"/>
    <w:embedRegular r:id="rId7" w:fontKey="{A49609A1-BF97-A449-BD54-C6AC119D2A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D4C6" w14:textId="77777777" w:rsidR="00963784" w:rsidRDefault="00963784">
      <w:pPr>
        <w:spacing w:line="240" w:lineRule="auto"/>
      </w:pPr>
      <w:r>
        <w:separator/>
      </w:r>
    </w:p>
  </w:footnote>
  <w:footnote w:type="continuationSeparator" w:id="0">
    <w:p w14:paraId="7D53CB7B" w14:textId="77777777" w:rsidR="00963784" w:rsidRDefault="00963784">
      <w:pPr>
        <w:spacing w:line="240" w:lineRule="auto"/>
      </w:pPr>
      <w:r>
        <w:continuationSeparator/>
      </w:r>
    </w:p>
  </w:footnote>
  <w:footnote w:id="1">
    <w:p w14:paraId="00000021" w14:textId="77777777" w:rsidR="007946C3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The Digital Health Counsel is a multidisciplinary collaboration among individuals with shared interest in digital health policy. Each signatory participates in their personal capacity only and not on behalf of any employer, client, or other institution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93899"/>
    <w:multiLevelType w:val="multilevel"/>
    <w:tmpl w:val="E5B4C7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B55EAB"/>
    <w:multiLevelType w:val="multilevel"/>
    <w:tmpl w:val="19D2D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0A27A7"/>
    <w:multiLevelType w:val="multilevel"/>
    <w:tmpl w:val="C0586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6017485">
    <w:abstractNumId w:val="2"/>
  </w:num>
  <w:num w:numId="2" w16cid:durableId="1699352289">
    <w:abstractNumId w:val="1"/>
  </w:num>
  <w:num w:numId="3" w16cid:durableId="201445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C3"/>
    <w:rsid w:val="004722FA"/>
    <w:rsid w:val="007946C3"/>
    <w:rsid w:val="00963784"/>
    <w:rsid w:val="00F3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39B8055-1DBB-5B41-9863-578F45C6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Waseem, Tayab Choudry</cp:lastModifiedBy>
  <cp:revision>2</cp:revision>
  <dcterms:created xsi:type="dcterms:W3CDTF">2026-02-24T03:00:00Z</dcterms:created>
  <dcterms:modified xsi:type="dcterms:W3CDTF">2026-02-24T03:01:00Z</dcterms:modified>
</cp:coreProperties>
</file>