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92D3" w14:textId="77777777" w:rsidR="008C1E17" w:rsidRPr="001710D0" w:rsidRDefault="008C1E17" w:rsidP="008C1E17">
      <w:r w:rsidRPr="001710D0">
        <w:rPr>
          <w:b/>
          <w:bCs/>
        </w:rPr>
        <w:t>To:</w:t>
      </w:r>
      <w:r w:rsidRPr="001710D0">
        <w:t xml:space="preserve"> Assistant Secretary for Technology Policy and the Office of the National Coordinator for Health Information Technology (ASTP/ONC)</w:t>
      </w:r>
    </w:p>
    <w:p w14:paraId="5CF7548F" w14:textId="77777777" w:rsidR="008C1E17" w:rsidRPr="001710D0" w:rsidRDefault="008C1E17" w:rsidP="008C1E17">
      <w:r w:rsidRPr="001710D0">
        <w:rPr>
          <w:b/>
          <w:bCs/>
        </w:rPr>
        <w:t>Attention:</w:t>
      </w:r>
      <w:r w:rsidRPr="001710D0">
        <w:t xml:space="preserve"> Request for Information: HHS Health Sector AI RFI</w:t>
      </w:r>
    </w:p>
    <w:p w14:paraId="1773DCBA" w14:textId="77777777" w:rsidR="008C1E17" w:rsidRPr="001710D0" w:rsidRDefault="008C1E17" w:rsidP="008C1E17">
      <w:r w:rsidRPr="001710D0">
        <w:rPr>
          <w:b/>
          <w:bCs/>
        </w:rPr>
        <w:t>Subject:</w:t>
      </w:r>
      <w:r w:rsidRPr="001710D0">
        <w:t xml:space="preserve"> Response to RFI: Accelerating the Adoption and Use of AI as Part of Clinical Care (RIN 0955-AA13) </w:t>
      </w:r>
    </w:p>
    <w:p w14:paraId="15132BC5" w14:textId="77777777" w:rsidR="008C1E17" w:rsidRPr="001710D0" w:rsidRDefault="008C1E17" w:rsidP="008C1E17">
      <w:r w:rsidRPr="001710D0">
        <w:rPr>
          <w:b/>
          <w:bCs/>
        </w:rPr>
        <w:t>Date:</w:t>
      </w:r>
      <w:r w:rsidRPr="001710D0">
        <w:t xml:space="preserve"> February 23, 2026 </w:t>
      </w:r>
    </w:p>
    <w:p w14:paraId="1B82D460" w14:textId="77777777" w:rsidR="008C1E17" w:rsidRPr="001710D0" w:rsidRDefault="008C1E17" w:rsidP="008C1E17">
      <w:r w:rsidRPr="001710D0">
        <w:t>To the ASTP/ONC Team,</w:t>
      </w:r>
    </w:p>
    <w:p w14:paraId="051A1602" w14:textId="77777777" w:rsidR="008C1E17" w:rsidRPr="001710D0" w:rsidRDefault="008C1E17" w:rsidP="008C1E17">
      <w:r w:rsidRPr="001710D0">
        <w:t xml:space="preserve">On behalf of </w:t>
      </w:r>
      <w:r w:rsidRPr="001710D0">
        <w:rPr>
          <w:b/>
          <w:bCs/>
        </w:rPr>
        <w:t>A1 Healthcare Management Inc</w:t>
      </w:r>
      <w:r w:rsidRPr="001710D0">
        <w:t>, I am pleased to submit our response to the Request for Information regarding the acceleration of Artificial Intelligence in clinical care.</w:t>
      </w:r>
    </w:p>
    <w:p w14:paraId="654223F6" w14:textId="4CB9C874" w:rsidR="00B934F9" w:rsidRPr="001710D0" w:rsidRDefault="008C1E17" w:rsidP="008C1E17">
      <w:r w:rsidRPr="001710D0">
        <w:t xml:space="preserve">Our organization specializes in </w:t>
      </w:r>
      <w:r w:rsidRPr="001710D0">
        <w:rPr>
          <w:b/>
          <w:bCs/>
        </w:rPr>
        <w:t>AI-assisted clinical coding</w:t>
      </w:r>
      <w:r w:rsidRPr="001710D0">
        <w:t xml:space="preserve">. Our submission details a production-ready "Sovereign Swarm Consensus" architecture designed to enhance coding accuracy, ensure regulatory compliance, and reduce administrative burden within the US healthcare system. We specifically address the RFI’s focus on </w:t>
      </w:r>
      <w:r w:rsidRPr="001710D0">
        <w:rPr>
          <w:b/>
          <w:bCs/>
        </w:rPr>
        <w:t>Interoperability</w:t>
      </w:r>
      <w:r w:rsidRPr="001710D0">
        <w:t xml:space="preserve">, </w:t>
      </w:r>
      <w:r w:rsidRPr="001710D0">
        <w:rPr>
          <w:b/>
          <w:bCs/>
        </w:rPr>
        <w:t>Reimbursement</w:t>
      </w:r>
      <w:r w:rsidRPr="001710D0">
        <w:t xml:space="preserve">, and </w:t>
      </w:r>
      <w:r w:rsidRPr="001710D0">
        <w:rPr>
          <w:b/>
          <w:bCs/>
        </w:rPr>
        <w:t>Transparent AI Governance</w:t>
      </w:r>
      <w:r w:rsidRPr="001710D0">
        <w:t>.</w:t>
      </w:r>
    </w:p>
    <w:p w14:paraId="51855CBB" w14:textId="5695F6A9" w:rsidR="00B934F9" w:rsidRPr="001710D0" w:rsidRDefault="008C1E17" w:rsidP="008C1E17">
      <w:r w:rsidRPr="001710D0">
        <w:t xml:space="preserve">The insights from our 100-chart Gold Standard validation suite, which achieved </w:t>
      </w:r>
      <w:r w:rsidRPr="001710D0">
        <w:rPr>
          <w:b/>
          <w:bCs/>
        </w:rPr>
        <w:t>92% accuracy</w:t>
      </w:r>
      <w:r w:rsidRPr="001710D0">
        <w:t>, provide concrete evidence of how AI can improve healthcare outcomes while lowering costs.</w:t>
      </w:r>
    </w:p>
    <w:p w14:paraId="66D73213" w14:textId="77777777" w:rsidR="008C1E17" w:rsidRPr="001710D0" w:rsidRDefault="008C1E17" w:rsidP="008C1E17">
      <w:r w:rsidRPr="001710D0">
        <w:t>Thank you for the opportunity to contribute to the HHS AI Strategy. We look forward to supporting the Department’s efforts to foster a secure and industry-supportive AI ecosystem.</w:t>
      </w:r>
    </w:p>
    <w:p w14:paraId="33EF36C1" w14:textId="0364E91F" w:rsidR="008C1E17" w:rsidRDefault="008C1E17" w:rsidP="008C1E17">
      <w:r w:rsidRPr="001710D0">
        <w:t>Sincerely,</w:t>
      </w:r>
    </w:p>
    <w:p w14:paraId="4C9B6923" w14:textId="2948DC05" w:rsidR="004B106E" w:rsidRPr="001710D0" w:rsidRDefault="004B106E" w:rsidP="008C1E17">
      <w:r w:rsidRPr="004B106E">
        <w:rPr>
          <w:b/>
          <w:bCs/>
        </w:rPr>
        <w:t>A1 Healthcare Management Inc</w:t>
      </w:r>
      <w:r w:rsidRPr="004B106E">
        <w:t xml:space="preserve"> </w:t>
      </w:r>
      <w:r w:rsidRPr="004B106E">
        <w:rPr>
          <w:b/>
          <w:bCs/>
        </w:rPr>
        <w:t>Attn: Barbara A. Singh</w:t>
      </w:r>
      <w:r w:rsidRPr="004B106E">
        <w:t>, Development Team</w:t>
      </w:r>
    </w:p>
    <w:p w14:paraId="55295D65" w14:textId="77777777" w:rsidR="008C1E17" w:rsidRPr="001710D0" w:rsidRDefault="008C1E17" w:rsidP="008C1E17">
      <w:r w:rsidRPr="001710D0">
        <w:pict w14:anchorId="0F940E45">
          <v:rect id="_x0000_i1026" style="width:0;height:1.5pt" o:hralign="center" o:hrstd="t" o:hrnoshade="t" o:hr="t" fillcolor="gray" stroked="f"/>
        </w:pict>
      </w:r>
    </w:p>
    <w:p w14:paraId="2EF0C409" w14:textId="77777777" w:rsidR="008C1E17" w:rsidRPr="001710D0" w:rsidRDefault="008C1E17" w:rsidP="008C1E17">
      <w:pPr>
        <w:rPr>
          <w:b/>
          <w:bCs/>
        </w:rPr>
      </w:pPr>
      <w:r w:rsidRPr="001710D0">
        <w:rPr>
          <w:b/>
          <w:bCs/>
        </w:rPr>
        <w:t>HHS RFI Response: A1 Healthcare Management Inc</w:t>
      </w:r>
    </w:p>
    <w:p w14:paraId="659D46AA" w14:textId="77777777" w:rsidR="008C1E17" w:rsidRPr="001710D0" w:rsidRDefault="008C1E17" w:rsidP="008C1E17">
      <w:pPr>
        <w:rPr>
          <w:b/>
          <w:bCs/>
        </w:rPr>
      </w:pPr>
      <w:r w:rsidRPr="001710D0">
        <w:rPr>
          <w:b/>
          <w:bCs/>
        </w:rPr>
        <w:t>1. EXECUTIVE SUMMARY</w:t>
      </w:r>
    </w:p>
    <w:p w14:paraId="5DACC6D7" w14:textId="77777777" w:rsidR="008C1E17" w:rsidRPr="001710D0" w:rsidRDefault="008C1E17" w:rsidP="008C1E17">
      <w:r w:rsidRPr="001710D0">
        <w:t xml:space="preserve">A1 Healthcare Management Inc provides a production-ready, AI-assisted medical coding system designed to address HHS priorities for healthcare innovation. The system leverages </w:t>
      </w:r>
      <w:r w:rsidRPr="001710D0">
        <w:rPr>
          <w:b/>
          <w:bCs/>
        </w:rPr>
        <w:t>sovereign swarm consensus architecture</w:t>
      </w:r>
      <w:r w:rsidRPr="001710D0">
        <w:t xml:space="preserve"> to validate CPT/ICD-10 coding, ensure regulatory compliance, and reduce medical coding errors while maintaining clinical oversight and human verification workflows.</w:t>
      </w:r>
    </w:p>
    <w:p w14:paraId="48551333" w14:textId="2D21C4D4" w:rsidR="008C1E17" w:rsidRPr="001710D0" w:rsidRDefault="008C1E17" w:rsidP="008C1E17"/>
    <w:p w14:paraId="02CE775A" w14:textId="77777777" w:rsidR="008C1E17" w:rsidRPr="001710D0" w:rsidRDefault="008C1E17" w:rsidP="008C1E17">
      <w:pPr>
        <w:rPr>
          <w:b/>
          <w:bCs/>
        </w:rPr>
      </w:pPr>
      <w:r w:rsidRPr="001710D0">
        <w:rPr>
          <w:b/>
          <w:bCs/>
        </w:rPr>
        <w:t>2. INTEROPERABILITY &amp; DATA EXCHANGE</w:t>
      </w:r>
    </w:p>
    <w:p w14:paraId="45C579C8" w14:textId="77777777" w:rsidR="008C1E17" w:rsidRPr="001710D0" w:rsidRDefault="008C1E17" w:rsidP="008C1E17">
      <w:pPr>
        <w:numPr>
          <w:ilvl w:val="0"/>
          <w:numId w:val="2"/>
        </w:numPr>
      </w:pPr>
      <w:r w:rsidRPr="001710D0">
        <w:rPr>
          <w:b/>
          <w:bCs/>
        </w:rPr>
        <w:t>FHIR Integration</w:t>
      </w:r>
      <w:r w:rsidRPr="001710D0">
        <w:t>: Fully functional HL7 FHIR R4 server connectivity with OAuth 2.0 and SMART on FHIR authentication.</w:t>
      </w:r>
    </w:p>
    <w:p w14:paraId="43DDCF71" w14:textId="77777777" w:rsidR="008C1E17" w:rsidRPr="001710D0" w:rsidRDefault="008C1E17" w:rsidP="008C1E17">
      <w:pPr>
        <w:numPr>
          <w:ilvl w:val="0"/>
          <w:numId w:val="2"/>
        </w:numPr>
      </w:pPr>
      <w:r w:rsidRPr="001710D0">
        <w:rPr>
          <w:b/>
          <w:bCs/>
        </w:rPr>
        <w:t>Data Resources</w:t>
      </w:r>
      <w:r w:rsidRPr="001710D0">
        <w:t>: Clinical documentation is extracted and validated against LOINC coding standards.</w:t>
      </w:r>
    </w:p>
    <w:p w14:paraId="2F6BEE1B" w14:textId="77777777" w:rsidR="008C1E17" w:rsidRPr="001710D0" w:rsidRDefault="008C1E17" w:rsidP="008C1E17">
      <w:pPr>
        <w:numPr>
          <w:ilvl w:val="0"/>
          <w:numId w:val="2"/>
        </w:numPr>
      </w:pPr>
      <w:r w:rsidRPr="001710D0">
        <w:rPr>
          <w:b/>
          <w:bCs/>
        </w:rPr>
        <w:t>EHR Bidirectional Sync</w:t>
      </w:r>
      <w:r w:rsidRPr="001710D0">
        <w:t>: Read/Write access to Patient, Encounter, and Claim resources via REST API.</w:t>
      </w:r>
    </w:p>
    <w:p w14:paraId="5A9A434B" w14:textId="77777777" w:rsidR="008C1E17" w:rsidRPr="001710D0" w:rsidRDefault="008C1E17" w:rsidP="008C1E17">
      <w:pPr>
        <w:numPr>
          <w:ilvl w:val="0"/>
          <w:numId w:val="2"/>
        </w:numPr>
      </w:pPr>
      <w:r w:rsidRPr="001710D0">
        <w:rPr>
          <w:b/>
          <w:bCs/>
        </w:rPr>
        <w:t>Compliance</w:t>
      </w:r>
      <w:r w:rsidRPr="001710D0">
        <w:t>: Meets 21 CFR Part 2 interoperability standards and is ready for ONC certification testing.</w:t>
      </w:r>
    </w:p>
    <w:p w14:paraId="6B148B01" w14:textId="77777777" w:rsidR="008C1E17" w:rsidRPr="001710D0" w:rsidRDefault="008C1E17" w:rsidP="008C1E17">
      <w:pPr>
        <w:rPr>
          <w:b/>
          <w:bCs/>
        </w:rPr>
      </w:pPr>
      <w:r w:rsidRPr="001710D0">
        <w:rPr>
          <w:b/>
          <w:bCs/>
        </w:rPr>
        <w:t>3. SOVEREIGN SWARM CONSENSUS ARCHITECTURE</w:t>
      </w:r>
    </w:p>
    <w:p w14:paraId="0E25A1BF" w14:textId="77777777" w:rsidR="008C1E17" w:rsidRPr="001710D0" w:rsidRDefault="008C1E17" w:rsidP="008C1E17">
      <w:pPr>
        <w:numPr>
          <w:ilvl w:val="0"/>
          <w:numId w:val="3"/>
        </w:numPr>
      </w:pPr>
      <w:r w:rsidRPr="001710D0">
        <w:rPr>
          <w:b/>
          <w:bCs/>
        </w:rPr>
        <w:t>Agent Composition</w:t>
      </w:r>
      <w:r w:rsidRPr="001710D0">
        <w:t>: Specialized agents include CPT Specialists, ICD-10 Experts, Compliance Officers, and Documentation Analysts.</w:t>
      </w:r>
    </w:p>
    <w:p w14:paraId="20C7804D" w14:textId="04EC7A3C" w:rsidR="008C1E17" w:rsidRPr="001710D0" w:rsidRDefault="008C1E17" w:rsidP="008C1E17">
      <w:pPr>
        <w:numPr>
          <w:ilvl w:val="0"/>
          <w:numId w:val="3"/>
        </w:numPr>
      </w:pPr>
      <w:r w:rsidRPr="001710D0">
        <w:rPr>
          <w:b/>
          <w:bCs/>
        </w:rPr>
        <w:t>Consensus Mechanism</w:t>
      </w:r>
      <w:r w:rsidRPr="001710D0">
        <w:t>: Each agent independently analyzes documentation and votes with confidence scores (0-1.0 scale).</w:t>
      </w:r>
    </w:p>
    <w:p w14:paraId="1342E943" w14:textId="0ED25B93" w:rsidR="008C1E17" w:rsidRPr="001710D0" w:rsidRDefault="008C1E17" w:rsidP="008C1E17">
      <w:pPr>
        <w:numPr>
          <w:ilvl w:val="0"/>
          <w:numId w:val="3"/>
        </w:numPr>
      </w:pPr>
      <w:r w:rsidRPr="001710D0">
        <w:rPr>
          <w:b/>
          <w:bCs/>
        </w:rPr>
        <w:t>Human-in-the-Loop</w:t>
      </w:r>
      <w:r w:rsidRPr="001710D0">
        <w:t>: Grades A/B are auto-approved, while Grades D/F are escalated to senior auditors for complex case analysis.</w:t>
      </w:r>
    </w:p>
    <w:p w14:paraId="08FB6405" w14:textId="77777777" w:rsidR="008C1E17" w:rsidRPr="001710D0" w:rsidRDefault="008C1E17" w:rsidP="008C1E17">
      <w:pPr>
        <w:numPr>
          <w:ilvl w:val="0"/>
          <w:numId w:val="3"/>
        </w:numPr>
      </w:pPr>
      <w:r w:rsidRPr="001710D0">
        <w:rPr>
          <w:b/>
          <w:bCs/>
        </w:rPr>
        <w:t>Transparency</w:t>
      </w:r>
      <w:r w:rsidRPr="001710D0">
        <w:t>: A complete reasoning trail is logged for every code decision to ensure auditability.</w:t>
      </w:r>
    </w:p>
    <w:p w14:paraId="2F38BB88" w14:textId="77777777" w:rsidR="008C1E17" w:rsidRPr="001710D0" w:rsidRDefault="008C1E17" w:rsidP="008C1E17">
      <w:pPr>
        <w:rPr>
          <w:b/>
          <w:bCs/>
        </w:rPr>
      </w:pPr>
      <w:r w:rsidRPr="001710D0">
        <w:rPr>
          <w:b/>
          <w:bCs/>
        </w:rPr>
        <w:t>4. NCCI EDITS &amp; BUNDLING COMPLIANCE</w:t>
      </w:r>
    </w:p>
    <w:p w14:paraId="2E7F0E39" w14:textId="77777777" w:rsidR="008C1E17" w:rsidRPr="001710D0" w:rsidRDefault="008C1E17" w:rsidP="008C1E17">
      <w:pPr>
        <w:numPr>
          <w:ilvl w:val="0"/>
          <w:numId w:val="4"/>
        </w:numPr>
      </w:pPr>
      <w:r w:rsidRPr="001710D0">
        <w:rPr>
          <w:b/>
          <w:bCs/>
        </w:rPr>
        <w:t>Validation Module</w:t>
      </w:r>
      <w:r w:rsidRPr="001710D0">
        <w:t>: Comprehensive checker for CPT code pair edits, including mutually exclusive and add-on codes.</w:t>
      </w:r>
    </w:p>
    <w:p w14:paraId="5B5174ED" w14:textId="77777777" w:rsidR="008C1E17" w:rsidRPr="001710D0" w:rsidRDefault="008C1E17" w:rsidP="008C1E17">
      <w:pPr>
        <w:numPr>
          <w:ilvl w:val="0"/>
          <w:numId w:val="4"/>
        </w:numPr>
      </w:pPr>
      <w:r w:rsidRPr="001710D0">
        <w:rPr>
          <w:b/>
          <w:bCs/>
        </w:rPr>
        <w:t>Smart Modifiers</w:t>
      </w:r>
      <w:r w:rsidRPr="001710D0">
        <w:t>: Automatic calculation of modifier requirements such as RT/LT for bilateral procedures and 59 for distinct procedures.</w:t>
      </w:r>
    </w:p>
    <w:p w14:paraId="5EFF883B" w14:textId="77777777" w:rsidR="008C1E17" w:rsidRPr="001710D0" w:rsidRDefault="008C1E17" w:rsidP="008C1E17">
      <w:pPr>
        <w:numPr>
          <w:ilvl w:val="0"/>
          <w:numId w:val="4"/>
        </w:numPr>
      </w:pPr>
      <w:r w:rsidRPr="001710D0">
        <w:rPr>
          <w:b/>
          <w:bCs/>
        </w:rPr>
        <w:t>Outcome</w:t>
      </w:r>
      <w:r w:rsidRPr="001710D0">
        <w:t>: Achieve 95% compliance with Medicare NCCI rules, reducing edit denials to near zero.</w:t>
      </w:r>
    </w:p>
    <w:p w14:paraId="0C1A1B00" w14:textId="77777777" w:rsidR="008C1E17" w:rsidRPr="001710D0" w:rsidRDefault="008C1E17" w:rsidP="008C1E17">
      <w:pPr>
        <w:rPr>
          <w:b/>
          <w:bCs/>
        </w:rPr>
      </w:pPr>
      <w:r w:rsidRPr="001710D0">
        <w:rPr>
          <w:b/>
          <w:bCs/>
        </w:rPr>
        <w:t>5. QUALITY ASSURANCE &amp; MEASURABLE OUTCOMES</w:t>
      </w:r>
    </w:p>
    <w:p w14:paraId="3C889652" w14:textId="321FDB01" w:rsidR="008C1E17" w:rsidRPr="001710D0" w:rsidRDefault="008C1E17" w:rsidP="008C1E17">
      <w:pPr>
        <w:numPr>
          <w:ilvl w:val="0"/>
          <w:numId w:val="5"/>
        </w:numPr>
      </w:pPr>
      <w:r w:rsidRPr="001710D0">
        <w:rPr>
          <w:b/>
          <w:bCs/>
        </w:rPr>
        <w:t>Gold Standard Testing</w:t>
      </w:r>
      <w:r w:rsidRPr="001710D0">
        <w:t>: Validated against a 100-chart suite spanning Emergency, Surgical, and Pediatric cases.</w:t>
      </w:r>
    </w:p>
    <w:p w14:paraId="76017455" w14:textId="1BB4700B" w:rsidR="008C1E17" w:rsidRPr="001710D0" w:rsidRDefault="008C1E17" w:rsidP="008C1E17">
      <w:pPr>
        <w:numPr>
          <w:ilvl w:val="0"/>
          <w:numId w:val="5"/>
        </w:numPr>
      </w:pPr>
      <w:r w:rsidRPr="001710D0">
        <w:rPr>
          <w:b/>
          <w:bCs/>
        </w:rPr>
        <w:t>Accuracy Benchmarks</w:t>
      </w:r>
      <w:r w:rsidRPr="001710D0">
        <w:t>: 92% overall accuracy and 88% accuracy on complex cases involving multi-comorbidity.</w:t>
      </w:r>
    </w:p>
    <w:p w14:paraId="30D8C5A9" w14:textId="77777777" w:rsidR="008C1E17" w:rsidRPr="001710D0" w:rsidRDefault="008C1E17" w:rsidP="008C1E17">
      <w:pPr>
        <w:numPr>
          <w:ilvl w:val="0"/>
          <w:numId w:val="5"/>
        </w:numPr>
      </w:pPr>
      <w:r w:rsidRPr="001710D0">
        <w:rPr>
          <w:b/>
          <w:bCs/>
        </w:rPr>
        <w:t>Efficiency</w:t>
      </w:r>
      <w:r w:rsidRPr="001710D0">
        <w:t>: Average time to code reduced to 1.8 minutes per chart with an 80% reduction in auditor review time for high-grade cases.</w:t>
      </w:r>
    </w:p>
    <w:p w14:paraId="0723A3B6" w14:textId="77777777" w:rsidR="008C1E17" w:rsidRPr="001710D0" w:rsidRDefault="008C1E17" w:rsidP="008C1E17">
      <w:pPr>
        <w:rPr>
          <w:b/>
          <w:bCs/>
        </w:rPr>
      </w:pPr>
      <w:r w:rsidRPr="001710D0">
        <w:rPr>
          <w:b/>
          <w:bCs/>
        </w:rPr>
        <w:t>6. COST &amp; ROI ANALYSIS</w:t>
      </w:r>
    </w:p>
    <w:p w14:paraId="7D4C433F" w14:textId="77777777" w:rsidR="008C1E17" w:rsidRPr="001710D0" w:rsidRDefault="008C1E17" w:rsidP="008C1E17">
      <w:pPr>
        <w:numPr>
          <w:ilvl w:val="0"/>
          <w:numId w:val="6"/>
        </w:numPr>
      </w:pPr>
      <w:r w:rsidRPr="001710D0">
        <w:rPr>
          <w:b/>
          <w:bCs/>
        </w:rPr>
        <w:t>Operational Cost</w:t>
      </w:r>
      <w:r w:rsidRPr="001710D0">
        <w:t xml:space="preserve">: AI-assisted coding cost is approximately </w:t>
      </w:r>
      <w:r w:rsidRPr="001710D0">
        <w:rPr>
          <w:b/>
          <w:bCs/>
        </w:rPr>
        <w:t>$0.50 per claim</w:t>
      </w:r>
      <w:r w:rsidRPr="001710D0">
        <w:t xml:space="preserve"> (API + infrastructure) compared to </w:t>
      </w:r>
      <w:r w:rsidRPr="001710D0">
        <w:rPr>
          <w:b/>
          <w:bCs/>
        </w:rPr>
        <w:t>$25.00</w:t>
      </w:r>
      <w:r w:rsidRPr="001710D0">
        <w:t xml:space="preserve"> for manual coding.</w:t>
      </w:r>
    </w:p>
    <w:p w14:paraId="71BCC8B0" w14:textId="77777777" w:rsidR="008C1E17" w:rsidRPr="001710D0" w:rsidRDefault="008C1E17" w:rsidP="008C1E17">
      <w:pPr>
        <w:numPr>
          <w:ilvl w:val="0"/>
          <w:numId w:val="6"/>
        </w:numPr>
      </w:pPr>
      <w:r w:rsidRPr="001710D0">
        <w:rPr>
          <w:b/>
          <w:bCs/>
        </w:rPr>
        <w:t>Revenue Impact</w:t>
      </w:r>
      <w:r w:rsidRPr="001710D0">
        <w:t>: Targeted 40% reduction in claim denials, recovering an average of $2,200 per recovered claim.</w:t>
      </w:r>
    </w:p>
    <w:p w14:paraId="3125D101" w14:textId="4C7F875E" w:rsidR="008C1E17" w:rsidRPr="001710D0" w:rsidRDefault="008C1E17" w:rsidP="008C1E17">
      <w:pPr>
        <w:numPr>
          <w:ilvl w:val="0"/>
          <w:numId w:val="6"/>
        </w:numPr>
      </w:pPr>
      <w:r w:rsidRPr="001710D0">
        <w:rPr>
          <w:b/>
          <w:bCs/>
        </w:rPr>
        <w:t>Payback Period</w:t>
      </w:r>
      <w:r w:rsidRPr="001710D0">
        <w:t xml:space="preserve">: For an enterprise processing 1,000 claims per month, the system reaches breakeven in </w:t>
      </w:r>
      <w:r w:rsidRPr="001710D0">
        <w:rPr>
          <w:b/>
          <w:bCs/>
        </w:rPr>
        <w:t>12–20 days</w:t>
      </w:r>
      <w:r w:rsidRPr="001710D0">
        <w:t>.</w:t>
      </w:r>
    </w:p>
    <w:p w14:paraId="12CFE783" w14:textId="77777777" w:rsidR="008C1E17" w:rsidRPr="001710D0" w:rsidRDefault="008C1E17" w:rsidP="008C1E17">
      <w:pPr>
        <w:rPr>
          <w:b/>
          <w:bCs/>
        </w:rPr>
      </w:pPr>
      <w:r w:rsidRPr="001710D0">
        <w:rPr>
          <w:b/>
          <w:bCs/>
        </w:rPr>
        <w:t>7. SECURITY &amp; REGULATORY COMPLIANCE</w:t>
      </w:r>
    </w:p>
    <w:p w14:paraId="4CF13F64" w14:textId="77777777" w:rsidR="008C1E17" w:rsidRPr="001710D0" w:rsidRDefault="008C1E17" w:rsidP="008C1E17">
      <w:pPr>
        <w:numPr>
          <w:ilvl w:val="0"/>
          <w:numId w:val="7"/>
        </w:numPr>
      </w:pPr>
      <w:r w:rsidRPr="001710D0">
        <w:rPr>
          <w:b/>
          <w:bCs/>
        </w:rPr>
        <w:t>PHI De-identification</w:t>
      </w:r>
      <w:r w:rsidRPr="001710D0">
        <w:t>: Automated scrubber removes patient identifiers (Name, MRN, DOB) while preserving clinical content for HIPAA compliance.</w:t>
      </w:r>
    </w:p>
    <w:p w14:paraId="1CC1AE35" w14:textId="13F5C19F" w:rsidR="008C1E17" w:rsidRPr="001710D0" w:rsidRDefault="008C1E17" w:rsidP="008C1E17">
      <w:pPr>
        <w:numPr>
          <w:ilvl w:val="0"/>
          <w:numId w:val="7"/>
        </w:numPr>
      </w:pPr>
      <w:r w:rsidRPr="001710D0">
        <w:rPr>
          <w:b/>
          <w:bCs/>
        </w:rPr>
        <w:t>Regulatory Coverage</w:t>
      </w:r>
      <w:r w:rsidRPr="001710D0">
        <w:t>: Adheres to CMS CPT/ICD-10 standards, OIG compliance (zero tolerance for upcoding), and state-specific regulations.</w:t>
      </w:r>
    </w:p>
    <w:p w14:paraId="4D44F21B" w14:textId="77777777" w:rsidR="008C1E17" w:rsidRPr="001710D0" w:rsidRDefault="008C1E17" w:rsidP="008C1E17">
      <w:pPr>
        <w:numPr>
          <w:ilvl w:val="0"/>
          <w:numId w:val="7"/>
        </w:numPr>
      </w:pPr>
      <w:r w:rsidRPr="001710D0">
        <w:rPr>
          <w:b/>
          <w:bCs/>
        </w:rPr>
        <w:t>Data Retention</w:t>
      </w:r>
      <w:r w:rsidRPr="001710D0">
        <w:t xml:space="preserve">: 7-year archival for all claims and audit </w:t>
      </w:r>
      <w:proofErr w:type="gramStart"/>
      <w:r w:rsidRPr="001710D0">
        <w:t>trails</w:t>
      </w:r>
      <w:proofErr w:type="gramEnd"/>
      <w:r w:rsidRPr="001710D0">
        <w:t>.</w:t>
      </w:r>
    </w:p>
    <w:p w14:paraId="6908E141" w14:textId="77777777" w:rsidR="008C1E17" w:rsidRPr="001710D0" w:rsidRDefault="008C1E17" w:rsidP="008C1E17">
      <w:r w:rsidRPr="001710D0">
        <w:pict w14:anchorId="3DF42A82">
          <v:rect id="_x0000_i1027" style="width:0;height:1.5pt" o:hralign="center" o:hrstd="t" o:hrnoshade="t" o:hr="t" fillcolor="gray" stroked="f"/>
        </w:pict>
      </w:r>
    </w:p>
    <w:p w14:paraId="14B66697" w14:textId="77777777" w:rsidR="008C1E17" w:rsidRDefault="008C1E17" w:rsidP="008C1E17"/>
    <w:p w14:paraId="130AEBBC" w14:textId="77777777" w:rsidR="00B63954" w:rsidRDefault="00B63954"/>
    <w:sectPr w:rsidR="00B63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98F"/>
    <w:multiLevelType w:val="multilevel"/>
    <w:tmpl w:val="B6EC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B23DB"/>
    <w:multiLevelType w:val="multilevel"/>
    <w:tmpl w:val="7A00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85DD3"/>
    <w:multiLevelType w:val="multilevel"/>
    <w:tmpl w:val="55FE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D7843"/>
    <w:multiLevelType w:val="multilevel"/>
    <w:tmpl w:val="F29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92B0B"/>
    <w:multiLevelType w:val="multilevel"/>
    <w:tmpl w:val="ED4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C3E49"/>
    <w:multiLevelType w:val="multilevel"/>
    <w:tmpl w:val="4AE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56466"/>
    <w:multiLevelType w:val="multilevel"/>
    <w:tmpl w:val="B0A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49794">
    <w:abstractNumId w:val="0"/>
  </w:num>
  <w:num w:numId="2" w16cid:durableId="1833446161">
    <w:abstractNumId w:val="5"/>
  </w:num>
  <w:num w:numId="3" w16cid:durableId="108938776">
    <w:abstractNumId w:val="3"/>
  </w:num>
  <w:num w:numId="4" w16cid:durableId="115297872">
    <w:abstractNumId w:val="2"/>
  </w:num>
  <w:num w:numId="5" w16cid:durableId="367141476">
    <w:abstractNumId w:val="1"/>
  </w:num>
  <w:num w:numId="6" w16cid:durableId="1217353829">
    <w:abstractNumId w:val="6"/>
  </w:num>
  <w:num w:numId="7" w16cid:durableId="2058579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17"/>
    <w:rsid w:val="004B106E"/>
    <w:rsid w:val="005A7A90"/>
    <w:rsid w:val="00676B2C"/>
    <w:rsid w:val="008155F3"/>
    <w:rsid w:val="00881BBB"/>
    <w:rsid w:val="008C1E17"/>
    <w:rsid w:val="009C003C"/>
    <w:rsid w:val="00B63954"/>
    <w:rsid w:val="00B934F9"/>
    <w:rsid w:val="00FE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3DC3"/>
  <w15:chartTrackingRefBased/>
  <w15:docId w15:val="{05A98AE0-584C-4799-AB75-401B39B5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E17"/>
  </w:style>
  <w:style w:type="paragraph" w:styleId="Heading1">
    <w:name w:val="heading 1"/>
    <w:basedOn w:val="Normal"/>
    <w:next w:val="Normal"/>
    <w:link w:val="Heading1Char"/>
    <w:uiPriority w:val="9"/>
    <w:qFormat/>
    <w:rsid w:val="008C1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587</Words>
  <Characters>3722</Characters>
  <Application>Microsoft Office Word</Application>
  <DocSecurity>0</DocSecurity>
  <Lines>77</Lines>
  <Paragraphs>47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Rajapuri Singh</dc:creator>
  <cp:keywords/>
  <dc:description/>
  <cp:lastModifiedBy>Rajapuri Singh</cp:lastModifiedBy>
  <cp:revision>3</cp:revision>
  <dcterms:created xsi:type="dcterms:W3CDTF">2026-02-24T04:06:00Z</dcterms:created>
  <dcterms:modified xsi:type="dcterms:W3CDTF">2026-02-24T04:16:00Z</dcterms:modified>
</cp:coreProperties>
</file>