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CMS-0042-NC – Comment Submission</w:t>
      </w:r>
    </w:p>
    <w:p>
      <w:r>
        <w:t>Submitted by: Kaline Remillard, LNHA, ALF Administrator</w:t>
      </w:r>
    </w:p>
    <w:p>
      <w:r>
        <w:t>Executive Director in Skilled Nursing and Post-Acute Care</w:t>
      </w:r>
    </w:p>
    <w:p/>
    <w:p>
      <w:pPr>
        <w:pStyle w:val="Heading1"/>
      </w:pPr>
      <w:r>
        <w:t>Comment Summary</w:t>
      </w:r>
    </w:p>
    <w:p>
      <w:r>
        <w:t>As a skilled nursing administrator overseeing a high-acuity, Medicaid-funded facility, I urge CMS to recognize the disconnect between value-based care design and the operational realities in post-acute settings. Our teams are essential to reducing readmissions, managing transitions, and improving outcomes, yet we are often excluded from strategic planning and under-resourced to meet performance expectations.</w:t>
      </w:r>
    </w:p>
    <w:p>
      <w:pPr>
        <w:pStyle w:val="Heading1"/>
      </w:pPr>
      <w:r>
        <w:t>1. Structural Barriers to Innovation in Skilled Nursing Facilities (SNFs)</w:t>
      </w:r>
    </w:p>
    <w:p>
      <w:r>
        <w:t>Current federal regulations were built for episodic, fee-for-service care. SNFs operate in a relationship-driven, highly variable environment where top-down mandates do not translate into consistent frontline execution.</w:t>
      </w:r>
    </w:p>
    <w:p>
      <w:r>
        <w:t>Barriers include:</w:t>
      </w:r>
    </w:p>
    <w:p>
      <w:pPr>
        <w:pStyle w:val="ListBullet"/>
      </w:pPr>
      <w:r>
        <w:t>- Medicaid reimbursement that limits investment in tech infrastructure</w:t>
      </w:r>
    </w:p>
    <w:p>
      <w:pPr>
        <w:pStyle w:val="ListBullet"/>
      </w:pPr>
      <w:r>
        <w:t>- Staff shortages and wage constraints that reduce bandwidth for innovation</w:t>
      </w:r>
    </w:p>
    <w:p>
      <w:pPr>
        <w:pStyle w:val="ListBullet"/>
      </w:pPr>
      <w:r>
        <w:t>- Lack of interoperability with hospital systems and care partners</w:t>
      </w:r>
    </w:p>
    <w:p>
      <w:pPr>
        <w:pStyle w:val="ListBullet"/>
      </w:pPr>
      <w:r>
        <w:t>- Manual, burdensome reporting requirements that take time away from care</w:t>
      </w:r>
    </w:p>
    <w:p>
      <w:pPr>
        <w:pStyle w:val="Heading1"/>
      </w:pPr>
      <w:r>
        <w:t>2. What CMS Can Do</w:t>
      </w:r>
    </w:p>
    <w:p>
      <w:pPr>
        <w:pStyle w:val="Heading2"/>
      </w:pPr>
      <w:r>
        <w:t>A. Build Interoperability Incentives for SNFs</w:t>
      </w:r>
    </w:p>
    <w:p>
      <w:r>
        <w:t>Include SNFs in future funding opportunities for EHR upgrades, real-time data sharing tools, and care coordination platforms. Interoperability cannot begin and end in the hospital setting.</w:t>
      </w:r>
    </w:p>
    <w:p>
      <w:pPr>
        <w:pStyle w:val="Heading2"/>
      </w:pPr>
      <w:r>
        <w:t>B. Align Metrics With Operational Reality</w:t>
      </w:r>
    </w:p>
    <w:p>
      <w:r>
        <w:t>Outcome expectations must account for social determinants, staff capacity, and resource limitations. If SNFs are to be held accountable for value-based outcomes, the tools and supports must match the demand.</w:t>
      </w:r>
    </w:p>
    <w:p>
      <w:pPr>
        <w:pStyle w:val="Heading2"/>
      </w:pPr>
      <w:r>
        <w:t>C. Include Post-Acute Stakeholders in Policy Design</w:t>
      </w:r>
    </w:p>
    <w:p>
      <w:r>
        <w:t>Invite SNF leaders, frontline clinicians, and post-acute partners into CMS advisory and pilot program design teams. No one can speak more clearly to implementation challenges than those operating under them daily.</w:t>
      </w:r>
    </w:p>
    <w:p>
      <w:pPr>
        <w:pStyle w:val="Heading2"/>
      </w:pPr>
      <w:r>
        <w:t>D. Streamline Compliance Without Diluting Accountability</w:t>
      </w:r>
    </w:p>
    <w:p>
      <w:r>
        <w:t>Reporting should serve improvement, not paperwork. Create regulatory flexibility that enables facilities to innovate without fearing noncompliance for reasonable variation.</w:t>
      </w:r>
    </w:p>
    <w:p>
      <w:pPr>
        <w:pStyle w:val="Heading1"/>
      </w:pPr>
      <w:r>
        <w:t>Conclusion</w:t>
      </w:r>
    </w:p>
    <w:p>
      <w:r>
        <w:t>Skilled nursing facilities are essential to value-based care success, especially in preventing avoidable hospitalizations, managing complex transitions, and supporting aging populations. We are ready to lead, but cannot do so without support, inclusion, and systems that reflect how we actually deliver care.</w:t>
      </w:r>
    </w:p>
    <w:p/>
    <w:p>
      <w:r>
        <w:t>Thank you for the opportunity to provide input.</w:t>
      </w:r>
    </w:p>
    <w:p/>
    <w:p>
      <w:r>
        <w:t>Sincerely,</w:t>
      </w:r>
    </w:p>
    <w:p>
      <w:r>
        <w:t>Kaline Remillard, LNHA, ALF Administrator</w:t>
      </w:r>
    </w:p>
    <w:p>
      <w:r>
        <w:t>Executive Director in Skilled Nursing and Post-Acute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