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47A49" w14:textId="77777777" w:rsidR="007D67F7" w:rsidRPr="007D67F7" w:rsidRDefault="007D67F7" w:rsidP="007D67F7">
      <w:r w:rsidRPr="007D67F7">
        <w:t>1. Digital Health Apps</w:t>
      </w:r>
    </w:p>
    <w:p w14:paraId="0CD431B7" w14:textId="1EF5AB28" w:rsidR="007D67F7" w:rsidRDefault="007D67F7" w:rsidP="007D67F7">
      <w:r w:rsidRPr="007D67F7">
        <w:t>PR-1. What can CMS and its partners do to encourage providers, including those in rural areas, to leverage approved (see description in PC-5) digital health products for their patients?</w:t>
      </w:r>
    </w:p>
    <w:p w14:paraId="60221883" w14:textId="59C5E8D7" w:rsidR="007D67F7" w:rsidRPr="007D67F7" w:rsidRDefault="007D67F7" w:rsidP="007D67F7">
      <w:pPr>
        <w:rPr>
          <w:i/>
          <w:iCs/>
        </w:rPr>
      </w:pPr>
      <w:r w:rsidRPr="007D67F7">
        <w:rPr>
          <w:i/>
          <w:iCs/>
        </w:rPr>
        <w:t xml:space="preserve">So many people in rural areas do not have access to PCs, many do not even have cell coverage and do not use cell phones. Home health should be empowered to be able to make skilled visits to these patients; empowering them to provide timely and quality care by reducing the amount of paperwork that CMS currently requires in the OASIS documentation. </w:t>
      </w:r>
    </w:p>
    <w:p w14:paraId="4384023C" w14:textId="76AABFBE" w:rsidR="007D67F7" w:rsidRDefault="007D67F7" w:rsidP="007D67F7">
      <w:pPr>
        <w:pStyle w:val="ListParagraph"/>
        <w:numPr>
          <w:ilvl w:val="0"/>
          <w:numId w:val="1"/>
        </w:numPr>
      </w:pPr>
      <w:r w:rsidRPr="007D67F7">
        <w:t>What are the current obstacles?</w:t>
      </w:r>
    </w:p>
    <w:p w14:paraId="2B783DF9" w14:textId="186EDDB3" w:rsidR="007D67F7" w:rsidRPr="007D67F7" w:rsidRDefault="007D67F7" w:rsidP="007D67F7">
      <w:pPr>
        <w:rPr>
          <w:i/>
          <w:iCs/>
        </w:rPr>
      </w:pPr>
      <w:r>
        <w:rPr>
          <w:i/>
          <w:iCs/>
        </w:rPr>
        <w:t xml:space="preserve">Lack of technology in the home or surrounding area, as mentioned above. </w:t>
      </w:r>
    </w:p>
    <w:p w14:paraId="3EEE4283" w14:textId="77777777" w:rsidR="007D67F7" w:rsidRPr="007D67F7" w:rsidRDefault="007D67F7" w:rsidP="007D67F7">
      <w:r w:rsidRPr="007D67F7">
        <w:t>PR-3. How important is it for healthcare delivery and interoperability in urban and rural areas that all data in an EHR system be accessible for exchange, regardless of storage format (for example, scanned documents, faxed records, lab results, free text notes, structured data fields)? Please address all of the following:</w:t>
      </w:r>
    </w:p>
    <w:p w14:paraId="557A7940" w14:textId="0C90DC9A" w:rsidR="007D67F7" w:rsidRDefault="007D67F7" w:rsidP="007D67F7">
      <w:pPr>
        <w:pStyle w:val="ListParagraph"/>
        <w:numPr>
          <w:ilvl w:val="0"/>
          <w:numId w:val="2"/>
        </w:numPr>
      </w:pPr>
      <w:r w:rsidRPr="007D67F7">
        <w:t>Current challenges in accessing different data formats.</w:t>
      </w:r>
    </w:p>
    <w:p w14:paraId="432F670B" w14:textId="22449655" w:rsidR="007D67F7" w:rsidRPr="007D67F7" w:rsidRDefault="007D67F7" w:rsidP="007D67F7">
      <w:pPr>
        <w:rPr>
          <w:i/>
          <w:iCs/>
        </w:rPr>
      </w:pPr>
      <w:r>
        <w:rPr>
          <w:i/>
          <w:iCs/>
        </w:rPr>
        <w:t xml:space="preserve">Providers using different EHRs that do not interface with one another. </w:t>
      </w:r>
      <w:r w:rsidR="005A4F81">
        <w:rPr>
          <w:i/>
          <w:iCs/>
        </w:rPr>
        <w:t xml:space="preserve">For example, we have limited access or not access to some of the hospital/health care systems that provide us referrals. </w:t>
      </w:r>
    </w:p>
    <w:p w14:paraId="568A6809" w14:textId="6FDA7517" w:rsidR="007D67F7" w:rsidRDefault="007D67F7" w:rsidP="005A4F81">
      <w:pPr>
        <w:pStyle w:val="ListParagraph"/>
        <w:numPr>
          <w:ilvl w:val="0"/>
          <w:numId w:val="2"/>
        </w:numPr>
      </w:pPr>
      <w:r w:rsidRPr="007D67F7">
        <w:t>Impact on patient care quality.</w:t>
      </w:r>
    </w:p>
    <w:p w14:paraId="2F33C35C" w14:textId="499E0FEB" w:rsidR="005A4F81" w:rsidRPr="005A4F81" w:rsidRDefault="005A4F81" w:rsidP="005A4F81">
      <w:pPr>
        <w:rPr>
          <w:i/>
          <w:iCs/>
        </w:rPr>
      </w:pPr>
      <w:r>
        <w:rPr>
          <w:i/>
          <w:iCs/>
        </w:rPr>
        <w:t>The medical history of a patient is not accessible</w:t>
      </w:r>
      <w:r w:rsidR="00285299">
        <w:rPr>
          <w:i/>
          <w:iCs/>
        </w:rPr>
        <w:t xml:space="preserve"> and continuity of care is compromised.</w:t>
      </w:r>
    </w:p>
    <w:p w14:paraId="472D7117" w14:textId="77777777" w:rsidR="007D67F7" w:rsidRDefault="007D67F7" w:rsidP="007D67F7">
      <w:r w:rsidRPr="007D67F7">
        <w:t>d. Cost or privacy implications of making all data formats interoperable.</w:t>
      </w:r>
    </w:p>
    <w:p w14:paraId="4B41142E" w14:textId="0F7A094C" w:rsidR="00285299" w:rsidRPr="00285299" w:rsidRDefault="00285299" w:rsidP="007D67F7">
      <w:pPr>
        <w:rPr>
          <w:i/>
          <w:iCs/>
        </w:rPr>
      </w:pPr>
      <w:r>
        <w:rPr>
          <w:i/>
          <w:iCs/>
        </w:rPr>
        <w:t>Potential HIPAA violation if patient has not given consent</w:t>
      </w:r>
    </w:p>
    <w:p w14:paraId="191AC812" w14:textId="77777777" w:rsidR="007D67F7" w:rsidRPr="007D67F7" w:rsidRDefault="007D67F7" w:rsidP="007D67F7">
      <w:r w:rsidRPr="007D67F7">
        <w:t>PR-4. What changes or improvements to standards or policies might be needed for patients' third-party digital products to have access to administrative workflows, such as auto-populating intake forms, viewing provider information and schedules, and making and modifying an appointment?</w:t>
      </w:r>
    </w:p>
    <w:p w14:paraId="337A27DE" w14:textId="77777777" w:rsidR="007D67F7" w:rsidRPr="007D67F7" w:rsidRDefault="007D67F7" w:rsidP="007D67F7">
      <w:r w:rsidRPr="007D67F7">
        <w:t>2. Data Exchange</w:t>
      </w:r>
    </w:p>
    <w:p w14:paraId="70583481" w14:textId="77777777" w:rsidR="007D67F7" w:rsidRPr="007D67F7" w:rsidRDefault="007D67F7" w:rsidP="007D67F7">
      <w:r w:rsidRPr="007D67F7">
        <w:t>PR-5. Which of the following FHIR APIs and capabilities do you already support or utilize in your provider organization's systems, directly or through an intermediary? For each, describe the transaction model, use case, whether you use individual queries or bulk transactions, and any constraints:</w:t>
      </w:r>
    </w:p>
    <w:p w14:paraId="02E3364C" w14:textId="77777777" w:rsidR="007D67F7" w:rsidRPr="007D67F7" w:rsidRDefault="007D67F7" w:rsidP="007D67F7">
      <w:r w:rsidRPr="007D67F7">
        <w:t>a. Patient Access API.</w:t>
      </w:r>
    </w:p>
    <w:p w14:paraId="21364962" w14:textId="77777777" w:rsidR="007D67F7" w:rsidRDefault="007D67F7" w:rsidP="007D67F7">
      <w:r w:rsidRPr="007D67F7">
        <w:lastRenderedPageBreak/>
        <w:t>PR-7. What strategies can CMS implement to support providers in making high-quality, timely, and comprehensive healthcare data available for interoperability in the digital product ecosystem? How can the burden of increasing data availability and sharing be mitigated for providers? Are there ways that workflows or metrics that providers are already motivated to optimize for that could be reused for, or combined with, efforts needed to support interoperability?</w:t>
      </w:r>
    </w:p>
    <w:p w14:paraId="7FA76785" w14:textId="00604CDB" w:rsidR="00285299" w:rsidRPr="00285299" w:rsidRDefault="00285299" w:rsidP="007D67F7">
      <w:pPr>
        <w:rPr>
          <w:i/>
          <w:iCs/>
        </w:rPr>
      </w:pPr>
      <w:r>
        <w:rPr>
          <w:i/>
          <w:iCs/>
        </w:rPr>
        <w:t>For Home Health, the comprehensive assessment (OASIS) needs to become more meaningful first – sharing the current assessment with the patient’s provider would be overload and not appreciated by the physician or approved provider. The current assessment is redundant and excessive.</w:t>
      </w:r>
    </w:p>
    <w:p w14:paraId="3AA9F03F" w14:textId="77777777" w:rsidR="007D67F7" w:rsidRDefault="007D67F7" w:rsidP="007D67F7">
      <w:r w:rsidRPr="007D67F7">
        <w:t xml:space="preserve">PR-8. What </w:t>
      </w:r>
      <w:proofErr w:type="gramStart"/>
      <w:r w:rsidRPr="007D67F7">
        <w:t>are</w:t>
      </w:r>
      <w:proofErr w:type="gramEnd"/>
      <w:r w:rsidRPr="007D67F7">
        <w:t xml:space="preserve"> ways CMS or partners can help with simplifying clinical quality data responsibilities of providers?</w:t>
      </w:r>
    </w:p>
    <w:p w14:paraId="54799EA9" w14:textId="0B10BBB9" w:rsidR="007D67F7" w:rsidRPr="00285299" w:rsidRDefault="00285299" w:rsidP="007D67F7">
      <w:pPr>
        <w:rPr>
          <w:i/>
          <w:iCs/>
        </w:rPr>
      </w:pPr>
      <w:r>
        <w:rPr>
          <w:i/>
          <w:iCs/>
        </w:rPr>
        <w:t xml:space="preserve">For Home Health – reducing the OASIS assessment to only meaningful data without duplication. Currently, there are 110 questions and only a handful of those questions are truly descriptive of the patient’s condition or situation. </w:t>
      </w:r>
      <w:r w:rsidR="007D67F7" w:rsidRPr="007D67F7">
        <w:t>b. In what ways can the interoperability and quality reporting responsibilities of providers be consolidated so investments can be dually purposed?</w:t>
      </w:r>
    </w:p>
    <w:p w14:paraId="379D828E" w14:textId="77777777" w:rsidR="00AD437F" w:rsidRDefault="00AD437F"/>
    <w:sectPr w:rsidR="00AD437F">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D046F" w14:textId="77777777" w:rsidR="00276943" w:rsidRDefault="00276943" w:rsidP="00094986">
      <w:pPr>
        <w:spacing w:after="0" w:line="240" w:lineRule="auto"/>
      </w:pPr>
      <w:r>
        <w:separator/>
      </w:r>
    </w:p>
  </w:endnote>
  <w:endnote w:type="continuationSeparator" w:id="0">
    <w:p w14:paraId="15910474" w14:textId="77777777" w:rsidR="00276943" w:rsidRDefault="00276943" w:rsidP="000949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66B41" w14:textId="77777777" w:rsidR="00094986" w:rsidRDefault="000949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5001" w14:textId="77777777" w:rsidR="00094986" w:rsidRDefault="0009498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536D4" w14:textId="77777777" w:rsidR="00094986" w:rsidRDefault="000949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79D16" w14:textId="77777777" w:rsidR="00276943" w:rsidRDefault="00276943" w:rsidP="00094986">
      <w:pPr>
        <w:spacing w:after="0" w:line="240" w:lineRule="auto"/>
      </w:pPr>
      <w:r>
        <w:separator/>
      </w:r>
    </w:p>
  </w:footnote>
  <w:footnote w:type="continuationSeparator" w:id="0">
    <w:p w14:paraId="321CF2BE" w14:textId="77777777" w:rsidR="00276943" w:rsidRDefault="00276943" w:rsidP="000949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F2F3C" w14:textId="77777777" w:rsidR="00094986" w:rsidRDefault="0009498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5EAE7" w14:textId="454FD8F1" w:rsidR="00094986" w:rsidRPr="00094986" w:rsidRDefault="00094986" w:rsidP="00094986">
    <w:pPr>
      <w:pStyle w:val="Header"/>
      <w:jc w:val="center"/>
      <w:rPr>
        <w:b/>
        <w:bCs/>
      </w:rPr>
    </w:pPr>
    <w:r>
      <w:rPr>
        <w:b/>
        <w:bCs/>
      </w:rPr>
      <w:t>REQUEST FOR INFORMATION:  HEALTH TECHNOLOGY ECOSYSTEM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38EB4" w14:textId="77777777" w:rsidR="00094986" w:rsidRDefault="000949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C58A1"/>
    <w:multiLevelType w:val="hybridMultilevel"/>
    <w:tmpl w:val="2D9410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0361B80"/>
    <w:multiLevelType w:val="hybridMultilevel"/>
    <w:tmpl w:val="470058AC"/>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8456323">
    <w:abstractNumId w:val="0"/>
  </w:num>
  <w:num w:numId="2" w16cid:durableId="660009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7F7"/>
    <w:rsid w:val="000538E7"/>
    <w:rsid w:val="00094986"/>
    <w:rsid w:val="00260DD0"/>
    <w:rsid w:val="00276943"/>
    <w:rsid w:val="00285299"/>
    <w:rsid w:val="00362010"/>
    <w:rsid w:val="005A4F81"/>
    <w:rsid w:val="007D67F7"/>
    <w:rsid w:val="00AD437F"/>
    <w:rsid w:val="00B17D84"/>
    <w:rsid w:val="00EB1DE1"/>
    <w:rsid w:val="00F1652B"/>
    <w:rsid w:val="00FC2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C2D7C"/>
  <w15:chartTrackingRefBased/>
  <w15:docId w15:val="{AB8B514D-E4E3-4A4E-9453-88ACD42E6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67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67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67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67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67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67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67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67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67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67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67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67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67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67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67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67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67F7"/>
    <w:rPr>
      <w:rFonts w:eastAsiaTheme="majorEastAsia" w:cstheme="majorBidi"/>
      <w:color w:val="272727" w:themeColor="text1" w:themeTint="D8"/>
    </w:rPr>
  </w:style>
  <w:style w:type="paragraph" w:styleId="Title">
    <w:name w:val="Title"/>
    <w:basedOn w:val="Normal"/>
    <w:next w:val="Normal"/>
    <w:link w:val="TitleChar"/>
    <w:uiPriority w:val="10"/>
    <w:qFormat/>
    <w:rsid w:val="007D67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67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67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67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67F7"/>
    <w:pPr>
      <w:spacing w:before="160"/>
      <w:jc w:val="center"/>
    </w:pPr>
    <w:rPr>
      <w:i/>
      <w:iCs/>
      <w:color w:val="404040" w:themeColor="text1" w:themeTint="BF"/>
    </w:rPr>
  </w:style>
  <w:style w:type="character" w:customStyle="1" w:styleId="QuoteChar">
    <w:name w:val="Quote Char"/>
    <w:basedOn w:val="DefaultParagraphFont"/>
    <w:link w:val="Quote"/>
    <w:uiPriority w:val="29"/>
    <w:rsid w:val="007D67F7"/>
    <w:rPr>
      <w:i/>
      <w:iCs/>
      <w:color w:val="404040" w:themeColor="text1" w:themeTint="BF"/>
    </w:rPr>
  </w:style>
  <w:style w:type="paragraph" w:styleId="ListParagraph">
    <w:name w:val="List Paragraph"/>
    <w:basedOn w:val="Normal"/>
    <w:uiPriority w:val="34"/>
    <w:qFormat/>
    <w:rsid w:val="007D67F7"/>
    <w:pPr>
      <w:ind w:left="720"/>
      <w:contextualSpacing/>
    </w:pPr>
  </w:style>
  <w:style w:type="character" w:styleId="IntenseEmphasis">
    <w:name w:val="Intense Emphasis"/>
    <w:basedOn w:val="DefaultParagraphFont"/>
    <w:uiPriority w:val="21"/>
    <w:qFormat/>
    <w:rsid w:val="007D67F7"/>
    <w:rPr>
      <w:i/>
      <w:iCs/>
      <w:color w:val="2F5496" w:themeColor="accent1" w:themeShade="BF"/>
    </w:rPr>
  </w:style>
  <w:style w:type="paragraph" w:styleId="IntenseQuote">
    <w:name w:val="Intense Quote"/>
    <w:basedOn w:val="Normal"/>
    <w:next w:val="Normal"/>
    <w:link w:val="IntenseQuoteChar"/>
    <w:uiPriority w:val="30"/>
    <w:qFormat/>
    <w:rsid w:val="007D67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67F7"/>
    <w:rPr>
      <w:i/>
      <w:iCs/>
      <w:color w:val="2F5496" w:themeColor="accent1" w:themeShade="BF"/>
    </w:rPr>
  </w:style>
  <w:style w:type="character" w:styleId="IntenseReference">
    <w:name w:val="Intense Reference"/>
    <w:basedOn w:val="DefaultParagraphFont"/>
    <w:uiPriority w:val="32"/>
    <w:qFormat/>
    <w:rsid w:val="007D67F7"/>
    <w:rPr>
      <w:b/>
      <w:bCs/>
      <w:smallCaps/>
      <w:color w:val="2F5496" w:themeColor="accent1" w:themeShade="BF"/>
      <w:spacing w:val="5"/>
    </w:rPr>
  </w:style>
  <w:style w:type="paragraph" w:styleId="Header">
    <w:name w:val="header"/>
    <w:basedOn w:val="Normal"/>
    <w:link w:val="HeaderChar"/>
    <w:uiPriority w:val="99"/>
    <w:unhideWhenUsed/>
    <w:rsid w:val="000949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4986"/>
  </w:style>
  <w:style w:type="paragraph" w:styleId="Footer">
    <w:name w:val="footer"/>
    <w:basedOn w:val="Normal"/>
    <w:link w:val="FooterChar"/>
    <w:uiPriority w:val="99"/>
    <w:unhideWhenUsed/>
    <w:rsid w:val="000949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49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039179">
      <w:bodyDiv w:val="1"/>
      <w:marLeft w:val="0"/>
      <w:marRight w:val="0"/>
      <w:marTop w:val="0"/>
      <w:marBottom w:val="0"/>
      <w:divBdr>
        <w:top w:val="none" w:sz="0" w:space="0" w:color="auto"/>
        <w:left w:val="none" w:sz="0" w:space="0" w:color="auto"/>
        <w:bottom w:val="none" w:sz="0" w:space="0" w:color="auto"/>
        <w:right w:val="none" w:sz="0" w:space="0" w:color="auto"/>
      </w:divBdr>
    </w:div>
    <w:div w:id="8580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500</Words>
  <Characters>2855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 Crandall</dc:creator>
  <cp:keywords/>
  <dc:description/>
  <cp:lastModifiedBy>Susan Crandall</cp:lastModifiedBy>
  <cp:revision>2</cp:revision>
  <dcterms:created xsi:type="dcterms:W3CDTF">2025-05-21T17:41:00Z</dcterms:created>
  <dcterms:modified xsi:type="dcterms:W3CDTF">2025-05-21T17:41:00Z</dcterms:modified>
</cp:coreProperties>
</file>