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2F40" w14:textId="77777777" w:rsidR="00FF3337" w:rsidRDefault="00FF3337" w:rsidP="00FF3337">
      <w:pPr>
        <w:spacing w:before="100" w:beforeAutospacing="1" w:after="100" w:afterAutospacing="1" w:line="240" w:lineRule="auto"/>
        <w:rPr>
          <w:rFonts w:ascii="Times New Roman" w:eastAsia="Times New Roman" w:hAnsi="Times New Roman" w:cs="Times New Roman"/>
          <w:b/>
          <w:bCs/>
          <w:kern w:val="0"/>
          <w14:ligatures w14:val="none"/>
        </w:rPr>
      </w:pPr>
      <w:r w:rsidRPr="003679E6">
        <w:rPr>
          <w:rFonts w:ascii="Times New Roman" w:eastAsia="Times New Roman" w:hAnsi="Times New Roman" w:cs="Times New Roman"/>
          <w:b/>
          <w:bCs/>
          <w:kern w:val="0"/>
          <w14:ligatures w14:val="none"/>
        </w:rPr>
        <w:t>RE: Comments on CMS/CMMI Strategic Vision — “Make America Healthy Again”</w:t>
      </w:r>
      <w:r>
        <w:rPr>
          <w:rFonts w:ascii="Times New Roman" w:eastAsia="Times New Roman" w:hAnsi="Times New Roman" w:cs="Times New Roman"/>
          <w:b/>
          <w:bCs/>
          <w:kern w:val="0"/>
          <w14:ligatures w14:val="none"/>
        </w:rPr>
        <w:t xml:space="preserve"> </w:t>
      </w:r>
    </w:p>
    <w:p w14:paraId="28D59792"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t>CMS-0042-NC</w:t>
      </w:r>
    </w:p>
    <w:p w14:paraId="25249668"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 xml:space="preserve">As an independent practicing physician and former board member of the Independent Physician Association of America, I commend CMS and the Center for Medicare and Medicaid Innovation (CMMI) for the release of your visionary strategy, </w:t>
      </w:r>
      <w:r w:rsidRPr="003679E6">
        <w:rPr>
          <w:rFonts w:ascii="Times New Roman" w:eastAsia="Times New Roman" w:hAnsi="Times New Roman" w:cs="Times New Roman"/>
          <w:i/>
          <w:iCs/>
          <w:kern w:val="0"/>
          <w14:ligatures w14:val="none"/>
        </w:rPr>
        <w:t>“Make America Healthy Again.”</w:t>
      </w:r>
      <w:r w:rsidRPr="003679E6">
        <w:rPr>
          <w:rFonts w:ascii="Times New Roman" w:eastAsia="Times New Roman" w:hAnsi="Times New Roman" w:cs="Times New Roman"/>
          <w:kern w:val="0"/>
          <w14:ligatures w14:val="none"/>
        </w:rPr>
        <w:t xml:space="preserve"> This framework—grounded in prevention, patient empowerment, and choice—represents a critical inflection point in transforming healthcare delivery and payment models across the nation.</w:t>
      </w:r>
    </w:p>
    <w:p w14:paraId="07AAC982"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 xml:space="preserve">Digital innovation will be essential to actualize your three strategic pillars. The first two—promoting evidence-based </w:t>
      </w:r>
      <w:r>
        <w:rPr>
          <w:rFonts w:ascii="Times New Roman" w:eastAsia="Times New Roman" w:hAnsi="Times New Roman" w:cs="Times New Roman"/>
          <w:kern w:val="0"/>
          <w14:ligatures w14:val="none"/>
        </w:rPr>
        <w:t xml:space="preserve">protocols for </w:t>
      </w:r>
      <w:r w:rsidRPr="003679E6">
        <w:rPr>
          <w:rFonts w:ascii="Times New Roman" w:eastAsia="Times New Roman" w:hAnsi="Times New Roman" w:cs="Times New Roman"/>
          <w:kern w:val="0"/>
          <w14:ligatures w14:val="none"/>
        </w:rPr>
        <w:t>prevention</w:t>
      </w:r>
      <w:r>
        <w:rPr>
          <w:rFonts w:ascii="Times New Roman" w:eastAsia="Times New Roman" w:hAnsi="Times New Roman" w:cs="Times New Roman"/>
          <w:kern w:val="0"/>
          <w14:ligatures w14:val="none"/>
        </w:rPr>
        <w:t xml:space="preserve"> and wellness along with </w:t>
      </w:r>
      <w:r w:rsidRPr="003679E6">
        <w:rPr>
          <w:rFonts w:ascii="Times New Roman" w:eastAsia="Times New Roman" w:hAnsi="Times New Roman" w:cs="Times New Roman"/>
          <w:kern w:val="0"/>
          <w14:ligatures w14:val="none"/>
        </w:rPr>
        <w:t xml:space="preserve">empowering individuals to achieve their health goals—depend upon building a complete longitudinal health record for every patient. This record is foundational to unlocking the full potential </w:t>
      </w:r>
      <w:r>
        <w:rPr>
          <w:rFonts w:ascii="Times New Roman" w:eastAsia="Times New Roman" w:hAnsi="Times New Roman" w:cs="Times New Roman"/>
          <w:kern w:val="0"/>
          <w14:ligatures w14:val="none"/>
        </w:rPr>
        <w:t>of digital innovation with</w:t>
      </w:r>
      <w:r w:rsidRPr="003679E6">
        <w:rPr>
          <w:rFonts w:ascii="Times New Roman" w:eastAsia="Times New Roman" w:hAnsi="Times New Roman" w:cs="Times New Roman"/>
          <w:kern w:val="0"/>
          <w14:ligatures w14:val="none"/>
        </w:rPr>
        <w:t xml:space="preserve"> Clinical Decision Support, Predictive Analytics, and Artificial Intelligence. Together, these tools enable the delivery of Precision Medicine and Personalized Healthcare at scale.</w:t>
      </w:r>
    </w:p>
    <w:p w14:paraId="3E013CC5"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To support this transformation, I respectfully offer the following recommendations:</w:t>
      </w:r>
    </w:p>
    <w:p w14:paraId="5085226A" w14:textId="77777777" w:rsidR="00FF3337" w:rsidRPr="003679E6" w:rsidRDefault="00FF3337" w:rsidP="00FF3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79E6">
        <w:rPr>
          <w:rFonts w:ascii="Times New Roman" w:eastAsia="Times New Roman" w:hAnsi="Times New Roman" w:cs="Times New Roman"/>
          <w:b/>
          <w:bCs/>
          <w:kern w:val="0"/>
          <w:sz w:val="27"/>
          <w:szCs w:val="27"/>
          <w14:ligatures w14:val="none"/>
        </w:rPr>
        <w:t>1. Enable Full Data Liquidity and Patient Control</w:t>
      </w:r>
    </w:p>
    <w:p w14:paraId="1E8615F9" w14:textId="77777777" w:rsidR="00FF3337" w:rsidRPr="003679E6" w:rsidRDefault="00FF3337" w:rsidP="00FF3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Mandate EHR Interoperability via FHIR APIs</w:t>
      </w:r>
      <w:r w:rsidRPr="003679E6">
        <w:rPr>
          <w:rFonts w:ascii="Times New Roman" w:eastAsia="Times New Roman" w:hAnsi="Times New Roman" w:cs="Times New Roman"/>
          <w:kern w:val="0"/>
          <w14:ligatures w14:val="none"/>
        </w:rPr>
        <w:t>: All certified EHR vendors</w:t>
      </w:r>
      <w:r>
        <w:rPr>
          <w:rFonts w:ascii="Times New Roman" w:eastAsia="Times New Roman" w:hAnsi="Times New Roman" w:cs="Times New Roman"/>
          <w:kern w:val="0"/>
          <w14:ligatures w14:val="none"/>
        </w:rPr>
        <w:t xml:space="preserve"> (large and small)</w:t>
      </w:r>
      <w:r w:rsidRPr="003679E6">
        <w:rPr>
          <w:rFonts w:ascii="Times New Roman" w:eastAsia="Times New Roman" w:hAnsi="Times New Roman" w:cs="Times New Roman"/>
          <w:kern w:val="0"/>
          <w14:ligatures w14:val="none"/>
        </w:rPr>
        <w:t xml:space="preserve"> must be required to provide FHIR-based APIs, accessible without cost, to any third-party application that the patient authorizes. This data is owned by the patient—not the EHR vendor—and noncompliance should result in loss of certification and significant penalties.</w:t>
      </w:r>
    </w:p>
    <w:p w14:paraId="1905C6A7" w14:textId="77777777" w:rsidR="00FF3337" w:rsidRPr="003679E6" w:rsidRDefault="00FF3337" w:rsidP="00FF3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Regionalize Data Infrastructure</w:t>
      </w:r>
      <w:r w:rsidRPr="003679E6">
        <w:rPr>
          <w:rFonts w:ascii="Times New Roman" w:eastAsia="Times New Roman" w:hAnsi="Times New Roman" w:cs="Times New Roman"/>
          <w:kern w:val="0"/>
          <w14:ligatures w14:val="none"/>
        </w:rPr>
        <w:t xml:space="preserve">: Establish 4–6 multi-state regions, each served by </w:t>
      </w:r>
      <w:r>
        <w:rPr>
          <w:rFonts w:ascii="Times New Roman" w:eastAsia="Times New Roman" w:hAnsi="Times New Roman" w:cs="Times New Roman"/>
          <w:kern w:val="0"/>
          <w14:ligatures w14:val="none"/>
        </w:rPr>
        <w:t>several</w:t>
      </w:r>
      <w:r w:rsidRPr="003679E6">
        <w:rPr>
          <w:rFonts w:ascii="Times New Roman" w:eastAsia="Times New Roman" w:hAnsi="Times New Roman" w:cs="Times New Roman"/>
          <w:kern w:val="0"/>
          <w14:ligatures w14:val="none"/>
        </w:rPr>
        <w:t xml:space="preserve"> certified, not-for-profit Health Information Exchanges (HIEs) that aggregate data from both EHR and non-EHR sources. With patient consent, third-party services should be allowed to populate this data into an untethered Personal Health Record (PHR) of the patient’s choosing. A nominal service fee may be provided to HIEs to ensure operational sustainability.</w:t>
      </w:r>
      <w:r>
        <w:rPr>
          <w:rFonts w:ascii="Times New Roman" w:eastAsia="Times New Roman" w:hAnsi="Times New Roman" w:cs="Times New Roman"/>
          <w:kern w:val="0"/>
          <w14:ligatures w14:val="none"/>
        </w:rPr>
        <w:t xml:space="preserve"> An alternative is for the Federal Government to fund these HIEs which will act as a catalyst to digital innovation. </w:t>
      </w:r>
    </w:p>
    <w:p w14:paraId="0DA2BC4E" w14:textId="77777777" w:rsidR="00FF3337" w:rsidRPr="003679E6" w:rsidRDefault="00FF3337" w:rsidP="00FF3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Protect Patient Trust Through Consent</w:t>
      </w:r>
      <w:r w:rsidRPr="003679E6">
        <w:rPr>
          <w:rFonts w:ascii="Times New Roman" w:eastAsia="Times New Roman" w:hAnsi="Times New Roman" w:cs="Times New Roman"/>
          <w:kern w:val="0"/>
          <w14:ligatures w14:val="none"/>
        </w:rPr>
        <w:t xml:space="preserve">: Any third-party use of </w:t>
      </w:r>
      <w:r>
        <w:rPr>
          <w:rFonts w:ascii="Times New Roman" w:eastAsia="Times New Roman" w:hAnsi="Times New Roman" w:cs="Times New Roman"/>
          <w:kern w:val="0"/>
          <w14:ligatures w14:val="none"/>
        </w:rPr>
        <w:t xml:space="preserve">even </w:t>
      </w:r>
      <w:r w:rsidRPr="003679E6">
        <w:rPr>
          <w:rFonts w:ascii="Times New Roman" w:eastAsia="Times New Roman" w:hAnsi="Times New Roman" w:cs="Times New Roman"/>
          <w:kern w:val="0"/>
          <w14:ligatures w14:val="none"/>
        </w:rPr>
        <w:t>de-identified patient data—whether for clinical research or business purposes—must be consent-based. Transparent data use practices are essential to preserving public trust.</w:t>
      </w:r>
    </w:p>
    <w:p w14:paraId="371EA253" w14:textId="77777777" w:rsidR="00FF3337" w:rsidRPr="003679E6" w:rsidRDefault="00FF3337" w:rsidP="00FF3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79E6">
        <w:rPr>
          <w:rFonts w:ascii="Times New Roman" w:eastAsia="Times New Roman" w:hAnsi="Times New Roman" w:cs="Times New Roman"/>
          <w:b/>
          <w:bCs/>
          <w:kern w:val="0"/>
          <w:sz w:val="27"/>
          <w:szCs w:val="27"/>
          <w14:ligatures w14:val="none"/>
        </w:rPr>
        <w:t>2. Preserve Physician Independence and Promote Competition</w:t>
      </w:r>
    </w:p>
    <w:p w14:paraId="2D462784"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 xml:space="preserve">To realize the third strategic pillar—driving choice and competition—it is imperative that CMS take direct action to support </w:t>
      </w:r>
      <w:r>
        <w:rPr>
          <w:rFonts w:ascii="Times New Roman" w:eastAsia="Times New Roman" w:hAnsi="Times New Roman" w:cs="Times New Roman"/>
          <w:b/>
          <w:bCs/>
          <w:kern w:val="0"/>
          <w14:ligatures w14:val="none"/>
        </w:rPr>
        <w:t>I</w:t>
      </w:r>
      <w:r w:rsidRPr="003679E6">
        <w:rPr>
          <w:rFonts w:ascii="Times New Roman" w:eastAsia="Times New Roman" w:hAnsi="Times New Roman" w:cs="Times New Roman"/>
          <w:b/>
          <w:bCs/>
          <w:kern w:val="0"/>
          <w14:ligatures w14:val="none"/>
        </w:rPr>
        <w:t xml:space="preserve">ndependent </w:t>
      </w:r>
      <w:r>
        <w:rPr>
          <w:rFonts w:ascii="Times New Roman" w:eastAsia="Times New Roman" w:hAnsi="Times New Roman" w:cs="Times New Roman"/>
          <w:b/>
          <w:bCs/>
          <w:kern w:val="0"/>
          <w14:ligatures w14:val="none"/>
        </w:rPr>
        <w:t>P</w:t>
      </w:r>
      <w:r w:rsidRPr="003679E6">
        <w:rPr>
          <w:rFonts w:ascii="Times New Roman" w:eastAsia="Times New Roman" w:hAnsi="Times New Roman" w:cs="Times New Roman"/>
          <w:b/>
          <w:bCs/>
          <w:kern w:val="0"/>
          <w14:ligatures w14:val="none"/>
        </w:rPr>
        <w:t xml:space="preserve">hysician </w:t>
      </w:r>
      <w:r>
        <w:rPr>
          <w:rFonts w:ascii="Times New Roman" w:eastAsia="Times New Roman" w:hAnsi="Times New Roman" w:cs="Times New Roman"/>
          <w:b/>
          <w:bCs/>
          <w:kern w:val="0"/>
          <w14:ligatures w14:val="none"/>
        </w:rPr>
        <w:t>P</w:t>
      </w:r>
      <w:r w:rsidRPr="003679E6">
        <w:rPr>
          <w:rFonts w:ascii="Times New Roman" w:eastAsia="Times New Roman" w:hAnsi="Times New Roman" w:cs="Times New Roman"/>
          <w:b/>
          <w:bCs/>
          <w:kern w:val="0"/>
          <w14:ligatures w14:val="none"/>
        </w:rPr>
        <w:t>ractices</w:t>
      </w:r>
      <w:r w:rsidRPr="003679E6">
        <w:rPr>
          <w:rFonts w:ascii="Times New Roman" w:eastAsia="Times New Roman" w:hAnsi="Times New Roman" w:cs="Times New Roman"/>
          <w:kern w:val="0"/>
          <w14:ligatures w14:val="none"/>
        </w:rPr>
        <w:t xml:space="preserve"> </w:t>
      </w:r>
      <w:r w:rsidRPr="003679E6">
        <w:rPr>
          <w:rFonts w:ascii="Times New Roman" w:eastAsia="Times New Roman" w:hAnsi="Times New Roman" w:cs="Times New Roman"/>
          <w:b/>
          <w:bCs/>
          <w:kern w:val="0"/>
          <w14:ligatures w14:val="none"/>
        </w:rPr>
        <w:t>(IPPs),</w:t>
      </w:r>
      <w:r w:rsidRPr="003679E6">
        <w:rPr>
          <w:rFonts w:ascii="Times New Roman" w:eastAsia="Times New Roman" w:hAnsi="Times New Roman" w:cs="Times New Roman"/>
          <w:kern w:val="0"/>
          <w14:ligatures w14:val="none"/>
        </w:rPr>
        <w:t xml:space="preserve"> which currently make up less than 30% of the physician market due to rapid consolidation. Health system employment now accounts for over 52% of physicians, contributing to monopolistic dynamics, rising healthcare costs, and limited consumer choice without a corresponding improvement in outcomes.</w:t>
      </w:r>
    </w:p>
    <w:p w14:paraId="7766B2DD"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lastRenderedPageBreak/>
        <w:t>I recommend the following measures:</w:t>
      </w:r>
    </w:p>
    <w:p w14:paraId="39E8C62A" w14:textId="77777777" w:rsidR="00FF3337" w:rsidRPr="003679E6" w:rsidRDefault="00FF3337" w:rsidP="00FF3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Facilitate a National Network of Independent Practices</w:t>
      </w:r>
      <w:r w:rsidRPr="003679E6">
        <w:rPr>
          <w:rFonts w:ascii="Times New Roman" w:eastAsia="Times New Roman" w:hAnsi="Times New Roman" w:cs="Times New Roman"/>
          <w:kern w:val="0"/>
          <w14:ligatures w14:val="none"/>
        </w:rPr>
        <w:t>: A physician-led, technology-enabled national network of IPPs can address the structural fragmentation that impairs our ability to compete with large health systems. This network would help unify operations, improve care coordination, and offer patients high-touch care at a lower cost.</w:t>
      </w:r>
    </w:p>
    <w:p w14:paraId="32071918" w14:textId="77777777" w:rsidR="00FF3337" w:rsidRPr="003679E6" w:rsidRDefault="00FF3337" w:rsidP="00FF3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 xml:space="preserve">Build Patient–Physician Trust Through </w:t>
      </w:r>
      <w:r>
        <w:rPr>
          <w:rFonts w:ascii="Times New Roman" w:eastAsia="Times New Roman" w:hAnsi="Times New Roman" w:cs="Times New Roman"/>
          <w:b/>
          <w:bCs/>
          <w:kern w:val="0"/>
          <w14:ligatures w14:val="none"/>
        </w:rPr>
        <w:t xml:space="preserve">a </w:t>
      </w:r>
      <w:r w:rsidRPr="003679E6">
        <w:rPr>
          <w:rFonts w:ascii="Times New Roman" w:eastAsia="Times New Roman" w:hAnsi="Times New Roman" w:cs="Times New Roman"/>
          <w:b/>
          <w:bCs/>
          <w:kern w:val="0"/>
          <w14:ligatures w14:val="none"/>
        </w:rPr>
        <w:t>Shared Platform</w:t>
      </w:r>
      <w:r w:rsidRPr="003679E6">
        <w:rPr>
          <w:rFonts w:ascii="Times New Roman" w:eastAsia="Times New Roman" w:hAnsi="Times New Roman" w:cs="Times New Roman"/>
          <w:kern w:val="0"/>
          <w14:ligatures w14:val="none"/>
        </w:rPr>
        <w:t xml:space="preserve">: Housing patient-controlled, untethered PHRs within </w:t>
      </w:r>
      <w:r>
        <w:rPr>
          <w:rFonts w:ascii="Times New Roman" w:eastAsia="Times New Roman" w:hAnsi="Times New Roman" w:cs="Times New Roman"/>
          <w:kern w:val="0"/>
          <w14:ligatures w14:val="none"/>
        </w:rPr>
        <w:t xml:space="preserve">a </w:t>
      </w:r>
      <w:r w:rsidRPr="003679E6">
        <w:rPr>
          <w:rFonts w:ascii="Times New Roman" w:eastAsia="Times New Roman" w:hAnsi="Times New Roman" w:cs="Times New Roman"/>
          <w:kern w:val="0"/>
          <w14:ligatures w14:val="none"/>
        </w:rPr>
        <w:t>physician network can foster mutual trust between patients and their doctors. This approach ensures that data is used responsibly in a way that benefits care delivery and patient engagement.</w:t>
      </w:r>
    </w:p>
    <w:p w14:paraId="555A6D68" w14:textId="77777777" w:rsidR="00FF3337" w:rsidRPr="00D030EC" w:rsidRDefault="00FF3337" w:rsidP="00FF3337">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30EC">
        <w:rPr>
          <w:rFonts w:ascii="Times New Roman" w:eastAsia="Times New Roman" w:hAnsi="Times New Roman" w:cs="Times New Roman"/>
          <w:b/>
          <w:bCs/>
          <w:kern w:val="0"/>
          <w:sz w:val="27"/>
          <w:szCs w:val="27"/>
          <w14:ligatures w14:val="none"/>
        </w:rPr>
        <w:t>Reduce Administrative Burden and Modernize Revenue Cycle Management</w:t>
      </w:r>
      <w:r>
        <w:rPr>
          <w:rFonts w:ascii="Times New Roman" w:eastAsia="Times New Roman" w:hAnsi="Times New Roman" w:cs="Times New Roman"/>
          <w:b/>
          <w:bCs/>
          <w:kern w:val="0"/>
          <w:sz w:val="27"/>
          <w:szCs w:val="27"/>
          <w14:ligatures w14:val="none"/>
        </w:rPr>
        <w:t xml:space="preserve"> (RCM)</w:t>
      </w:r>
    </w:p>
    <w:p w14:paraId="092417C2" w14:textId="77777777" w:rsidR="00FF3337" w:rsidRPr="00D030EC" w:rsidRDefault="00FF3337" w:rsidP="00FF3337">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030EC">
        <w:rPr>
          <w:rFonts w:ascii="Times New Roman" w:hAnsi="Times New Roman" w:cs="Times New Roman"/>
        </w:rPr>
        <w:t xml:space="preserve">Physician burnout needs to be on everyone’s radar. Reducing the administrative burdens in </w:t>
      </w:r>
      <w:r>
        <w:rPr>
          <w:rFonts w:ascii="Times New Roman" w:hAnsi="Times New Roman" w:cs="Times New Roman"/>
        </w:rPr>
        <w:t>RCM</w:t>
      </w:r>
      <w:r w:rsidRPr="00D030EC">
        <w:rPr>
          <w:rFonts w:ascii="Times New Roman" w:hAnsi="Times New Roman" w:cs="Times New Roman"/>
        </w:rPr>
        <w:t xml:space="preserve"> is critical</w:t>
      </w:r>
      <w:r>
        <w:rPr>
          <w:rFonts w:ascii="Times New Roman" w:hAnsi="Times New Roman" w:cs="Times New Roman"/>
        </w:rPr>
        <w:t>. Below is a starting point for addressing the administrative burdens IPPs are facing:</w:t>
      </w:r>
    </w:p>
    <w:p w14:paraId="48B0334F" w14:textId="77777777" w:rsidR="00FF3337" w:rsidRPr="003679E6" w:rsidRDefault="00FF3337" w:rsidP="00FF3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Streamline Prior Authorization</w:t>
      </w:r>
      <w:r w:rsidRPr="003679E6">
        <w:rPr>
          <w:rFonts w:ascii="Times New Roman" w:eastAsia="Times New Roman" w:hAnsi="Times New Roman" w:cs="Times New Roman"/>
          <w:kern w:val="0"/>
          <w14:ligatures w14:val="none"/>
        </w:rPr>
        <w:t>: CMS should require all payers to automate at least 95% of prior authorization workflows. The remaining 5% should be handled electronically. This change would significantly reduce operational costs and physician burnout.</w:t>
      </w:r>
      <w:r>
        <w:rPr>
          <w:rFonts w:ascii="Times New Roman" w:eastAsia="Times New Roman" w:hAnsi="Times New Roman" w:cs="Times New Roman"/>
          <w:kern w:val="0"/>
          <w14:ligatures w14:val="none"/>
        </w:rPr>
        <w:t xml:space="preserve"> This can be done by the payor community and would eliminate any middleman costs. </w:t>
      </w:r>
    </w:p>
    <w:p w14:paraId="2AAD42A1" w14:textId="77777777" w:rsidR="00FF3337" w:rsidRPr="003679E6" w:rsidRDefault="00FF3337" w:rsidP="00FF3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Standardize Claims Denial Processes</w:t>
      </w:r>
      <w:r w:rsidRPr="003679E6">
        <w:rPr>
          <w:rFonts w:ascii="Times New Roman" w:eastAsia="Times New Roman" w:hAnsi="Times New Roman" w:cs="Times New Roman"/>
          <w:kern w:val="0"/>
          <w14:ligatures w14:val="none"/>
        </w:rPr>
        <w:t>: Establish a uniform electronic process across all commercial payers for handling claim denials. Improved cash flow will directly support independent practices’ financial viability.</w:t>
      </w:r>
      <w:r>
        <w:rPr>
          <w:rFonts w:ascii="Times New Roman" w:eastAsia="Times New Roman" w:hAnsi="Times New Roman" w:cs="Times New Roman"/>
          <w:kern w:val="0"/>
          <w14:ligatures w14:val="none"/>
        </w:rPr>
        <w:t xml:space="preserve"> The current system is very frustrating and costly which affects the viability of IPPs. </w:t>
      </w:r>
    </w:p>
    <w:p w14:paraId="53E1E7AA" w14:textId="77777777" w:rsidR="00FF3337" w:rsidRPr="003679E6" w:rsidRDefault="00FF3337" w:rsidP="00FF3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79E6">
        <w:rPr>
          <w:rFonts w:ascii="Times New Roman" w:eastAsia="Times New Roman" w:hAnsi="Times New Roman" w:cs="Times New Roman"/>
          <w:b/>
          <w:bCs/>
          <w:kern w:val="0"/>
          <w:sz w:val="27"/>
          <w:szCs w:val="27"/>
          <w14:ligatures w14:val="none"/>
        </w:rPr>
        <w:t>4. Evolve the Value-Based Care Model with Balanced Incentives</w:t>
      </w:r>
    </w:p>
    <w:p w14:paraId="1C81420C"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 xml:space="preserve">While physicians embrace the shift to value-based care, many elements of the current reimbursement structure place undue risk on providers without sufficient control over patient outcomes. Physicians can </w:t>
      </w:r>
      <w:r>
        <w:rPr>
          <w:rFonts w:ascii="Times New Roman" w:eastAsia="Times New Roman" w:hAnsi="Times New Roman" w:cs="Times New Roman"/>
          <w:kern w:val="0"/>
          <w14:ligatures w14:val="none"/>
        </w:rPr>
        <w:t xml:space="preserve">provide and </w:t>
      </w:r>
      <w:r w:rsidRPr="003679E6">
        <w:rPr>
          <w:rFonts w:ascii="Times New Roman" w:eastAsia="Times New Roman" w:hAnsi="Times New Roman" w:cs="Times New Roman"/>
          <w:kern w:val="0"/>
          <w14:ligatures w14:val="none"/>
        </w:rPr>
        <w:t>follow evidence-based guidelines, but patient adherence remains unpredictable.</w:t>
      </w:r>
    </w:p>
    <w:p w14:paraId="25CF7F4F"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To correct this imbalance:</w:t>
      </w:r>
    </w:p>
    <w:p w14:paraId="2453AEFA" w14:textId="77777777" w:rsidR="00FF3337" w:rsidRPr="003679E6" w:rsidRDefault="00FF3337" w:rsidP="00FF33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b/>
          <w:bCs/>
          <w:kern w:val="0"/>
          <w14:ligatures w14:val="none"/>
        </w:rPr>
        <w:t>Incentivize Both Patients and Providers</w:t>
      </w:r>
      <w:r w:rsidRPr="003679E6">
        <w:rPr>
          <w:rFonts w:ascii="Times New Roman" w:eastAsia="Times New Roman" w:hAnsi="Times New Roman" w:cs="Times New Roman"/>
          <w:kern w:val="0"/>
          <w14:ligatures w14:val="none"/>
        </w:rPr>
        <w:t xml:space="preserve">: Moderate rewards should be given to physicians who comply with prevention </w:t>
      </w:r>
      <w:r>
        <w:rPr>
          <w:rFonts w:ascii="Times New Roman" w:eastAsia="Times New Roman" w:hAnsi="Times New Roman" w:cs="Times New Roman"/>
          <w:kern w:val="0"/>
          <w14:ligatures w14:val="none"/>
        </w:rPr>
        <w:t xml:space="preserve">and wellness evidence-based </w:t>
      </w:r>
      <w:r w:rsidRPr="003679E6">
        <w:rPr>
          <w:rFonts w:ascii="Times New Roman" w:eastAsia="Times New Roman" w:hAnsi="Times New Roman" w:cs="Times New Roman"/>
          <w:kern w:val="0"/>
          <w14:ligatures w14:val="none"/>
        </w:rPr>
        <w:t xml:space="preserve">protocols. Larger incentives should go to patients who demonstrate </w:t>
      </w:r>
      <w:r>
        <w:rPr>
          <w:rFonts w:ascii="Times New Roman" w:eastAsia="Times New Roman" w:hAnsi="Times New Roman" w:cs="Times New Roman"/>
          <w:kern w:val="0"/>
          <w14:ligatures w14:val="none"/>
        </w:rPr>
        <w:t xml:space="preserve">their ability to comply with these protocols with </w:t>
      </w:r>
      <w:r w:rsidRPr="003679E6">
        <w:rPr>
          <w:rFonts w:ascii="Times New Roman" w:eastAsia="Times New Roman" w:hAnsi="Times New Roman" w:cs="Times New Roman"/>
          <w:kern w:val="0"/>
          <w14:ligatures w14:val="none"/>
        </w:rPr>
        <w:t>improved outcomes. This dual-incentive approach shifts accountability while enhancing engagement and financial accessibility for patients.</w:t>
      </w:r>
      <w:r>
        <w:rPr>
          <w:rFonts w:ascii="Times New Roman" w:eastAsia="Times New Roman" w:hAnsi="Times New Roman" w:cs="Times New Roman"/>
          <w:kern w:val="0"/>
          <w14:ligatures w14:val="none"/>
        </w:rPr>
        <w:t xml:space="preserve"> I would be happy to discuss an incentive program that can be helpful to improve patient outcomes, improve patient accessibility and affordability to healthcare services and products.  </w:t>
      </w:r>
    </w:p>
    <w:p w14:paraId="396C65EB" w14:textId="77777777" w:rsidR="00FF3337" w:rsidRPr="003679E6"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 xml:space="preserve">In closing, I urge CMS to pursue a regulatory and strategic framework that not only prioritizes data liquidity and interoperability but also supports the sustainability of independent physician </w:t>
      </w:r>
      <w:r w:rsidRPr="003679E6">
        <w:rPr>
          <w:rFonts w:ascii="Times New Roman" w:eastAsia="Times New Roman" w:hAnsi="Times New Roman" w:cs="Times New Roman"/>
          <w:kern w:val="0"/>
          <w14:ligatures w14:val="none"/>
        </w:rPr>
        <w:lastRenderedPageBreak/>
        <w:t>practices. Together, we can build a trusted, high-performing, and patient-centric healthcare ecosystem.</w:t>
      </w:r>
    </w:p>
    <w:p w14:paraId="0E8EAB96" w14:textId="77777777" w:rsidR="00FF3337" w:rsidRDefault="00FF3337" w:rsidP="00FF3337">
      <w:pPr>
        <w:spacing w:before="100" w:beforeAutospacing="1" w:after="100" w:afterAutospacing="1" w:line="240" w:lineRule="auto"/>
        <w:rPr>
          <w:rFonts w:ascii="Times New Roman" w:eastAsia="Times New Roman" w:hAnsi="Times New Roman" w:cs="Times New Roman"/>
          <w:kern w:val="0"/>
          <w14:ligatures w14:val="none"/>
        </w:rPr>
      </w:pPr>
      <w:r w:rsidRPr="003679E6">
        <w:rPr>
          <w:rFonts w:ascii="Times New Roman" w:eastAsia="Times New Roman" w:hAnsi="Times New Roman" w:cs="Times New Roman"/>
          <w:kern w:val="0"/>
          <w14:ligatures w14:val="none"/>
        </w:rPr>
        <w:t>Sincerely,</w:t>
      </w:r>
    </w:p>
    <w:p w14:paraId="12594A59" w14:textId="295A1EC4" w:rsidR="00FF3337" w:rsidRPr="00FF3337" w:rsidRDefault="00FF3337" w:rsidP="00FF3337">
      <w:pPr>
        <w:spacing w:before="100" w:beforeAutospacing="1" w:after="100" w:afterAutospacing="1" w:line="240" w:lineRule="auto"/>
        <w:rPr>
          <w:rFonts w:ascii="Times New Roman" w:eastAsia="Times New Roman" w:hAnsi="Times New Roman" w:cs="Times New Roman"/>
          <w:b/>
          <w:bCs/>
          <w:kern w:val="0"/>
          <w14:ligatures w14:val="none"/>
        </w:rPr>
      </w:pPr>
      <w:r w:rsidRPr="003679E6">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Christ J Pavlatos MD, MBA</w:t>
      </w:r>
      <w:r>
        <w:rPr>
          <w:rFonts w:ascii="Times New Roman" w:eastAsia="Times New Roman" w:hAnsi="Times New Roman" w:cs="Times New Roman"/>
          <w:b/>
          <w:bCs/>
          <w:kern w:val="0"/>
          <w14:ligatures w14:val="none"/>
        </w:rPr>
        <w:t xml:space="preserve">                                                                                                     Email: </w:t>
      </w:r>
      <w:hyperlink r:id="rId5" w:history="1">
        <w:r w:rsidRPr="00491D02">
          <w:rPr>
            <w:rStyle w:val="Hyperlink"/>
            <w:rFonts w:ascii="Times New Roman" w:eastAsia="Times New Roman" w:hAnsi="Times New Roman" w:cs="Times New Roman"/>
            <w:kern w:val="0"/>
            <w14:ligatures w14:val="none"/>
          </w:rPr>
          <w:t>c.pavlatos@PatientMD.com</w:t>
        </w:r>
      </w:hyperlink>
      <w:r>
        <w:rPr>
          <w:rFonts w:ascii="Times New Roman" w:eastAsia="Times New Roman" w:hAnsi="Times New Roman" w:cs="Times New Roman"/>
          <w:kern w:val="0"/>
          <w14:ligatures w14:val="none"/>
        </w:rPr>
        <w:t xml:space="preserve">  </w:t>
      </w:r>
      <w:r w:rsidRPr="003679E6">
        <w:rPr>
          <w:rFonts w:ascii="Times New Roman" w:eastAsia="Times New Roman" w:hAnsi="Times New Roman" w:cs="Times New Roman"/>
          <w:kern w:val="0"/>
          <w14:ligatures w14:val="none"/>
        </w:rPr>
        <w:br/>
        <w:t>Independent Physician</w:t>
      </w:r>
      <w:r>
        <w:rPr>
          <w:rFonts w:ascii="Times New Roman" w:eastAsia="Times New Roman" w:hAnsi="Times New Roman" w:cs="Times New Roman"/>
          <w:kern w:val="0"/>
          <w14:ligatures w14:val="none"/>
        </w:rPr>
        <w:t xml:space="preserve"> with Illinois Bone and Joint Institute</w:t>
      </w:r>
      <w:r w:rsidRPr="003679E6">
        <w:rPr>
          <w:rFonts w:ascii="Times New Roman" w:eastAsia="Times New Roman" w:hAnsi="Times New Roman" w:cs="Times New Roman"/>
          <w:kern w:val="0"/>
          <w14:ligatures w14:val="none"/>
        </w:rPr>
        <w:br/>
        <w:t xml:space="preserve">Former Board Member, </w:t>
      </w:r>
      <w:r>
        <w:rPr>
          <w:rFonts w:ascii="Times New Roman" w:eastAsia="Times New Roman" w:hAnsi="Times New Roman" w:cs="Times New Roman"/>
          <w:kern w:val="0"/>
          <w14:ligatures w14:val="none"/>
        </w:rPr>
        <w:t xml:space="preserve">The </w:t>
      </w:r>
      <w:r w:rsidRPr="003679E6">
        <w:rPr>
          <w:rFonts w:ascii="Times New Roman" w:eastAsia="Times New Roman" w:hAnsi="Times New Roman" w:cs="Times New Roman"/>
          <w:kern w:val="0"/>
          <w14:ligatures w14:val="none"/>
        </w:rPr>
        <w:t>Independent Physician Association of America</w:t>
      </w:r>
      <w:r>
        <w:rPr>
          <w:rFonts w:ascii="Times New Roman" w:eastAsia="Times New Roman" w:hAnsi="Times New Roman" w:cs="Times New Roman"/>
          <w:kern w:val="0"/>
          <w14:ligatures w14:val="none"/>
        </w:rPr>
        <w:t xml:space="preserve">                                  Founder and CEO of PatientMD Inc.                                                                                   </w:t>
      </w:r>
    </w:p>
    <w:p w14:paraId="15881DA1" w14:textId="77777777" w:rsidR="003C3A17" w:rsidRDefault="003C3A17"/>
    <w:sectPr w:rsidR="003C3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467E7"/>
    <w:multiLevelType w:val="multilevel"/>
    <w:tmpl w:val="864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E59A2"/>
    <w:multiLevelType w:val="multilevel"/>
    <w:tmpl w:val="BCC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A1129"/>
    <w:multiLevelType w:val="multilevel"/>
    <w:tmpl w:val="01B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31B35"/>
    <w:multiLevelType w:val="multilevel"/>
    <w:tmpl w:val="E4C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03A21"/>
    <w:multiLevelType w:val="hybridMultilevel"/>
    <w:tmpl w:val="88D60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8291564">
    <w:abstractNumId w:val="4"/>
  </w:num>
  <w:num w:numId="2" w16cid:durableId="1872915153">
    <w:abstractNumId w:val="2"/>
  </w:num>
  <w:num w:numId="3" w16cid:durableId="60642489">
    <w:abstractNumId w:val="0"/>
  </w:num>
  <w:num w:numId="4" w16cid:durableId="1466314510">
    <w:abstractNumId w:val="3"/>
  </w:num>
  <w:num w:numId="5" w16cid:durableId="293290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37"/>
    <w:rsid w:val="000212ED"/>
    <w:rsid w:val="00265B1A"/>
    <w:rsid w:val="003C3A17"/>
    <w:rsid w:val="0071025A"/>
    <w:rsid w:val="00A73548"/>
    <w:rsid w:val="00AC60EF"/>
    <w:rsid w:val="00B41A1B"/>
    <w:rsid w:val="00CA39CC"/>
    <w:rsid w:val="00D11E3D"/>
    <w:rsid w:val="00FF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8776"/>
  <w15:chartTrackingRefBased/>
  <w15:docId w15:val="{6CB7BEBD-681F-774F-980E-42698B55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337"/>
  </w:style>
  <w:style w:type="paragraph" w:styleId="Heading1">
    <w:name w:val="heading 1"/>
    <w:basedOn w:val="Normal"/>
    <w:next w:val="Normal"/>
    <w:link w:val="Heading1Char"/>
    <w:uiPriority w:val="9"/>
    <w:qFormat/>
    <w:rsid w:val="00FF3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337"/>
    <w:rPr>
      <w:rFonts w:eastAsiaTheme="majorEastAsia" w:cstheme="majorBidi"/>
      <w:color w:val="272727" w:themeColor="text1" w:themeTint="D8"/>
    </w:rPr>
  </w:style>
  <w:style w:type="paragraph" w:styleId="Title">
    <w:name w:val="Title"/>
    <w:basedOn w:val="Normal"/>
    <w:next w:val="Normal"/>
    <w:link w:val="TitleChar"/>
    <w:uiPriority w:val="10"/>
    <w:qFormat/>
    <w:rsid w:val="00FF3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337"/>
    <w:pPr>
      <w:spacing w:before="160"/>
      <w:jc w:val="center"/>
    </w:pPr>
    <w:rPr>
      <w:i/>
      <w:iCs/>
      <w:color w:val="404040" w:themeColor="text1" w:themeTint="BF"/>
    </w:rPr>
  </w:style>
  <w:style w:type="character" w:customStyle="1" w:styleId="QuoteChar">
    <w:name w:val="Quote Char"/>
    <w:basedOn w:val="DefaultParagraphFont"/>
    <w:link w:val="Quote"/>
    <w:uiPriority w:val="29"/>
    <w:rsid w:val="00FF3337"/>
    <w:rPr>
      <w:i/>
      <w:iCs/>
      <w:color w:val="404040" w:themeColor="text1" w:themeTint="BF"/>
    </w:rPr>
  </w:style>
  <w:style w:type="paragraph" w:styleId="ListParagraph">
    <w:name w:val="List Paragraph"/>
    <w:basedOn w:val="Normal"/>
    <w:uiPriority w:val="34"/>
    <w:qFormat/>
    <w:rsid w:val="00FF3337"/>
    <w:pPr>
      <w:ind w:left="720"/>
      <w:contextualSpacing/>
    </w:pPr>
  </w:style>
  <w:style w:type="character" w:styleId="IntenseEmphasis">
    <w:name w:val="Intense Emphasis"/>
    <w:basedOn w:val="DefaultParagraphFont"/>
    <w:uiPriority w:val="21"/>
    <w:qFormat/>
    <w:rsid w:val="00FF3337"/>
    <w:rPr>
      <w:i/>
      <w:iCs/>
      <w:color w:val="0F4761" w:themeColor="accent1" w:themeShade="BF"/>
    </w:rPr>
  </w:style>
  <w:style w:type="paragraph" w:styleId="IntenseQuote">
    <w:name w:val="Intense Quote"/>
    <w:basedOn w:val="Normal"/>
    <w:next w:val="Normal"/>
    <w:link w:val="IntenseQuoteChar"/>
    <w:uiPriority w:val="30"/>
    <w:qFormat/>
    <w:rsid w:val="00FF3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337"/>
    <w:rPr>
      <w:i/>
      <w:iCs/>
      <w:color w:val="0F4761" w:themeColor="accent1" w:themeShade="BF"/>
    </w:rPr>
  </w:style>
  <w:style w:type="character" w:styleId="IntenseReference">
    <w:name w:val="Intense Reference"/>
    <w:basedOn w:val="DefaultParagraphFont"/>
    <w:uiPriority w:val="32"/>
    <w:qFormat/>
    <w:rsid w:val="00FF3337"/>
    <w:rPr>
      <w:b/>
      <w:bCs/>
      <w:smallCaps/>
      <w:color w:val="0F4761" w:themeColor="accent1" w:themeShade="BF"/>
      <w:spacing w:val="5"/>
    </w:rPr>
  </w:style>
  <w:style w:type="character" w:styleId="Hyperlink">
    <w:name w:val="Hyperlink"/>
    <w:basedOn w:val="DefaultParagraphFont"/>
    <w:uiPriority w:val="99"/>
    <w:unhideWhenUsed/>
    <w:rsid w:val="00FF3337"/>
    <w:rPr>
      <w:color w:val="467886" w:themeColor="hyperlink"/>
      <w:u w:val="single"/>
    </w:rPr>
  </w:style>
  <w:style w:type="character" w:styleId="UnresolvedMention">
    <w:name w:val="Unresolved Mention"/>
    <w:basedOn w:val="DefaultParagraphFont"/>
    <w:uiPriority w:val="99"/>
    <w:semiHidden/>
    <w:unhideWhenUsed/>
    <w:rsid w:val="00FF3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pavlatos@PatientM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Pavlatos</dc:creator>
  <cp:keywords/>
  <dc:description/>
  <cp:lastModifiedBy>Christ Pavlatos</cp:lastModifiedBy>
  <cp:revision>2</cp:revision>
  <dcterms:created xsi:type="dcterms:W3CDTF">2025-05-29T22:02:00Z</dcterms:created>
  <dcterms:modified xsi:type="dcterms:W3CDTF">2025-05-29T22:02:00Z</dcterms:modified>
</cp:coreProperties>
</file>