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Public Comment – CMS-2025-0050: Health Technology Ecosystem RFI</w:t>
      </w:r>
    </w:p>
    <w:p>
      <w:r>
        <w:t>Date: June 07, 2025</w:t>
      </w:r>
    </w:p>
    <w:p>
      <w:r>
        <w:t>This anonymous public comment is submitted in response to the Centers for Medicare &amp; Medicaid Services (CMS) and the Office of the National Coordinator for Health Information Technology (ONC) Request for Information titled 'Health Technology Ecosystem,' docket number CMS-2025-0050.</w:t>
      </w:r>
    </w:p>
    <w:p>
      <w:r>
        <w:t>We propose a privacy-preserving, decentralized digital health infrastructure capable of supporting next-generation AI-based technologies in surgical robotics, diagnostic imaging, and digital therapeutics. The system enables AI to be trained across multiple institutions without centralizing patient data, enhancing security and interoperability while maintaining compliance with HIPAA and other regulatory frameworks.</w:t>
      </w:r>
    </w:p>
    <w:p>
      <w:r>
        <w:t>Key features of the architecture include:</w:t>
      </w:r>
    </w:p>
    <w:p>
      <w:r>
        <w:t>- Federated learning: Local AI models train on-device or within institutional boundaries. Only encrypted model updates are shared.</w:t>
        <w:br/>
        <w:t>- Cryptographic identity: Each node is authenticated using public-private key infrastructure.</w:t>
        <w:br/>
        <w:t>- Immutable audit trail: Every model contribution and access event is recorded using a tamper-proof distributed ledger.</w:t>
        <w:br/>
        <w:t>- Smart governance: Optional programmable rules can enforce access rights, compliance standards, or institutional policies.</w:t>
        <w:br/>
        <w:t>- Device-agnostic: Designed to work with EMRs, imaging platforms, surgical robots, wearables, and other FDA-regulated technologies.</w:t>
      </w:r>
    </w:p>
    <w:p>
      <w:r>
        <w:t>This infrastructure provides a compliant backbone for emerging Medicare-eligible technologies, especially those that fall outside existing RPM/RTM billing codes. It also supports expanded reimbursement under frameworks like the proposed Prescription Digital Therapeutics (PDT) Act. By maintaining local data control, it aligns with federal privacy and security standards while enabling broad scale AI and procedural guidance innovation.</w:t>
      </w:r>
    </w:p>
    <w:p>
      <w:r>
        <w:t>We respectfully urge CMS and ONC to consider the following:</w:t>
        <w:br/>
        <w:t>- Expand eligible reimbursement categories to include AI-driven and federated digital health platforms.</w:t>
        <w:br/>
        <w:t>- Promote architectures that maintain data sovereignty and security while enabling large-scale collaboration.</w:t>
        <w:br/>
        <w:t>- Encourage policy development to support interoperable digital infrastructure across public and private health systems.</w:t>
      </w:r>
    </w:p>
    <w:p>
      <w:r>
        <w:t>This submission does not include any personally identifiable information and is intended to contribute constructively to the ongoing development of a secure, equitable, and innovation-friendly digital health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