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D489A" w14:textId="77777777" w:rsidR="00DB115D" w:rsidRPr="00630782" w:rsidRDefault="00726654" w:rsidP="00726654">
      <w:pPr>
        <w:rPr>
          <w:rFonts w:cstheme="minorHAnsi"/>
        </w:rPr>
      </w:pPr>
      <w:r w:rsidRPr="00630782">
        <w:rPr>
          <w:rFonts w:cstheme="minorHAnsi"/>
          <w:b/>
          <w:bCs/>
        </w:rPr>
        <w:t xml:space="preserve">Docket ID: </w:t>
      </w:r>
      <w:r w:rsidR="008634D2" w:rsidRPr="00630782">
        <w:rPr>
          <w:rFonts w:cstheme="minorHAnsi"/>
        </w:rPr>
        <w:t>CMS-0042-NC</w:t>
      </w:r>
      <w:r w:rsidR="008634D2" w:rsidRPr="00630782">
        <w:rPr>
          <w:rFonts w:cstheme="minorHAnsi"/>
        </w:rPr>
        <w:br/>
      </w:r>
      <w:r w:rsidRPr="00630782">
        <w:rPr>
          <w:rFonts w:cstheme="minorHAnsi"/>
          <w:b/>
          <w:bCs/>
        </w:rPr>
        <w:t xml:space="preserve">Agency: </w:t>
      </w:r>
      <w:r w:rsidRPr="00630782">
        <w:rPr>
          <w:rFonts w:cstheme="minorHAnsi"/>
        </w:rPr>
        <w:t>Centers for Medicare &amp; Medicaid Services (CMS) &amp; Office of the National Coordinator for Health Information Technology (ONC)</w:t>
      </w:r>
      <w:r w:rsidRPr="00630782">
        <w:rPr>
          <w:rFonts w:cstheme="minorHAnsi"/>
        </w:rPr>
        <w:br/>
      </w:r>
      <w:r w:rsidRPr="00630782">
        <w:rPr>
          <w:rFonts w:cstheme="minorHAnsi"/>
          <w:b/>
          <w:bCs/>
        </w:rPr>
        <w:t xml:space="preserve">Comment from: </w:t>
      </w:r>
      <w:r w:rsidRPr="00630782">
        <w:rPr>
          <w:rFonts w:cstheme="minorHAnsi"/>
        </w:rPr>
        <w:t>Plethy, Inc.</w:t>
      </w:r>
    </w:p>
    <w:p w14:paraId="3B14F2AB" w14:textId="45A235F8" w:rsidR="00726654" w:rsidRPr="00630782" w:rsidRDefault="00726654" w:rsidP="00726654">
      <w:pPr>
        <w:rPr>
          <w:rFonts w:cstheme="minorHAnsi"/>
        </w:rPr>
      </w:pPr>
      <w:r w:rsidRPr="00630782">
        <w:rPr>
          <w:rFonts w:cstheme="minorHAnsi"/>
        </w:rPr>
        <w:br/>
      </w:r>
      <w:r w:rsidRPr="00630782">
        <w:rPr>
          <w:rFonts w:cstheme="minorHAnsi"/>
          <w:b/>
          <w:bCs/>
        </w:rPr>
        <w:t xml:space="preserve">Subject: </w:t>
      </w:r>
      <w:r w:rsidRPr="00630782">
        <w:rPr>
          <w:rFonts w:cstheme="minorHAnsi"/>
        </w:rPr>
        <w:t>Response to Request for Information (RFI) on Digital Health Products and Interoperability for Medicare Beneficiaries</w:t>
      </w:r>
    </w:p>
    <w:p w14:paraId="2DAE6024" w14:textId="77777777" w:rsidR="00726654" w:rsidRPr="00630782" w:rsidRDefault="00726654" w:rsidP="00726654">
      <w:pPr>
        <w:rPr>
          <w:rFonts w:cstheme="minorHAnsi"/>
        </w:rPr>
      </w:pPr>
      <w:r w:rsidRPr="00630782">
        <w:rPr>
          <w:rFonts w:cstheme="minorHAnsi"/>
          <w:b/>
          <w:bCs/>
        </w:rPr>
        <w:t>Introduction:</w:t>
      </w:r>
    </w:p>
    <w:p w14:paraId="65316917" w14:textId="687F839D" w:rsidR="00031734" w:rsidRDefault="005613C5" w:rsidP="00726654">
      <w:pPr>
        <w:rPr>
          <w:rFonts w:cstheme="minorHAnsi"/>
        </w:rPr>
      </w:pPr>
      <w:r w:rsidRPr="005613C5">
        <w:rPr>
          <w:rFonts w:cstheme="minorHAnsi"/>
        </w:rPr>
        <w:t xml:space="preserve">Plethy, Inc. is a digital health company supporting Medicare beneficiaries through its Recupe platform, which delivers Remote Therapeutic Monitoring (RTM), Remote Physiological Monitoring (RPM), and integrated care for musculoskeletal and neuromuscular conditions. Recupe is used in both fee-for-service and value-based care settings, including with provider groups such as Hackensack Meridian Health, Inova Health System, </w:t>
      </w:r>
      <w:r w:rsidR="00B26205">
        <w:rPr>
          <w:rFonts w:cstheme="minorHAnsi"/>
        </w:rPr>
        <w:t>The Centers for Advanced Orthopaedics</w:t>
      </w:r>
      <w:r w:rsidR="004C4351">
        <w:rPr>
          <w:rFonts w:cstheme="minorHAnsi"/>
        </w:rPr>
        <w:t xml:space="preserve"> </w:t>
      </w:r>
      <w:r w:rsidR="0031292E">
        <w:rPr>
          <w:rFonts w:cstheme="minorHAnsi"/>
        </w:rPr>
        <w:t xml:space="preserve">and </w:t>
      </w:r>
      <w:r w:rsidRPr="005613C5">
        <w:rPr>
          <w:rFonts w:cstheme="minorHAnsi"/>
        </w:rPr>
        <w:t xml:space="preserve">Suburban Orthopedics. These collaborations reflect the platform’s versatility and ability to support diverse populations, including older adults managing complex recovery needs. </w:t>
      </w:r>
      <w:r w:rsidRPr="00031734">
        <w:rPr>
          <w:rFonts w:cstheme="minorHAnsi"/>
        </w:rPr>
        <w:t>Recupe follows a hybrid model that blends digital monitoring with human-led onboarding and coaching, helping overcome barriers related to digital literacy, comorbidities, and engagement</w:t>
      </w:r>
      <w:r w:rsidR="00031734">
        <w:rPr>
          <w:rFonts w:cstheme="minorHAnsi"/>
        </w:rPr>
        <w:t xml:space="preserve"> </w:t>
      </w:r>
      <w:r w:rsidRPr="00031734">
        <w:rPr>
          <w:rFonts w:cstheme="minorHAnsi"/>
        </w:rPr>
        <w:t>especially within Medicare populations.</w:t>
      </w:r>
      <w:r w:rsidRPr="005613C5">
        <w:rPr>
          <w:rFonts w:cstheme="minorHAnsi"/>
        </w:rPr>
        <w:t xml:space="preserve"> Recupe also integrates with </w:t>
      </w:r>
      <w:r w:rsidR="002017D6">
        <w:rPr>
          <w:rFonts w:cstheme="minorHAnsi"/>
        </w:rPr>
        <w:t xml:space="preserve">MSK vendors such as </w:t>
      </w:r>
      <w:r w:rsidRPr="005613C5">
        <w:rPr>
          <w:rFonts w:cstheme="minorHAnsi"/>
        </w:rPr>
        <w:t>VB Spine.</w:t>
      </w:r>
    </w:p>
    <w:p w14:paraId="7CA43BBF" w14:textId="77777777" w:rsidR="00DF122B" w:rsidRDefault="00DF122B" w:rsidP="00DF122B">
      <w:pPr>
        <w:rPr>
          <w:rFonts w:cstheme="minorHAnsi"/>
        </w:rPr>
      </w:pPr>
      <w:r w:rsidRPr="00DF122B">
        <w:rPr>
          <w:rFonts w:cstheme="minorHAnsi"/>
        </w:rPr>
        <w:t>Peer-reviewed studies and real-world data from Recupe deployments demonstrate meaningful impact on Medicare beneficiaries:</w:t>
      </w:r>
    </w:p>
    <w:p w14:paraId="4395055F" w14:textId="77777777" w:rsidR="00DF122B" w:rsidRPr="00DF122B" w:rsidRDefault="00DF122B" w:rsidP="00DF122B">
      <w:pPr>
        <w:numPr>
          <w:ilvl w:val="0"/>
          <w:numId w:val="24"/>
        </w:numPr>
        <w:rPr>
          <w:rFonts w:cstheme="minorHAnsi"/>
        </w:rPr>
      </w:pPr>
      <w:r w:rsidRPr="00DF122B">
        <w:rPr>
          <w:rFonts w:cstheme="minorHAnsi"/>
          <w:b/>
          <w:bCs/>
        </w:rPr>
        <w:t>25 days faster</w:t>
      </w:r>
      <w:r w:rsidRPr="00DF122B">
        <w:rPr>
          <w:rFonts w:cstheme="minorHAnsi"/>
        </w:rPr>
        <w:t xml:space="preserve"> return to functional range of motion (ROM)</w:t>
      </w:r>
    </w:p>
    <w:p w14:paraId="46FBF86F" w14:textId="77777777" w:rsidR="00DF122B" w:rsidRPr="00DF122B" w:rsidRDefault="00DF122B" w:rsidP="00DF122B">
      <w:pPr>
        <w:numPr>
          <w:ilvl w:val="0"/>
          <w:numId w:val="24"/>
        </w:numPr>
        <w:rPr>
          <w:rFonts w:cstheme="minorHAnsi"/>
        </w:rPr>
      </w:pPr>
      <w:r w:rsidRPr="00DF122B">
        <w:rPr>
          <w:rFonts w:cstheme="minorHAnsi"/>
          <w:b/>
          <w:bCs/>
        </w:rPr>
        <w:t>60% fewer complications</w:t>
      </w:r>
      <w:r w:rsidRPr="00DF122B">
        <w:rPr>
          <w:rFonts w:cstheme="minorHAnsi"/>
        </w:rPr>
        <w:t xml:space="preserve"> requiring intervention (e.g., knee manipulation under anesthesia)</w:t>
      </w:r>
    </w:p>
    <w:p w14:paraId="4B769BE1" w14:textId="77777777" w:rsidR="00DF122B" w:rsidRPr="00DF122B" w:rsidRDefault="00DF122B" w:rsidP="00DF122B">
      <w:pPr>
        <w:numPr>
          <w:ilvl w:val="0"/>
          <w:numId w:val="24"/>
        </w:numPr>
        <w:rPr>
          <w:rFonts w:cstheme="minorHAnsi"/>
        </w:rPr>
      </w:pPr>
      <w:r w:rsidRPr="00DF122B">
        <w:rPr>
          <w:rFonts w:cstheme="minorHAnsi"/>
          <w:b/>
          <w:bCs/>
        </w:rPr>
        <w:t>41% pain reduction</w:t>
      </w:r>
      <w:r w:rsidRPr="00DF122B">
        <w:rPr>
          <w:rFonts w:cstheme="minorHAnsi"/>
        </w:rPr>
        <w:t xml:space="preserve"> within the first month</w:t>
      </w:r>
    </w:p>
    <w:p w14:paraId="2046F39D" w14:textId="77777777" w:rsidR="00DF122B" w:rsidRPr="00DF122B" w:rsidRDefault="00DF122B" w:rsidP="00DF122B">
      <w:pPr>
        <w:numPr>
          <w:ilvl w:val="0"/>
          <w:numId w:val="24"/>
        </w:numPr>
        <w:rPr>
          <w:rFonts w:cstheme="minorHAnsi"/>
        </w:rPr>
      </w:pPr>
      <w:r w:rsidRPr="00DF122B">
        <w:rPr>
          <w:rFonts w:cstheme="minorHAnsi"/>
          <w:b/>
          <w:bCs/>
        </w:rPr>
        <w:t>78% improvement in ROM</w:t>
      </w:r>
      <w:r w:rsidRPr="00DF122B">
        <w:rPr>
          <w:rFonts w:cstheme="minorHAnsi"/>
        </w:rPr>
        <w:t xml:space="preserve"> after one month</w:t>
      </w:r>
    </w:p>
    <w:p w14:paraId="5CFC7E96" w14:textId="77777777" w:rsidR="00DF122B" w:rsidRPr="00DF122B" w:rsidRDefault="00DF122B" w:rsidP="00DF122B">
      <w:pPr>
        <w:numPr>
          <w:ilvl w:val="0"/>
          <w:numId w:val="24"/>
        </w:numPr>
        <w:rPr>
          <w:rFonts w:cstheme="minorHAnsi"/>
        </w:rPr>
      </w:pPr>
      <w:r w:rsidRPr="00DF122B">
        <w:rPr>
          <w:rFonts w:cstheme="minorHAnsi"/>
          <w:b/>
          <w:bCs/>
        </w:rPr>
        <w:t>Reduced post-acute service utilization</w:t>
      </w:r>
      <w:r w:rsidRPr="00DF122B">
        <w:rPr>
          <w:rFonts w:cstheme="minorHAnsi"/>
        </w:rPr>
        <w:t xml:space="preserve"> (–1 vs. +7 benchmarked against ODG)</w:t>
      </w:r>
    </w:p>
    <w:p w14:paraId="5D91354E" w14:textId="77777777" w:rsidR="00DF122B" w:rsidRPr="00DF122B" w:rsidRDefault="00DF122B" w:rsidP="00DF122B">
      <w:pPr>
        <w:numPr>
          <w:ilvl w:val="0"/>
          <w:numId w:val="24"/>
        </w:numPr>
        <w:rPr>
          <w:rFonts w:cstheme="minorHAnsi"/>
        </w:rPr>
      </w:pPr>
      <w:r w:rsidRPr="00DF122B">
        <w:rPr>
          <w:rFonts w:cstheme="minorHAnsi"/>
          <w:b/>
          <w:bCs/>
        </w:rPr>
        <w:t>Over $2,000 in payer savings per case</w:t>
      </w:r>
    </w:p>
    <w:p w14:paraId="26B6D1FF" w14:textId="77777777" w:rsidR="00DF122B" w:rsidRPr="00DF122B" w:rsidRDefault="00DF122B" w:rsidP="00DF122B">
      <w:pPr>
        <w:rPr>
          <w:rFonts w:cstheme="minorHAnsi"/>
        </w:rPr>
      </w:pPr>
      <w:r w:rsidRPr="00DF122B">
        <w:rPr>
          <w:rFonts w:cstheme="minorHAnsi"/>
        </w:rPr>
        <w:t>These outcomes support the case for inclusive, tech-enabled models that combine behavioral, functional, and clinical insights to improve recovery while reducing system costs.</w:t>
      </w:r>
    </w:p>
    <w:p w14:paraId="3D40FD62" w14:textId="77777777" w:rsidR="00DF122B" w:rsidRDefault="00DF122B" w:rsidP="00726654">
      <w:pPr>
        <w:rPr>
          <w:rFonts w:cstheme="minorHAnsi"/>
        </w:rPr>
      </w:pPr>
    </w:p>
    <w:p w14:paraId="7ABF496F" w14:textId="5FB2B0B1" w:rsidR="0057578F" w:rsidRPr="00630782" w:rsidRDefault="0057578F" w:rsidP="00726654">
      <w:pPr>
        <w:rPr>
          <w:rFonts w:cstheme="minorHAnsi"/>
          <w:b/>
          <w:bCs/>
        </w:rPr>
      </w:pPr>
      <w:r w:rsidRPr="00630782">
        <w:rPr>
          <w:rFonts w:cstheme="minorHAnsi"/>
          <w:b/>
          <w:bCs/>
        </w:rPr>
        <w:t>Section I: Digital Health Tools for Medicare Beneficiaries</w:t>
      </w:r>
    </w:p>
    <w:p w14:paraId="4DA0FCB7" w14:textId="600A006D" w:rsidR="00726654" w:rsidRPr="00630782" w:rsidRDefault="00726654" w:rsidP="00726654">
      <w:pPr>
        <w:rPr>
          <w:rFonts w:cstheme="minorHAnsi"/>
        </w:rPr>
      </w:pPr>
      <w:r w:rsidRPr="00630782">
        <w:rPr>
          <w:rFonts w:cstheme="minorHAnsi"/>
          <w:b/>
          <w:bCs/>
        </w:rPr>
        <w:t>Key Insights:</w:t>
      </w:r>
    </w:p>
    <w:p w14:paraId="5A4D3383" w14:textId="66514962" w:rsidR="00BB3C43" w:rsidRPr="00630782" w:rsidRDefault="00BB3C43" w:rsidP="00BB3C43">
      <w:pPr>
        <w:pStyle w:val="ListParagraph"/>
        <w:numPr>
          <w:ilvl w:val="0"/>
          <w:numId w:val="8"/>
        </w:numPr>
        <w:rPr>
          <w:rFonts w:cstheme="minorHAnsi"/>
        </w:rPr>
      </w:pPr>
      <w:r w:rsidRPr="00630782">
        <w:rPr>
          <w:rFonts w:cstheme="minorHAnsi"/>
        </w:rPr>
        <w:t xml:space="preserve">The digital health market for Medicare is growing but </w:t>
      </w:r>
      <w:r w:rsidR="00E70E84">
        <w:rPr>
          <w:rFonts w:cstheme="minorHAnsi"/>
        </w:rPr>
        <w:t>lacks awareness by care providers</w:t>
      </w:r>
      <w:r w:rsidRPr="00630782">
        <w:rPr>
          <w:rFonts w:cstheme="minorHAnsi"/>
        </w:rPr>
        <w:t>.</w:t>
      </w:r>
    </w:p>
    <w:p w14:paraId="3B251F7C" w14:textId="77777777" w:rsidR="00BB3C43" w:rsidRPr="00630782" w:rsidRDefault="00BB3C43" w:rsidP="00BB3C43">
      <w:pPr>
        <w:pStyle w:val="ListParagraph"/>
        <w:numPr>
          <w:ilvl w:val="0"/>
          <w:numId w:val="8"/>
        </w:numPr>
        <w:rPr>
          <w:rFonts w:cstheme="minorHAnsi"/>
        </w:rPr>
      </w:pPr>
      <w:r w:rsidRPr="00630782">
        <w:rPr>
          <w:rFonts w:cstheme="minorHAnsi"/>
        </w:rPr>
        <w:t>While Remote Therapeutic Monitoring (RTM) and Remote Physiological Monitoring (RPM) codes have opened important doors, provider adoption is still hindered by confusion surrounding reimbursement, data integration, and workflow optimization.</w:t>
      </w:r>
    </w:p>
    <w:p w14:paraId="02FB73F3" w14:textId="01C314EB" w:rsidR="00BB3C43" w:rsidRPr="009905B2" w:rsidRDefault="00BB3C43" w:rsidP="00BB3C43">
      <w:pPr>
        <w:pStyle w:val="ListParagraph"/>
        <w:numPr>
          <w:ilvl w:val="0"/>
          <w:numId w:val="8"/>
        </w:numPr>
        <w:rPr>
          <w:rFonts w:cstheme="minorHAnsi"/>
        </w:rPr>
      </w:pPr>
      <w:r w:rsidRPr="009905B2">
        <w:rPr>
          <w:rFonts w:cstheme="minorHAnsi"/>
        </w:rPr>
        <w:lastRenderedPageBreak/>
        <w:t xml:space="preserve">Most digital health tools in the Medicare space lack behavioral reinforcement and patient-centric </w:t>
      </w:r>
      <w:proofErr w:type="gramStart"/>
      <w:r w:rsidRPr="009905B2">
        <w:rPr>
          <w:rFonts w:cstheme="minorHAnsi"/>
        </w:rPr>
        <w:t>design</w:t>
      </w:r>
      <w:proofErr w:type="gramEnd"/>
      <w:r w:rsidR="00630782" w:rsidRPr="009905B2">
        <w:rPr>
          <w:rFonts w:cstheme="minorHAnsi"/>
        </w:rPr>
        <w:t xml:space="preserve"> </w:t>
      </w:r>
      <w:r w:rsidRPr="009905B2">
        <w:rPr>
          <w:rFonts w:cstheme="minorHAnsi"/>
        </w:rPr>
        <w:t>both of which are essential for sustained engagement and improved outcomes.</w:t>
      </w:r>
    </w:p>
    <w:p w14:paraId="44FBF0FE" w14:textId="1F79B3AB" w:rsidR="00360712" w:rsidRDefault="00360712" w:rsidP="00143BFF">
      <w:pPr>
        <w:rPr>
          <w:rFonts w:cstheme="minorHAnsi"/>
          <w:b/>
          <w:bCs/>
        </w:rPr>
      </w:pPr>
      <w:r w:rsidRPr="00360712">
        <w:rPr>
          <w:rFonts w:cstheme="minorHAnsi"/>
          <w:b/>
          <w:bCs/>
        </w:rPr>
        <w:t xml:space="preserve">Provider Experience Demonstrates </w:t>
      </w:r>
      <w:proofErr w:type="gramStart"/>
      <w:r w:rsidRPr="00360712">
        <w:rPr>
          <w:rFonts w:cstheme="minorHAnsi"/>
          <w:b/>
          <w:bCs/>
        </w:rPr>
        <w:t>Impact</w:t>
      </w:r>
      <w:proofErr w:type="gramEnd"/>
      <w:r w:rsidRPr="00360712">
        <w:rPr>
          <w:rFonts w:cstheme="minorHAnsi"/>
          <w:b/>
          <w:bCs/>
        </w:rPr>
        <w:t xml:space="preserve"> on Medicare Recovery Pathways</w:t>
      </w:r>
      <w:r>
        <w:rPr>
          <w:rFonts w:cstheme="minorHAnsi"/>
          <w:b/>
          <w:bCs/>
        </w:rPr>
        <w:t>:</w:t>
      </w:r>
    </w:p>
    <w:p w14:paraId="23FCCC02" w14:textId="1EC1E70D" w:rsidR="00270304" w:rsidRPr="00270304" w:rsidRDefault="00270304" w:rsidP="00143BFF">
      <w:pPr>
        <w:rPr>
          <w:rFonts w:cstheme="minorHAnsi"/>
        </w:rPr>
      </w:pPr>
      <w:r w:rsidRPr="00270304">
        <w:rPr>
          <w:rFonts w:cstheme="minorHAnsi"/>
        </w:rPr>
        <w:t xml:space="preserve">Our partnerships with providers such as Inova have demonstrated that digital health tools are most effective when embedded into routine workflows with patient-centric design. Through Recupe, these organizations </w:t>
      </w:r>
      <w:proofErr w:type="gramStart"/>
      <w:r w:rsidRPr="00270304">
        <w:rPr>
          <w:rFonts w:cstheme="minorHAnsi"/>
        </w:rPr>
        <w:t>are able to</w:t>
      </w:r>
      <w:proofErr w:type="gramEnd"/>
      <w:r w:rsidRPr="00270304">
        <w:rPr>
          <w:rFonts w:cstheme="minorHAnsi"/>
        </w:rPr>
        <w:t xml:space="preserve"> monitor Medicare </w:t>
      </w:r>
      <w:proofErr w:type="gramStart"/>
      <w:r w:rsidRPr="00270304">
        <w:rPr>
          <w:rFonts w:cstheme="minorHAnsi"/>
        </w:rPr>
        <w:t>beneficiaries’</w:t>
      </w:r>
      <w:proofErr w:type="gramEnd"/>
      <w:r w:rsidRPr="00270304">
        <w:rPr>
          <w:rFonts w:cstheme="minorHAnsi"/>
        </w:rPr>
        <w:t xml:space="preserve"> </w:t>
      </w:r>
      <w:r w:rsidR="00A50552">
        <w:rPr>
          <w:rFonts w:cstheme="minorHAnsi"/>
        </w:rPr>
        <w:t>through conservative care, pre-surg</w:t>
      </w:r>
      <w:r w:rsidR="00425D81">
        <w:rPr>
          <w:rFonts w:cstheme="minorHAnsi"/>
        </w:rPr>
        <w:t>ery</w:t>
      </w:r>
      <w:r w:rsidR="00A50552">
        <w:rPr>
          <w:rFonts w:cstheme="minorHAnsi"/>
        </w:rPr>
        <w:t xml:space="preserve"> and </w:t>
      </w:r>
      <w:r w:rsidRPr="00270304">
        <w:rPr>
          <w:rFonts w:cstheme="minorHAnsi"/>
        </w:rPr>
        <w:t>post-surg</w:t>
      </w:r>
      <w:r w:rsidR="00425D81">
        <w:rPr>
          <w:rFonts w:cstheme="minorHAnsi"/>
        </w:rPr>
        <w:t>ery</w:t>
      </w:r>
      <w:r w:rsidRPr="00270304">
        <w:rPr>
          <w:rFonts w:cstheme="minorHAnsi"/>
        </w:rPr>
        <w:t xml:space="preserve"> using behavioral, functional, and biometric insights</w:t>
      </w:r>
      <w:r>
        <w:rPr>
          <w:rFonts w:cstheme="minorHAnsi"/>
        </w:rPr>
        <w:t xml:space="preserve"> </w:t>
      </w:r>
      <w:r w:rsidRPr="00270304">
        <w:rPr>
          <w:rFonts w:cstheme="minorHAnsi"/>
        </w:rPr>
        <w:t>driving higher engagement and more personalized care planning</w:t>
      </w:r>
      <w:r w:rsidR="00E726C9">
        <w:rPr>
          <w:rFonts w:cstheme="minorHAnsi"/>
        </w:rPr>
        <w:t xml:space="preserve"> leading </w:t>
      </w:r>
      <w:r w:rsidR="00425D81">
        <w:rPr>
          <w:rFonts w:cstheme="minorHAnsi"/>
        </w:rPr>
        <w:t xml:space="preserve">to </w:t>
      </w:r>
      <w:r w:rsidR="00E726C9">
        <w:rPr>
          <w:rFonts w:cstheme="minorHAnsi"/>
        </w:rPr>
        <w:t>quality outcomes</w:t>
      </w:r>
      <w:r w:rsidRPr="00270304">
        <w:rPr>
          <w:rFonts w:cstheme="minorHAnsi"/>
        </w:rPr>
        <w:t>.</w:t>
      </w:r>
    </w:p>
    <w:p w14:paraId="42A53ABA" w14:textId="77777777" w:rsidR="00360712" w:rsidRDefault="00360712" w:rsidP="00143BFF">
      <w:pPr>
        <w:rPr>
          <w:rFonts w:cstheme="minorHAnsi"/>
          <w:b/>
          <w:bCs/>
        </w:rPr>
      </w:pPr>
    </w:p>
    <w:p w14:paraId="47601A9D" w14:textId="1059086F" w:rsidR="00143BFF" w:rsidRPr="00630782" w:rsidRDefault="00C2156C" w:rsidP="00143BFF">
      <w:pPr>
        <w:rPr>
          <w:rFonts w:cstheme="minorHAnsi"/>
        </w:rPr>
      </w:pPr>
      <w:r w:rsidRPr="00630782">
        <w:rPr>
          <w:rFonts w:cstheme="minorHAnsi"/>
          <w:b/>
          <w:bCs/>
        </w:rPr>
        <w:t>Recommendations:</w:t>
      </w:r>
      <w:r w:rsidRPr="00630782">
        <w:rPr>
          <w:rFonts w:cstheme="minorHAnsi"/>
          <w:b/>
          <w:bCs/>
        </w:rPr>
        <w:br/>
      </w:r>
      <w:r w:rsidR="00143BFF" w:rsidRPr="00630782">
        <w:rPr>
          <w:rFonts w:cstheme="minorHAnsi"/>
        </w:rPr>
        <w:t>CMS and ONC:</w:t>
      </w:r>
    </w:p>
    <w:p w14:paraId="4CE9C769" w14:textId="753F5C65" w:rsidR="00143BFF" w:rsidRPr="00630782" w:rsidRDefault="00143BFF" w:rsidP="00143BFF">
      <w:pPr>
        <w:numPr>
          <w:ilvl w:val="0"/>
          <w:numId w:val="18"/>
        </w:numPr>
        <w:rPr>
          <w:rFonts w:cstheme="minorHAnsi"/>
        </w:rPr>
      </w:pPr>
      <w:r w:rsidRPr="00630782">
        <w:rPr>
          <w:rFonts w:cstheme="minorHAnsi"/>
        </w:rPr>
        <w:t xml:space="preserve">Clarify and streamline RTM/RPM reimbursement guidance for Medicare providers, including detailed use-case examples for primary care, specialists, and therapy-based providers utilizing third-party platforms. This would reduce confusion and improve </w:t>
      </w:r>
      <w:r w:rsidR="00701DCD" w:rsidRPr="00630782">
        <w:rPr>
          <w:rFonts w:cstheme="minorHAnsi"/>
        </w:rPr>
        <w:t>the adoption</w:t>
      </w:r>
      <w:r w:rsidRPr="00630782">
        <w:rPr>
          <w:rFonts w:cstheme="minorHAnsi"/>
        </w:rPr>
        <w:t xml:space="preserve"> of digital health tools.</w:t>
      </w:r>
    </w:p>
    <w:p w14:paraId="3F93E0D6" w14:textId="48C93232" w:rsidR="00143BFF" w:rsidRPr="00630782" w:rsidRDefault="00143BFF" w:rsidP="00143BFF">
      <w:pPr>
        <w:numPr>
          <w:ilvl w:val="0"/>
          <w:numId w:val="18"/>
        </w:numPr>
        <w:rPr>
          <w:rFonts w:cstheme="minorHAnsi"/>
          <w:color w:val="000000" w:themeColor="text1"/>
        </w:rPr>
      </w:pPr>
      <w:r w:rsidRPr="00630782">
        <w:rPr>
          <w:rFonts w:cstheme="minorHAnsi"/>
        </w:rPr>
        <w:t xml:space="preserve">Incentivize onboarding and digital health coaching for Medicare beneficiaries, recognizing that older adults often need structured, human-led support to effectively use new technologies. Reimbursement models should support the roles of onboarding coordinators or digital </w:t>
      </w:r>
      <w:r w:rsidRPr="00630782">
        <w:rPr>
          <w:rFonts w:cstheme="minorHAnsi"/>
          <w:color w:val="000000" w:themeColor="text1"/>
        </w:rPr>
        <w:t>navigators</w:t>
      </w:r>
      <w:r w:rsidR="00701DCD" w:rsidRPr="00630782">
        <w:rPr>
          <w:rFonts w:cstheme="minorHAnsi"/>
          <w:color w:val="000000" w:themeColor="text1"/>
        </w:rPr>
        <w:t xml:space="preserve"> who can bridge the gap between technology and patient use. </w:t>
      </w:r>
    </w:p>
    <w:p w14:paraId="2725357B" w14:textId="077269FE" w:rsidR="00143BFF" w:rsidRPr="00630782" w:rsidRDefault="00143BFF" w:rsidP="00143BFF">
      <w:pPr>
        <w:numPr>
          <w:ilvl w:val="0"/>
          <w:numId w:val="18"/>
        </w:numPr>
        <w:rPr>
          <w:rFonts w:cstheme="minorHAnsi"/>
        </w:rPr>
      </w:pPr>
      <w:r w:rsidRPr="00630782">
        <w:rPr>
          <w:rFonts w:cstheme="minorHAnsi"/>
        </w:rPr>
        <w:t>Prioritize digital health platforms that incorporate a biopsychosocial model, encouraging engagement through behavioral, functional, and psychosocial inputs</w:t>
      </w:r>
      <w:r w:rsidR="008F19C1" w:rsidRPr="00630782">
        <w:rPr>
          <w:rFonts w:cstheme="minorHAnsi"/>
        </w:rPr>
        <w:t xml:space="preserve"> </w:t>
      </w:r>
      <w:r w:rsidRPr="00630782">
        <w:rPr>
          <w:rFonts w:cstheme="minorHAnsi"/>
        </w:rPr>
        <w:t>not just clinical metrics. These models are critical for improving adherence and long-term outcomes in Medicare populations.</w:t>
      </w:r>
    </w:p>
    <w:p w14:paraId="59816AF3" w14:textId="77777777" w:rsidR="00143BFF" w:rsidRPr="00630782" w:rsidRDefault="00143BFF" w:rsidP="00143BFF">
      <w:pPr>
        <w:numPr>
          <w:ilvl w:val="0"/>
          <w:numId w:val="18"/>
        </w:numPr>
        <w:rPr>
          <w:rFonts w:cstheme="minorHAnsi"/>
        </w:rPr>
      </w:pPr>
      <w:r w:rsidRPr="00630782">
        <w:rPr>
          <w:rFonts w:cstheme="minorHAnsi"/>
        </w:rPr>
        <w:t>Establish a voluntary Medicare-Ready certification or recognition program for digital tools that meet standards for usability, accessibility, security, and patient engagement. This would help providers identify tools that are truly designed for older adults and reduce risk in vendor selection.</w:t>
      </w:r>
    </w:p>
    <w:p w14:paraId="54F0E01E" w14:textId="77777777" w:rsidR="00143BFF" w:rsidRDefault="00143BFF" w:rsidP="00143BFF">
      <w:pPr>
        <w:numPr>
          <w:ilvl w:val="0"/>
          <w:numId w:val="18"/>
        </w:numPr>
        <w:rPr>
          <w:rFonts w:cstheme="minorHAnsi"/>
        </w:rPr>
      </w:pPr>
      <w:r w:rsidRPr="00630782">
        <w:rPr>
          <w:rFonts w:cstheme="minorHAnsi"/>
        </w:rPr>
        <w:t>Support digital health literacy programs targeted at Medicare beneficiaries, especially in underserved and rural communities. Partnerships with community organizations, libraries, and senior centers can provide in-person support and build long-term capacity for digital engagement.</w:t>
      </w:r>
    </w:p>
    <w:p w14:paraId="65A30C2C" w14:textId="0E97EB3F" w:rsidR="003A2F1C" w:rsidRPr="00630782" w:rsidRDefault="003A2F1C" w:rsidP="00143BFF">
      <w:pPr>
        <w:numPr>
          <w:ilvl w:val="0"/>
          <w:numId w:val="18"/>
        </w:numPr>
        <w:rPr>
          <w:rFonts w:cstheme="minorHAnsi"/>
        </w:rPr>
      </w:pPr>
      <w:r w:rsidRPr="003A2F1C">
        <w:rPr>
          <w:rFonts w:cstheme="minorHAnsi"/>
        </w:rPr>
        <w:t>Support hybrid digital care models that integrate human support roles with digital monitoring. At Plethy, combining real-time data with onboarding coordinators and ongoing coaching has resulted in greater engagement among Medicare beneficiaries, particularly those with low digital fluency or high post-acute care needs.</w:t>
      </w:r>
    </w:p>
    <w:p w14:paraId="46D5F1DF" w14:textId="18ACE39D" w:rsidR="006E7799" w:rsidRPr="00630782" w:rsidRDefault="006E7799" w:rsidP="006E7799">
      <w:pPr>
        <w:rPr>
          <w:rFonts w:cstheme="minorHAnsi"/>
        </w:rPr>
      </w:pPr>
      <w:r w:rsidRPr="00630782">
        <w:rPr>
          <w:rFonts w:cstheme="minorHAnsi"/>
        </w:rPr>
        <w:t>Many older adults lack digital literacy. At Plethy, we found that incorporating human onboarding coordinators significantly improved adoption among Medicare users, demonstrating the need for CMS to fund human support roles.</w:t>
      </w:r>
    </w:p>
    <w:p w14:paraId="26D250DB" w14:textId="7920DA2F" w:rsidR="00726654" w:rsidRPr="00630782" w:rsidRDefault="00726654" w:rsidP="00726654">
      <w:pPr>
        <w:rPr>
          <w:rFonts w:cstheme="minorHAnsi"/>
        </w:rPr>
      </w:pPr>
    </w:p>
    <w:p w14:paraId="4A32703A" w14:textId="77777777" w:rsidR="006460B6" w:rsidRPr="00630782" w:rsidRDefault="006460B6" w:rsidP="006460B6">
      <w:pPr>
        <w:rPr>
          <w:rFonts w:cstheme="minorHAnsi"/>
          <w:b/>
          <w:bCs/>
        </w:rPr>
      </w:pPr>
      <w:r w:rsidRPr="00630782">
        <w:rPr>
          <w:rFonts w:cstheme="minorHAnsi"/>
          <w:b/>
          <w:bCs/>
        </w:rPr>
        <w:t>Section II: Interoperability and Clinical Integration of Digital Health Data</w:t>
      </w:r>
    </w:p>
    <w:p w14:paraId="0C0848B3" w14:textId="77777777" w:rsidR="006460B6" w:rsidRPr="00630782" w:rsidRDefault="006460B6" w:rsidP="006460B6">
      <w:pPr>
        <w:pStyle w:val="NormalWeb"/>
        <w:rPr>
          <w:rFonts w:asciiTheme="minorHAnsi" w:hAnsiTheme="minorHAnsi" w:cstheme="minorHAnsi"/>
          <w:sz w:val="22"/>
          <w:szCs w:val="22"/>
        </w:rPr>
      </w:pPr>
      <w:r w:rsidRPr="00630782">
        <w:rPr>
          <w:rStyle w:val="Strong"/>
          <w:rFonts w:asciiTheme="minorHAnsi" w:eastAsiaTheme="majorEastAsia" w:hAnsiTheme="minorHAnsi" w:cstheme="minorHAnsi"/>
          <w:sz w:val="22"/>
          <w:szCs w:val="22"/>
        </w:rPr>
        <w:t>Key Insights:</w:t>
      </w:r>
    </w:p>
    <w:p w14:paraId="34D9B685" w14:textId="77777777" w:rsidR="006460B6" w:rsidRPr="00630782" w:rsidRDefault="006460B6" w:rsidP="006460B6">
      <w:pPr>
        <w:pStyle w:val="NormalWeb"/>
        <w:numPr>
          <w:ilvl w:val="0"/>
          <w:numId w:val="18"/>
        </w:numPr>
        <w:rPr>
          <w:rFonts w:asciiTheme="minorHAnsi" w:hAnsiTheme="minorHAnsi" w:cstheme="minorHAnsi"/>
          <w:sz w:val="22"/>
          <w:szCs w:val="22"/>
        </w:rPr>
      </w:pPr>
      <w:r w:rsidRPr="00630782">
        <w:rPr>
          <w:rFonts w:asciiTheme="minorHAnsi" w:hAnsiTheme="minorHAnsi" w:cstheme="minorHAnsi"/>
          <w:sz w:val="22"/>
          <w:szCs w:val="22"/>
        </w:rPr>
        <w:t>RTM and RPM tools generate valuable data, but that data is often siloed due to limited interoperability with EHR systems and lack of standardized formats.</w:t>
      </w:r>
    </w:p>
    <w:p w14:paraId="1F3BEEB3" w14:textId="77777777" w:rsidR="006460B6" w:rsidRPr="00630782" w:rsidRDefault="006460B6" w:rsidP="006460B6">
      <w:pPr>
        <w:pStyle w:val="NormalWeb"/>
        <w:numPr>
          <w:ilvl w:val="0"/>
          <w:numId w:val="18"/>
        </w:numPr>
        <w:rPr>
          <w:rFonts w:asciiTheme="minorHAnsi" w:hAnsiTheme="minorHAnsi" w:cstheme="minorHAnsi"/>
          <w:sz w:val="22"/>
          <w:szCs w:val="22"/>
        </w:rPr>
      </w:pPr>
      <w:r w:rsidRPr="00630782">
        <w:rPr>
          <w:rFonts w:asciiTheme="minorHAnsi" w:hAnsiTheme="minorHAnsi" w:cstheme="minorHAnsi"/>
          <w:sz w:val="22"/>
          <w:szCs w:val="22"/>
        </w:rPr>
        <w:t>Clinicians and operational teams struggle to use patient-generated data effectively because of alert fatigue, workflow misalignment, and lack of actionable synthesis.</w:t>
      </w:r>
    </w:p>
    <w:p w14:paraId="59410F75" w14:textId="77777777" w:rsidR="006460B6" w:rsidRPr="00630782" w:rsidRDefault="006460B6" w:rsidP="006460B6">
      <w:pPr>
        <w:pStyle w:val="NormalWeb"/>
        <w:numPr>
          <w:ilvl w:val="0"/>
          <w:numId w:val="18"/>
        </w:numPr>
        <w:rPr>
          <w:rFonts w:asciiTheme="minorHAnsi" w:hAnsiTheme="minorHAnsi" w:cstheme="minorHAnsi"/>
          <w:sz w:val="22"/>
          <w:szCs w:val="22"/>
        </w:rPr>
      </w:pPr>
      <w:r w:rsidRPr="00630782">
        <w:rPr>
          <w:rFonts w:asciiTheme="minorHAnsi" w:hAnsiTheme="minorHAnsi" w:cstheme="minorHAnsi"/>
          <w:sz w:val="22"/>
          <w:szCs w:val="22"/>
        </w:rPr>
        <w:t>Existing interoperability standards (e.g., FHIR APIs) have promise but are not widely implemented or tailored to condition-specific use cases.</w:t>
      </w:r>
    </w:p>
    <w:p w14:paraId="2FFAF1D1" w14:textId="77777777" w:rsidR="006460B6" w:rsidRDefault="006460B6" w:rsidP="006460B6">
      <w:pPr>
        <w:pStyle w:val="NormalWeb"/>
        <w:numPr>
          <w:ilvl w:val="0"/>
          <w:numId w:val="18"/>
        </w:numPr>
        <w:rPr>
          <w:rFonts w:asciiTheme="minorHAnsi" w:hAnsiTheme="minorHAnsi" w:cstheme="minorHAnsi"/>
          <w:sz w:val="22"/>
          <w:szCs w:val="22"/>
        </w:rPr>
      </w:pPr>
      <w:r w:rsidRPr="00630782">
        <w:rPr>
          <w:rFonts w:asciiTheme="minorHAnsi" w:hAnsiTheme="minorHAnsi" w:cstheme="minorHAnsi"/>
          <w:sz w:val="22"/>
          <w:szCs w:val="22"/>
        </w:rPr>
        <w:t>Smaller vendors face steep barriers in integrating with proprietary EHRs, while providers lack support to adopt digital tools that aren't easily interoperable.</w:t>
      </w:r>
    </w:p>
    <w:p w14:paraId="254D0547" w14:textId="3351CC0E" w:rsidR="00654A74" w:rsidRDefault="00654A74" w:rsidP="006460B6">
      <w:pPr>
        <w:pStyle w:val="NormalWeb"/>
        <w:numPr>
          <w:ilvl w:val="0"/>
          <w:numId w:val="18"/>
        </w:numPr>
        <w:rPr>
          <w:rFonts w:asciiTheme="minorHAnsi" w:hAnsiTheme="minorHAnsi" w:cstheme="minorHAnsi"/>
          <w:sz w:val="22"/>
          <w:szCs w:val="22"/>
        </w:rPr>
      </w:pPr>
      <w:r w:rsidRPr="00654A74">
        <w:rPr>
          <w:rFonts w:asciiTheme="minorHAnsi" w:hAnsiTheme="minorHAnsi" w:cstheme="minorHAnsi"/>
          <w:sz w:val="22"/>
          <w:szCs w:val="22"/>
        </w:rPr>
        <w:t>Preliminary data from Recupe deployments suggest directional reductions in avoidable follow-ups and hospital readmissions by enabling patient touchpoints, early risk identification, and adherence reinforcement</w:t>
      </w:r>
      <w:r w:rsidR="005A0803">
        <w:rPr>
          <w:rFonts w:asciiTheme="minorHAnsi" w:hAnsiTheme="minorHAnsi" w:cstheme="minorHAnsi"/>
          <w:sz w:val="22"/>
          <w:szCs w:val="22"/>
        </w:rPr>
        <w:t xml:space="preserve">, </w:t>
      </w:r>
      <w:r w:rsidRPr="00654A74">
        <w:rPr>
          <w:rFonts w:asciiTheme="minorHAnsi" w:hAnsiTheme="minorHAnsi" w:cstheme="minorHAnsi"/>
          <w:sz w:val="22"/>
          <w:szCs w:val="22"/>
        </w:rPr>
        <w:t>especially in lower-resource settings where gaps in post-acute care are more pronounced.</w:t>
      </w:r>
    </w:p>
    <w:p w14:paraId="4E10D0CD" w14:textId="18FB6E4A" w:rsidR="00BD2448" w:rsidRDefault="00BD2448" w:rsidP="006460B6">
      <w:pPr>
        <w:pStyle w:val="NormalWeb"/>
        <w:numPr>
          <w:ilvl w:val="0"/>
          <w:numId w:val="18"/>
        </w:numPr>
        <w:rPr>
          <w:rFonts w:asciiTheme="minorHAnsi" w:hAnsiTheme="minorHAnsi" w:cstheme="minorHAnsi"/>
          <w:sz w:val="22"/>
          <w:szCs w:val="22"/>
        </w:rPr>
      </w:pPr>
      <w:r w:rsidRPr="00BD2448">
        <w:rPr>
          <w:rFonts w:asciiTheme="minorHAnsi" w:hAnsiTheme="minorHAnsi" w:cstheme="minorHAnsi"/>
          <w:sz w:val="22"/>
          <w:szCs w:val="22"/>
        </w:rPr>
        <w:t>As data sharing expands, ensuring patient data ownership and transparent consent is critical. Plethy supports clear patient consent protocols and believes patients should own and control their health data, with seamless, secure ability to share it with caregivers, providers, and payers.</w:t>
      </w:r>
    </w:p>
    <w:p w14:paraId="4355F236" w14:textId="4668C6EF" w:rsidR="00314B5C" w:rsidRPr="00314B5C" w:rsidRDefault="00314B5C" w:rsidP="00314B5C">
      <w:pPr>
        <w:pStyle w:val="NormalWeb"/>
        <w:rPr>
          <w:rFonts w:asciiTheme="minorHAnsi" w:hAnsiTheme="minorHAnsi" w:cstheme="minorHAnsi"/>
          <w:b/>
          <w:bCs/>
          <w:sz w:val="22"/>
          <w:szCs w:val="22"/>
        </w:rPr>
      </w:pPr>
      <w:r w:rsidRPr="00314B5C">
        <w:rPr>
          <w:rFonts w:asciiTheme="minorHAnsi" w:hAnsiTheme="minorHAnsi" w:cstheme="minorHAnsi"/>
          <w:b/>
          <w:bCs/>
          <w:sz w:val="22"/>
          <w:szCs w:val="22"/>
        </w:rPr>
        <w:t>Clinical and Operational Use of Digital Health Tools</w:t>
      </w:r>
      <w:r>
        <w:rPr>
          <w:rFonts w:asciiTheme="minorHAnsi" w:hAnsiTheme="minorHAnsi" w:cstheme="minorHAnsi"/>
          <w:b/>
          <w:bCs/>
          <w:sz w:val="22"/>
          <w:szCs w:val="22"/>
        </w:rPr>
        <w:t>:</w:t>
      </w:r>
    </w:p>
    <w:p w14:paraId="13646DB5" w14:textId="50540DE0" w:rsidR="00314B5C" w:rsidRPr="00314B5C" w:rsidRDefault="0070524D" w:rsidP="006460B6">
      <w:pPr>
        <w:pStyle w:val="NormalWeb"/>
        <w:rPr>
          <w:rFonts w:asciiTheme="minorHAnsi" w:hAnsiTheme="minorHAnsi" w:cstheme="minorHAnsi"/>
          <w:sz w:val="22"/>
          <w:szCs w:val="22"/>
        </w:rPr>
      </w:pPr>
      <w:r w:rsidRPr="0070524D">
        <w:rPr>
          <w:rFonts w:asciiTheme="minorHAnsi" w:hAnsiTheme="minorHAnsi" w:cstheme="minorHAnsi"/>
          <w:sz w:val="22"/>
          <w:szCs w:val="22"/>
        </w:rPr>
        <w:t>In active deployments with organizations such as Suburban Orthopedics, structured summaries generated through our platform have enabled care teams to detect early risks and adjust care plans without overwhelming providers with raw data. These examples show how digital platforms can support clinicians with actionable insights when aligned with daily workflows.</w:t>
      </w:r>
    </w:p>
    <w:p w14:paraId="491BB17F" w14:textId="0FEEAD7B" w:rsidR="006460B6" w:rsidRPr="00630782" w:rsidRDefault="006460B6" w:rsidP="006460B6">
      <w:pPr>
        <w:pStyle w:val="NormalWeb"/>
        <w:rPr>
          <w:rFonts w:asciiTheme="minorHAnsi" w:hAnsiTheme="minorHAnsi" w:cstheme="minorHAnsi"/>
          <w:sz w:val="22"/>
          <w:szCs w:val="22"/>
        </w:rPr>
      </w:pPr>
      <w:r w:rsidRPr="00630782">
        <w:rPr>
          <w:rFonts w:asciiTheme="minorHAnsi" w:hAnsiTheme="minorHAnsi" w:cstheme="minorHAnsi"/>
          <w:b/>
          <w:bCs/>
          <w:sz w:val="22"/>
          <w:szCs w:val="22"/>
        </w:rPr>
        <w:t>Recommendations:</w:t>
      </w:r>
      <w:r w:rsidRPr="00630782">
        <w:rPr>
          <w:rFonts w:asciiTheme="minorHAnsi" w:hAnsiTheme="minorHAnsi" w:cstheme="minorHAnsi"/>
          <w:sz w:val="22"/>
          <w:szCs w:val="22"/>
        </w:rPr>
        <w:br/>
        <w:t>CMS and ONC:</w:t>
      </w:r>
    </w:p>
    <w:p w14:paraId="4675356B" w14:textId="77777777" w:rsidR="006460B6" w:rsidRPr="00630782" w:rsidRDefault="006460B6" w:rsidP="006460B6">
      <w:pPr>
        <w:pStyle w:val="NormalWeb"/>
        <w:numPr>
          <w:ilvl w:val="0"/>
          <w:numId w:val="19"/>
        </w:numPr>
        <w:rPr>
          <w:rFonts w:asciiTheme="minorHAnsi" w:hAnsiTheme="minorHAnsi" w:cstheme="minorHAnsi"/>
          <w:sz w:val="22"/>
          <w:szCs w:val="22"/>
        </w:rPr>
      </w:pPr>
      <w:r w:rsidRPr="00630782">
        <w:rPr>
          <w:rFonts w:asciiTheme="minorHAnsi" w:hAnsiTheme="minorHAnsi" w:cstheme="minorHAnsi"/>
          <w:sz w:val="22"/>
          <w:szCs w:val="22"/>
        </w:rPr>
        <w:t>Expand FHIR compliance mandates to include condition-specific modules and bidirectional data exchange.</w:t>
      </w:r>
    </w:p>
    <w:p w14:paraId="198F335F" w14:textId="77777777" w:rsidR="006460B6" w:rsidRPr="00630782" w:rsidRDefault="006460B6" w:rsidP="006460B6">
      <w:pPr>
        <w:pStyle w:val="NormalWeb"/>
        <w:numPr>
          <w:ilvl w:val="0"/>
          <w:numId w:val="19"/>
        </w:numPr>
        <w:rPr>
          <w:rFonts w:asciiTheme="minorHAnsi" w:hAnsiTheme="minorHAnsi" w:cstheme="minorHAnsi"/>
          <w:sz w:val="22"/>
          <w:szCs w:val="22"/>
        </w:rPr>
      </w:pPr>
      <w:r w:rsidRPr="00630782">
        <w:rPr>
          <w:rFonts w:asciiTheme="minorHAnsi" w:hAnsiTheme="minorHAnsi" w:cstheme="minorHAnsi"/>
          <w:sz w:val="22"/>
          <w:szCs w:val="22"/>
        </w:rPr>
        <w:t>Support a national certification framework for digital health tools that ensures data integrity, usability, and interoperability.</w:t>
      </w:r>
    </w:p>
    <w:p w14:paraId="25B293C3" w14:textId="77777777" w:rsidR="006460B6" w:rsidRPr="00630782" w:rsidRDefault="006460B6" w:rsidP="006460B6">
      <w:pPr>
        <w:pStyle w:val="NormalWeb"/>
        <w:numPr>
          <w:ilvl w:val="0"/>
          <w:numId w:val="19"/>
        </w:numPr>
        <w:rPr>
          <w:rFonts w:asciiTheme="minorHAnsi" w:hAnsiTheme="minorHAnsi" w:cstheme="minorHAnsi"/>
          <w:sz w:val="22"/>
          <w:szCs w:val="22"/>
        </w:rPr>
      </w:pPr>
      <w:r w:rsidRPr="00630782">
        <w:rPr>
          <w:rFonts w:asciiTheme="minorHAnsi" w:hAnsiTheme="minorHAnsi" w:cstheme="minorHAnsi"/>
          <w:sz w:val="22"/>
          <w:szCs w:val="22"/>
        </w:rPr>
        <w:t>Incentivize platforms that translate patient-generated data into structured summaries aligned with clinical decision-making and quality metrics.</w:t>
      </w:r>
    </w:p>
    <w:p w14:paraId="4EDB67EC" w14:textId="77777777" w:rsidR="006460B6" w:rsidRPr="00630782" w:rsidRDefault="006460B6" w:rsidP="006460B6">
      <w:pPr>
        <w:pStyle w:val="NormalWeb"/>
        <w:numPr>
          <w:ilvl w:val="0"/>
          <w:numId w:val="19"/>
        </w:numPr>
        <w:rPr>
          <w:rFonts w:asciiTheme="minorHAnsi" w:hAnsiTheme="minorHAnsi" w:cstheme="minorHAnsi"/>
          <w:sz w:val="22"/>
          <w:szCs w:val="22"/>
        </w:rPr>
      </w:pPr>
      <w:r w:rsidRPr="00630782">
        <w:rPr>
          <w:rFonts w:asciiTheme="minorHAnsi" w:hAnsiTheme="minorHAnsi" w:cstheme="minorHAnsi"/>
          <w:sz w:val="22"/>
          <w:szCs w:val="22"/>
        </w:rPr>
        <w:t>Encourage hybrid integration models that enable data from third-party platforms to enter clinical workflows even without full-stack EHR integration.</w:t>
      </w:r>
    </w:p>
    <w:p w14:paraId="522E9888" w14:textId="77777777" w:rsidR="006460B6" w:rsidRDefault="006460B6" w:rsidP="006460B6">
      <w:pPr>
        <w:pStyle w:val="NormalWeb"/>
        <w:numPr>
          <w:ilvl w:val="0"/>
          <w:numId w:val="19"/>
        </w:numPr>
        <w:rPr>
          <w:rFonts w:asciiTheme="minorHAnsi" w:hAnsiTheme="minorHAnsi" w:cstheme="minorHAnsi"/>
          <w:sz w:val="22"/>
          <w:szCs w:val="22"/>
        </w:rPr>
      </w:pPr>
      <w:r w:rsidRPr="00630782">
        <w:rPr>
          <w:rFonts w:asciiTheme="minorHAnsi" w:hAnsiTheme="minorHAnsi" w:cstheme="minorHAnsi"/>
          <w:sz w:val="22"/>
          <w:szCs w:val="22"/>
        </w:rPr>
        <w:t>Offer funding or technical support for plug-and-play interoperability, helping smaller vendors scale and participate in Medicare care delivery.</w:t>
      </w:r>
    </w:p>
    <w:p w14:paraId="2D8C2693" w14:textId="015DB2E2" w:rsidR="0094340A" w:rsidRPr="00630782" w:rsidRDefault="0094340A" w:rsidP="006460B6">
      <w:pPr>
        <w:pStyle w:val="NormalWeb"/>
        <w:numPr>
          <w:ilvl w:val="0"/>
          <w:numId w:val="19"/>
        </w:numPr>
        <w:rPr>
          <w:rFonts w:asciiTheme="minorHAnsi" w:hAnsiTheme="minorHAnsi" w:cstheme="minorHAnsi"/>
          <w:sz w:val="22"/>
          <w:szCs w:val="22"/>
        </w:rPr>
      </w:pPr>
      <w:r w:rsidRPr="0094340A">
        <w:rPr>
          <w:rFonts w:asciiTheme="minorHAnsi" w:hAnsiTheme="minorHAnsi" w:cstheme="minorHAnsi"/>
          <w:sz w:val="22"/>
          <w:szCs w:val="22"/>
        </w:rPr>
        <w:t>Plethy is actively evaluating integration pathways with TEFCA-aligned networks to ensure patients and providers can benefit from broad, standards-based health information exchange. Aligning with TEFCA is critical to advancing nationwide interoperability and trust in patient-generated data.</w:t>
      </w:r>
    </w:p>
    <w:p w14:paraId="3C4A4BF2" w14:textId="07D56F6F" w:rsidR="006460B6" w:rsidRPr="00630782" w:rsidRDefault="006460B6" w:rsidP="006460B6">
      <w:pPr>
        <w:pStyle w:val="NormalWeb"/>
        <w:rPr>
          <w:rFonts w:asciiTheme="minorHAnsi" w:hAnsiTheme="minorHAnsi" w:cstheme="minorHAnsi"/>
          <w:sz w:val="22"/>
          <w:szCs w:val="22"/>
        </w:rPr>
      </w:pPr>
      <w:r w:rsidRPr="00630782">
        <w:rPr>
          <w:rFonts w:asciiTheme="minorHAnsi" w:hAnsiTheme="minorHAnsi" w:cstheme="minorHAnsi"/>
          <w:b/>
          <w:bCs/>
          <w:sz w:val="22"/>
          <w:szCs w:val="22"/>
        </w:rPr>
        <w:lastRenderedPageBreak/>
        <w:t>Supporting Example:</w:t>
      </w:r>
      <w:r w:rsidRPr="00630782">
        <w:rPr>
          <w:rFonts w:asciiTheme="minorHAnsi" w:hAnsiTheme="minorHAnsi" w:cstheme="minorHAnsi"/>
          <w:sz w:val="22"/>
          <w:szCs w:val="22"/>
        </w:rPr>
        <w:br/>
        <w:t>By elevating the operational and clinical value of RTM and RPM data, CMS can help shift digital health tools from being passive data collectors to becoming active drivers of care coordination, earlier interventions, and better outcomes for Medicare beneficiaries.</w:t>
      </w:r>
    </w:p>
    <w:p w14:paraId="5DB3D8CD" w14:textId="6103976F" w:rsidR="00726654" w:rsidRPr="00630782" w:rsidRDefault="006460B6" w:rsidP="00726654">
      <w:pPr>
        <w:rPr>
          <w:rFonts w:cstheme="minorHAnsi"/>
        </w:rPr>
      </w:pPr>
      <w:r w:rsidRPr="00630782">
        <w:rPr>
          <w:rFonts w:cstheme="minorHAnsi"/>
        </w:rPr>
        <w:t>Providers working with Plethy have noted that receiving clear, synthesized summaries of patient progress instead of raw data allows them to quickly assess risk and take appropriate action. This feedback shows the need for CMS to support structured, clinically meaningful RTM/RPM data reporting across digital health platforms.</w:t>
      </w:r>
      <w:r w:rsidRPr="00630782">
        <w:rPr>
          <w:rFonts w:cstheme="minorHAnsi"/>
        </w:rPr>
        <w:br/>
      </w:r>
    </w:p>
    <w:p w14:paraId="0C3A1EC5" w14:textId="3BD25FA4" w:rsidR="008F15BE" w:rsidRPr="00630782" w:rsidRDefault="008F15BE" w:rsidP="00726654">
      <w:pPr>
        <w:rPr>
          <w:rFonts w:cstheme="minorHAnsi"/>
          <w:b/>
          <w:bCs/>
        </w:rPr>
      </w:pPr>
      <w:r w:rsidRPr="00630782">
        <w:rPr>
          <w:rFonts w:cstheme="minorHAnsi"/>
          <w:b/>
          <w:bCs/>
        </w:rPr>
        <w:t>Section I</w:t>
      </w:r>
      <w:r w:rsidR="006460B6" w:rsidRPr="00630782">
        <w:rPr>
          <w:rFonts w:cstheme="minorHAnsi"/>
          <w:b/>
          <w:bCs/>
        </w:rPr>
        <w:t>II</w:t>
      </w:r>
      <w:r w:rsidRPr="00630782">
        <w:rPr>
          <w:rFonts w:cstheme="minorHAnsi"/>
          <w:b/>
          <w:bCs/>
        </w:rPr>
        <w:t>: Infrastructure</w:t>
      </w:r>
    </w:p>
    <w:p w14:paraId="751F8FE2" w14:textId="421DCC79" w:rsidR="00726654" w:rsidRPr="00630782" w:rsidRDefault="00726654" w:rsidP="00726654">
      <w:pPr>
        <w:rPr>
          <w:rFonts w:cstheme="minorHAnsi"/>
        </w:rPr>
      </w:pPr>
      <w:r w:rsidRPr="00630782">
        <w:rPr>
          <w:rFonts w:cstheme="minorHAnsi"/>
          <w:b/>
          <w:bCs/>
        </w:rPr>
        <w:t xml:space="preserve">Key </w:t>
      </w:r>
      <w:r w:rsidR="009C4753" w:rsidRPr="00630782">
        <w:rPr>
          <w:rFonts w:cstheme="minorHAnsi"/>
          <w:b/>
          <w:bCs/>
        </w:rPr>
        <w:t>Insights</w:t>
      </w:r>
      <w:r w:rsidRPr="00630782">
        <w:rPr>
          <w:rFonts w:cstheme="minorHAnsi"/>
          <w:b/>
          <w:bCs/>
        </w:rPr>
        <w:t>:</w:t>
      </w:r>
    </w:p>
    <w:p w14:paraId="11458529" w14:textId="1067144C" w:rsidR="009C4753" w:rsidRPr="00630782" w:rsidRDefault="009C4753" w:rsidP="009C4753">
      <w:pPr>
        <w:pStyle w:val="ListParagraph"/>
        <w:numPr>
          <w:ilvl w:val="0"/>
          <w:numId w:val="7"/>
        </w:numPr>
        <w:spacing w:before="100" w:beforeAutospacing="1" w:after="100" w:afterAutospacing="1" w:line="240" w:lineRule="auto"/>
        <w:rPr>
          <w:rFonts w:eastAsia="Times New Roman" w:cstheme="minorHAnsi"/>
          <w:kern w:val="0"/>
          <w14:ligatures w14:val="none"/>
        </w:rPr>
      </w:pPr>
      <w:r w:rsidRPr="00630782">
        <w:rPr>
          <w:rFonts w:eastAsia="Times New Roman" w:cstheme="minorHAnsi"/>
          <w:kern w:val="0"/>
          <w14:ligatures w14:val="none"/>
        </w:rPr>
        <w:t>The digital health ecosystem depends on more than software, it requires broadband access, hardware, IT literacy, secure cloud hosting, and accessible design.</w:t>
      </w:r>
    </w:p>
    <w:p w14:paraId="33121FEE" w14:textId="0C847150" w:rsidR="009C4753" w:rsidRPr="00630782" w:rsidRDefault="009C4753" w:rsidP="009C4753">
      <w:pPr>
        <w:pStyle w:val="ListParagraph"/>
        <w:numPr>
          <w:ilvl w:val="0"/>
          <w:numId w:val="7"/>
        </w:numPr>
        <w:spacing w:before="100" w:beforeAutospacing="1" w:after="100" w:afterAutospacing="1" w:line="240" w:lineRule="auto"/>
        <w:rPr>
          <w:rFonts w:eastAsia="Times New Roman" w:cstheme="minorHAnsi"/>
          <w:kern w:val="0"/>
          <w14:ligatures w14:val="none"/>
        </w:rPr>
      </w:pPr>
      <w:r w:rsidRPr="00630782">
        <w:rPr>
          <w:rFonts w:eastAsia="Times New Roman" w:cstheme="minorHAnsi"/>
          <w:kern w:val="0"/>
          <w14:ligatures w14:val="none"/>
        </w:rPr>
        <w:t>Many Medicare beneficiaries, especially in rural or lower-income areas, lack the necessary infrastructure to meaningfully engage with digital tools.</w:t>
      </w:r>
    </w:p>
    <w:p w14:paraId="595FC37A" w14:textId="687060A0" w:rsidR="009C4753" w:rsidRPr="00630782" w:rsidRDefault="009C4753" w:rsidP="009C4753">
      <w:pPr>
        <w:pStyle w:val="ListParagraph"/>
        <w:numPr>
          <w:ilvl w:val="0"/>
          <w:numId w:val="7"/>
        </w:numPr>
        <w:spacing w:before="100" w:beforeAutospacing="1" w:after="100" w:afterAutospacing="1" w:line="240" w:lineRule="auto"/>
        <w:rPr>
          <w:rFonts w:eastAsia="Times New Roman" w:cstheme="minorHAnsi"/>
          <w:kern w:val="0"/>
          <w14:ligatures w14:val="none"/>
        </w:rPr>
      </w:pPr>
      <w:r w:rsidRPr="00630782">
        <w:rPr>
          <w:rFonts w:eastAsia="Times New Roman" w:cstheme="minorHAnsi"/>
          <w:kern w:val="0"/>
          <w14:ligatures w14:val="none"/>
        </w:rPr>
        <w:t>Health IT vendors, especially those building innovative RTM/RPM tools, often struggle with resource constraints that limit scalability.</w:t>
      </w:r>
    </w:p>
    <w:p w14:paraId="2F4F1199" w14:textId="1F354C18" w:rsidR="009C4753" w:rsidRPr="00630782" w:rsidRDefault="00C2156C" w:rsidP="009C4753">
      <w:pPr>
        <w:rPr>
          <w:rFonts w:cstheme="minorHAnsi"/>
        </w:rPr>
      </w:pPr>
      <w:r w:rsidRPr="00630782">
        <w:rPr>
          <w:rFonts w:cstheme="minorHAnsi"/>
          <w:b/>
          <w:bCs/>
        </w:rPr>
        <w:t>Recommendations:</w:t>
      </w:r>
      <w:r w:rsidRPr="00630782">
        <w:rPr>
          <w:rFonts w:cstheme="minorHAnsi"/>
          <w:b/>
          <w:bCs/>
        </w:rPr>
        <w:br/>
      </w:r>
      <w:r w:rsidR="009C4753" w:rsidRPr="00630782">
        <w:rPr>
          <w:rFonts w:cstheme="minorHAnsi"/>
        </w:rPr>
        <w:t>CMS and ONC:</w:t>
      </w:r>
    </w:p>
    <w:p w14:paraId="346DED21" w14:textId="0762E7D6" w:rsidR="009C4753" w:rsidRPr="00630782" w:rsidRDefault="009C4753" w:rsidP="009C4753">
      <w:pPr>
        <w:numPr>
          <w:ilvl w:val="0"/>
          <w:numId w:val="15"/>
        </w:numPr>
        <w:rPr>
          <w:rFonts w:cstheme="minorHAnsi"/>
        </w:rPr>
      </w:pPr>
      <w:r w:rsidRPr="00630782">
        <w:rPr>
          <w:rFonts w:cstheme="minorHAnsi"/>
        </w:rPr>
        <w:t>Offer infrastructure grants or reimbursement mechanisms for device access and broadband support to Medicare beneficiaries using qualified digital health tools.</w:t>
      </w:r>
    </w:p>
    <w:p w14:paraId="782EDB02" w14:textId="77777777" w:rsidR="009C4753" w:rsidRPr="00630782" w:rsidRDefault="009C4753" w:rsidP="009C4753">
      <w:pPr>
        <w:numPr>
          <w:ilvl w:val="0"/>
          <w:numId w:val="15"/>
        </w:numPr>
        <w:rPr>
          <w:rFonts w:cstheme="minorHAnsi"/>
        </w:rPr>
      </w:pPr>
      <w:r w:rsidRPr="00630782">
        <w:rPr>
          <w:rFonts w:cstheme="minorHAnsi"/>
        </w:rPr>
        <w:t>Promote technical assistance programs for practices adopting RTM/RPM that include IT setup, workflow optimization, and staff training.</w:t>
      </w:r>
    </w:p>
    <w:p w14:paraId="3894DBA1" w14:textId="77777777" w:rsidR="009C4753" w:rsidRPr="00630782" w:rsidRDefault="009C4753" w:rsidP="009C4753">
      <w:pPr>
        <w:numPr>
          <w:ilvl w:val="0"/>
          <w:numId w:val="15"/>
        </w:numPr>
        <w:rPr>
          <w:rFonts w:cstheme="minorHAnsi"/>
        </w:rPr>
      </w:pPr>
      <w:r w:rsidRPr="00630782">
        <w:rPr>
          <w:rFonts w:cstheme="minorHAnsi"/>
        </w:rPr>
        <w:t>Create centralized, vendor-neutral sandbox environments where developers can test integrations with mock patient records, regardless of EHR affiliation.</w:t>
      </w:r>
    </w:p>
    <w:p w14:paraId="301E637D" w14:textId="35B4A3CD" w:rsidR="00AC3FD3" w:rsidRPr="00630782" w:rsidRDefault="009C4753" w:rsidP="00AC3FD3">
      <w:pPr>
        <w:rPr>
          <w:rFonts w:cstheme="minorHAnsi"/>
        </w:rPr>
      </w:pPr>
      <w:r w:rsidRPr="00630782">
        <w:rPr>
          <w:rFonts w:cstheme="minorHAnsi"/>
        </w:rPr>
        <w:t>Digital transformation cannot succeed without the foundational infrastructure</w:t>
      </w:r>
      <w:r w:rsidR="00143BFF" w:rsidRPr="00630782">
        <w:rPr>
          <w:rFonts w:cstheme="minorHAnsi"/>
        </w:rPr>
        <w:t xml:space="preserve">, </w:t>
      </w:r>
      <w:r w:rsidRPr="00630782">
        <w:rPr>
          <w:rFonts w:cstheme="minorHAnsi"/>
        </w:rPr>
        <w:t>both physical and operational</w:t>
      </w:r>
      <w:r w:rsidR="00143BFF" w:rsidRPr="00630782">
        <w:rPr>
          <w:rFonts w:cstheme="minorHAnsi"/>
        </w:rPr>
        <w:t xml:space="preserve"> </w:t>
      </w:r>
      <w:r w:rsidRPr="00630782">
        <w:rPr>
          <w:rFonts w:cstheme="minorHAnsi"/>
        </w:rPr>
        <w:t>to support equitable, scalable care.</w:t>
      </w:r>
    </w:p>
    <w:p w14:paraId="4D3973DA" w14:textId="77777777" w:rsidR="00AC3FD3" w:rsidRPr="00630782" w:rsidRDefault="00AC3FD3" w:rsidP="009C4753">
      <w:pPr>
        <w:rPr>
          <w:rFonts w:cstheme="minorHAnsi"/>
        </w:rPr>
      </w:pPr>
    </w:p>
    <w:p w14:paraId="675A4282" w14:textId="1A9C538E" w:rsidR="008F15BE" w:rsidRPr="00630782" w:rsidRDefault="008F15BE" w:rsidP="00143BFF">
      <w:pPr>
        <w:rPr>
          <w:rFonts w:cstheme="minorHAnsi"/>
          <w:b/>
          <w:bCs/>
        </w:rPr>
      </w:pPr>
      <w:r w:rsidRPr="00630782">
        <w:rPr>
          <w:rFonts w:cstheme="minorHAnsi"/>
          <w:b/>
          <w:bCs/>
        </w:rPr>
        <w:t xml:space="preserve">Section </w:t>
      </w:r>
      <w:r w:rsidR="000808A0">
        <w:rPr>
          <w:rFonts w:cstheme="minorHAnsi"/>
          <w:b/>
          <w:bCs/>
        </w:rPr>
        <w:t>I</w:t>
      </w:r>
      <w:r w:rsidRPr="00630782">
        <w:rPr>
          <w:rFonts w:cstheme="minorHAnsi"/>
          <w:b/>
          <w:bCs/>
        </w:rPr>
        <w:t>V: Equity and Inclusion</w:t>
      </w:r>
    </w:p>
    <w:p w14:paraId="19568361" w14:textId="7ACEB748" w:rsidR="00143BFF" w:rsidRPr="00630782" w:rsidRDefault="00143BFF" w:rsidP="00143BFF">
      <w:pPr>
        <w:rPr>
          <w:rFonts w:cstheme="minorHAnsi"/>
          <w:b/>
          <w:bCs/>
        </w:rPr>
      </w:pPr>
      <w:r w:rsidRPr="00630782">
        <w:rPr>
          <w:rFonts w:cstheme="minorHAnsi"/>
          <w:b/>
          <w:bCs/>
        </w:rPr>
        <w:t>Key Insights:</w:t>
      </w:r>
    </w:p>
    <w:p w14:paraId="2BDF84D3" w14:textId="39E9404C" w:rsidR="001C1A54" w:rsidRPr="00EF6CAB" w:rsidRDefault="00EF6CAB" w:rsidP="001C1A54">
      <w:pPr>
        <w:numPr>
          <w:ilvl w:val="0"/>
          <w:numId w:val="16"/>
        </w:numPr>
        <w:rPr>
          <w:rFonts w:cstheme="minorHAnsi"/>
          <w:color w:val="000000" w:themeColor="text1"/>
        </w:rPr>
      </w:pPr>
      <w:r w:rsidRPr="00EF6CAB">
        <w:rPr>
          <w:rFonts w:cstheme="minorHAnsi"/>
          <w:color w:val="000000" w:themeColor="text1"/>
        </w:rPr>
        <w:t>Hybrid digital care platforms like Recupe help close equity gaps by offering a lower-cost, high-touch modality that combines psychosocial engagement with real-time monitoring and clinician alerts. This model supports quality recovery in underserved populations while reducing overall system costs. CMS should consider ways to differentiate and reward such solutions that demonstrably improve access and outcomes for high-need Medicare beneficiaries.</w:t>
      </w:r>
    </w:p>
    <w:p w14:paraId="26FACE79" w14:textId="77777777" w:rsidR="00143BFF" w:rsidRPr="00630782" w:rsidRDefault="00143BFF" w:rsidP="00143BFF">
      <w:pPr>
        <w:numPr>
          <w:ilvl w:val="0"/>
          <w:numId w:val="16"/>
        </w:numPr>
        <w:rPr>
          <w:rFonts w:cstheme="minorHAnsi"/>
        </w:rPr>
      </w:pPr>
      <w:r w:rsidRPr="00630782">
        <w:rPr>
          <w:rFonts w:cstheme="minorHAnsi"/>
        </w:rPr>
        <w:t>Digital health risks exacerbating disparities if tools are not designed with equity in mind.</w:t>
      </w:r>
    </w:p>
    <w:p w14:paraId="7ECFAE34" w14:textId="77777777" w:rsidR="00143BFF" w:rsidRPr="00630782" w:rsidRDefault="00143BFF" w:rsidP="00143BFF">
      <w:pPr>
        <w:numPr>
          <w:ilvl w:val="0"/>
          <w:numId w:val="16"/>
        </w:numPr>
        <w:rPr>
          <w:rFonts w:cstheme="minorHAnsi"/>
        </w:rPr>
      </w:pPr>
      <w:r w:rsidRPr="00630782">
        <w:rPr>
          <w:rFonts w:cstheme="minorHAnsi"/>
        </w:rPr>
        <w:lastRenderedPageBreak/>
        <w:t>Medicare beneficiaries from minority, rural, or limited-English backgrounds often face the greatest barriers to digital engagement.</w:t>
      </w:r>
    </w:p>
    <w:p w14:paraId="005AEE37" w14:textId="77777777" w:rsidR="00143BFF" w:rsidRDefault="00143BFF" w:rsidP="00143BFF">
      <w:pPr>
        <w:numPr>
          <w:ilvl w:val="0"/>
          <w:numId w:val="16"/>
        </w:numPr>
        <w:rPr>
          <w:rFonts w:cstheme="minorHAnsi"/>
        </w:rPr>
      </w:pPr>
      <w:r w:rsidRPr="00630782">
        <w:rPr>
          <w:rFonts w:cstheme="minorHAnsi"/>
        </w:rPr>
        <w:t>Equity in digital health must include accessibility, language support, digital literacy, and culturally responsive design.</w:t>
      </w:r>
    </w:p>
    <w:p w14:paraId="1FB71C89" w14:textId="6C499C2E" w:rsidR="003537F6" w:rsidRPr="00D35D6F" w:rsidRDefault="00D35D6F" w:rsidP="003537F6">
      <w:pPr>
        <w:rPr>
          <w:rFonts w:cstheme="minorHAnsi"/>
          <w:b/>
          <w:bCs/>
        </w:rPr>
      </w:pPr>
      <w:r w:rsidRPr="00D35D6F">
        <w:rPr>
          <w:rFonts w:cstheme="minorHAnsi"/>
          <w:b/>
          <w:bCs/>
        </w:rPr>
        <w:t>Serving Diverse Medicare Populations in Practice:</w:t>
      </w:r>
    </w:p>
    <w:p w14:paraId="627AC99B" w14:textId="3F964417" w:rsidR="003537F6" w:rsidRPr="00630782" w:rsidRDefault="003537F6" w:rsidP="003537F6">
      <w:pPr>
        <w:rPr>
          <w:rFonts w:cstheme="minorHAnsi"/>
        </w:rPr>
      </w:pPr>
      <w:r w:rsidRPr="003537F6">
        <w:rPr>
          <w:rFonts w:cstheme="minorHAnsi"/>
        </w:rPr>
        <w:t>Through our work with diverse patient populations across partner systems like IBJI and Suburban Orthopedics, we have seen firsthand how language access, human support, and culturally aligned education materials improve uptake and adherence among Medicare beneficiaries from underserved backgrounds.</w:t>
      </w:r>
    </w:p>
    <w:p w14:paraId="1799C67A" w14:textId="78E5B3F2" w:rsidR="00143BFF" w:rsidRPr="00630782" w:rsidRDefault="00143BFF" w:rsidP="00143BFF">
      <w:pPr>
        <w:rPr>
          <w:rFonts w:cstheme="minorHAnsi"/>
          <w:b/>
          <w:bCs/>
        </w:rPr>
      </w:pPr>
      <w:r w:rsidRPr="00630782">
        <w:rPr>
          <w:rFonts w:cstheme="minorHAnsi"/>
          <w:b/>
          <w:bCs/>
        </w:rPr>
        <w:t>Recommendations:</w:t>
      </w:r>
      <w:r w:rsidR="00C2156C" w:rsidRPr="00630782">
        <w:rPr>
          <w:rFonts w:cstheme="minorHAnsi"/>
          <w:b/>
          <w:bCs/>
        </w:rPr>
        <w:br/>
      </w:r>
      <w:r w:rsidRPr="00630782">
        <w:rPr>
          <w:rFonts w:cstheme="minorHAnsi"/>
        </w:rPr>
        <w:t>CMS and ONC:</w:t>
      </w:r>
    </w:p>
    <w:p w14:paraId="015FE9F3" w14:textId="77777777" w:rsidR="00143BFF" w:rsidRPr="00630782" w:rsidRDefault="00143BFF" w:rsidP="00143BFF">
      <w:pPr>
        <w:numPr>
          <w:ilvl w:val="0"/>
          <w:numId w:val="17"/>
        </w:numPr>
        <w:rPr>
          <w:rFonts w:cstheme="minorHAnsi"/>
        </w:rPr>
      </w:pPr>
      <w:r w:rsidRPr="00630782">
        <w:rPr>
          <w:rFonts w:cstheme="minorHAnsi"/>
        </w:rPr>
        <w:t>Incentivize platforms that demonstrate inclusive design and language accessibility for Medicare beneficiaries.</w:t>
      </w:r>
    </w:p>
    <w:p w14:paraId="579EC885" w14:textId="77777777" w:rsidR="00143BFF" w:rsidRPr="00630782" w:rsidRDefault="00143BFF" w:rsidP="00143BFF">
      <w:pPr>
        <w:numPr>
          <w:ilvl w:val="0"/>
          <w:numId w:val="17"/>
        </w:numPr>
        <w:rPr>
          <w:rFonts w:cstheme="minorHAnsi"/>
        </w:rPr>
      </w:pPr>
      <w:r w:rsidRPr="00630782">
        <w:rPr>
          <w:rFonts w:cstheme="minorHAnsi"/>
        </w:rPr>
        <w:t>Support evaluation frameworks that measure equity outcomes, such as uptake and adherence rates across racial, geographic, and income groups.</w:t>
      </w:r>
    </w:p>
    <w:p w14:paraId="017F8DD5" w14:textId="77777777" w:rsidR="00143BFF" w:rsidRDefault="00143BFF" w:rsidP="00143BFF">
      <w:pPr>
        <w:numPr>
          <w:ilvl w:val="0"/>
          <w:numId w:val="17"/>
        </w:numPr>
        <w:rPr>
          <w:rFonts w:cstheme="minorHAnsi"/>
        </w:rPr>
      </w:pPr>
      <w:r w:rsidRPr="00630782">
        <w:rPr>
          <w:rFonts w:cstheme="minorHAnsi"/>
        </w:rPr>
        <w:t>Expand digital navigator and coaching reimbursement to support human guidance for Medicare users facing digital literacy barriers.</w:t>
      </w:r>
    </w:p>
    <w:p w14:paraId="138E01B8" w14:textId="45516DB8" w:rsidR="008B02C3" w:rsidRPr="00630782" w:rsidRDefault="008B02C3" w:rsidP="00143BFF">
      <w:pPr>
        <w:numPr>
          <w:ilvl w:val="0"/>
          <w:numId w:val="17"/>
        </w:numPr>
        <w:rPr>
          <w:rFonts w:cstheme="minorHAnsi"/>
        </w:rPr>
      </w:pPr>
      <w:r w:rsidRPr="008B02C3">
        <w:rPr>
          <w:rFonts w:cstheme="minorHAnsi"/>
        </w:rPr>
        <w:t>Plethy tracks usage and engagement metrics across patient demographics</w:t>
      </w:r>
      <w:r w:rsidR="008635EE">
        <w:rPr>
          <w:rFonts w:cstheme="minorHAnsi"/>
        </w:rPr>
        <w:t xml:space="preserve"> </w:t>
      </w:r>
      <w:r w:rsidRPr="008B02C3">
        <w:rPr>
          <w:rFonts w:cstheme="minorHAnsi"/>
        </w:rPr>
        <w:t>including age, income tier, geography, and race/ethnicity</w:t>
      </w:r>
      <w:r w:rsidR="008635EE">
        <w:rPr>
          <w:rFonts w:cstheme="minorHAnsi"/>
        </w:rPr>
        <w:t xml:space="preserve"> </w:t>
      </w:r>
      <w:r w:rsidRPr="008B02C3">
        <w:rPr>
          <w:rFonts w:cstheme="minorHAnsi"/>
        </w:rPr>
        <w:t>to continuously evaluate performance gaps. We urge CMS to establish similar equity performance standards in future digital health evaluations to ensure transparency and accountability across populations.</w:t>
      </w:r>
    </w:p>
    <w:p w14:paraId="1570D875" w14:textId="77777777" w:rsidR="00143BFF" w:rsidRPr="00630782" w:rsidRDefault="00143BFF" w:rsidP="00143BFF">
      <w:pPr>
        <w:rPr>
          <w:rFonts w:cstheme="minorHAnsi"/>
        </w:rPr>
      </w:pPr>
      <w:r w:rsidRPr="00630782">
        <w:rPr>
          <w:rFonts w:cstheme="minorHAnsi"/>
        </w:rPr>
        <w:t>True innovation in digital health must be measured by its reach and inclusivity, not just its technology. By addressing access, language, and support, CMS can ensure the benefits of digital transformation extend to all Medicare beneficiaries.</w:t>
      </w:r>
    </w:p>
    <w:p w14:paraId="393786FF" w14:textId="2242A527" w:rsidR="00635814" w:rsidRPr="00630782" w:rsidRDefault="00635814" w:rsidP="00143BFF">
      <w:pPr>
        <w:rPr>
          <w:rFonts w:cstheme="minorHAnsi"/>
        </w:rPr>
      </w:pPr>
      <w:r w:rsidRPr="00630782">
        <w:rPr>
          <w:rFonts w:cstheme="minorHAnsi"/>
        </w:rPr>
        <w:t>Plethy offers multilingual interfaces and culturally appropriate patient education materials to ensure underserved Medicare populations can engage with care tools. CMS should prioritize solutions that reflect similar commitments to inclusion and equity.</w:t>
      </w:r>
    </w:p>
    <w:p w14:paraId="7B1522B6" w14:textId="77777777" w:rsidR="006460B6" w:rsidRPr="00630782" w:rsidRDefault="006460B6" w:rsidP="006460B6">
      <w:pPr>
        <w:spacing w:after="0" w:line="240" w:lineRule="auto"/>
        <w:rPr>
          <w:rFonts w:cstheme="minorHAnsi"/>
          <w:b/>
          <w:bCs/>
        </w:rPr>
      </w:pPr>
    </w:p>
    <w:p w14:paraId="10B2446F" w14:textId="343730A4" w:rsidR="006460B6" w:rsidRPr="00630782" w:rsidRDefault="006460B6" w:rsidP="006460B6">
      <w:pPr>
        <w:spacing w:after="0" w:line="240" w:lineRule="auto"/>
        <w:rPr>
          <w:rFonts w:cstheme="minorHAnsi"/>
          <w:b/>
          <w:bCs/>
        </w:rPr>
      </w:pPr>
      <w:r w:rsidRPr="00630782">
        <w:rPr>
          <w:rFonts w:cstheme="minorHAnsi"/>
          <w:b/>
          <w:bCs/>
        </w:rPr>
        <w:t>Section V: Complex and Undervalued Billing Requirements</w:t>
      </w:r>
    </w:p>
    <w:p w14:paraId="21F817BD" w14:textId="77777777" w:rsidR="006460B6" w:rsidRPr="00630782" w:rsidRDefault="006460B6" w:rsidP="006460B6">
      <w:pPr>
        <w:spacing w:after="0" w:line="240" w:lineRule="auto"/>
        <w:rPr>
          <w:rFonts w:cstheme="minorHAnsi"/>
        </w:rPr>
      </w:pPr>
      <w:r w:rsidRPr="00630782">
        <w:rPr>
          <w:rFonts w:cstheme="minorHAnsi"/>
        </w:rPr>
        <w:t>Barriers:</w:t>
      </w:r>
    </w:p>
    <w:p w14:paraId="45B37717" w14:textId="77777777" w:rsidR="006460B6" w:rsidRPr="00630782" w:rsidRDefault="006460B6" w:rsidP="006460B6">
      <w:pPr>
        <w:numPr>
          <w:ilvl w:val="0"/>
          <w:numId w:val="20"/>
        </w:numPr>
        <w:spacing w:after="0" w:line="240" w:lineRule="auto"/>
        <w:rPr>
          <w:rFonts w:cstheme="minorHAnsi"/>
        </w:rPr>
      </w:pPr>
      <w:r w:rsidRPr="00630782">
        <w:rPr>
          <w:rFonts w:cstheme="minorHAnsi"/>
        </w:rPr>
        <w:t>The 16-day data collection threshold for RPM/RTM billing excludes patients with intermittent needs or limited digital literacy.</w:t>
      </w:r>
    </w:p>
    <w:p w14:paraId="10EC877F" w14:textId="77777777" w:rsidR="006460B6" w:rsidRPr="00630782" w:rsidRDefault="006460B6" w:rsidP="006460B6">
      <w:pPr>
        <w:numPr>
          <w:ilvl w:val="0"/>
          <w:numId w:val="20"/>
        </w:numPr>
        <w:spacing w:after="0" w:line="240" w:lineRule="auto"/>
        <w:rPr>
          <w:rFonts w:cstheme="minorHAnsi"/>
        </w:rPr>
      </w:pPr>
      <w:r w:rsidRPr="00630782">
        <w:rPr>
          <w:rFonts w:cstheme="minorHAnsi"/>
        </w:rPr>
        <w:t>Onboarding and education are critical but only reimbursed once (CPT 99453), undervaluing clinician time and patient support.</w:t>
      </w:r>
    </w:p>
    <w:p w14:paraId="5D16DA51" w14:textId="77777777" w:rsidR="006460B6" w:rsidRPr="00630782" w:rsidRDefault="006460B6" w:rsidP="006460B6">
      <w:pPr>
        <w:numPr>
          <w:ilvl w:val="0"/>
          <w:numId w:val="20"/>
        </w:numPr>
        <w:spacing w:after="0" w:line="240" w:lineRule="auto"/>
        <w:rPr>
          <w:rFonts w:cstheme="minorHAnsi"/>
        </w:rPr>
      </w:pPr>
      <w:r w:rsidRPr="00630782">
        <w:rPr>
          <w:rFonts w:cstheme="minorHAnsi"/>
        </w:rPr>
        <w:t>Current RVU models do not reflect the clinical effort required for RTM/RPM services.</w:t>
      </w:r>
    </w:p>
    <w:p w14:paraId="50C244B2" w14:textId="77777777" w:rsidR="006460B6" w:rsidRPr="00630782" w:rsidRDefault="006460B6" w:rsidP="006460B6">
      <w:pPr>
        <w:numPr>
          <w:ilvl w:val="0"/>
          <w:numId w:val="20"/>
        </w:numPr>
        <w:spacing w:after="0" w:line="240" w:lineRule="auto"/>
        <w:rPr>
          <w:rFonts w:cstheme="minorHAnsi"/>
        </w:rPr>
      </w:pPr>
      <w:r w:rsidRPr="00630782">
        <w:rPr>
          <w:rFonts w:cstheme="minorHAnsi"/>
        </w:rPr>
        <w:t>Fee-for-service models prioritize volume over outcomes.</w:t>
      </w:r>
    </w:p>
    <w:p w14:paraId="05892967" w14:textId="77777777" w:rsidR="00C2156C" w:rsidRPr="00630782" w:rsidRDefault="00C2156C" w:rsidP="006460B6">
      <w:pPr>
        <w:spacing w:after="0" w:line="240" w:lineRule="auto"/>
        <w:rPr>
          <w:rFonts w:cstheme="minorHAnsi"/>
        </w:rPr>
      </w:pPr>
    </w:p>
    <w:p w14:paraId="47D23063" w14:textId="0D6BBAB0" w:rsidR="006460B6" w:rsidRPr="00630782" w:rsidRDefault="006460B6" w:rsidP="006460B6">
      <w:pPr>
        <w:spacing w:after="0" w:line="240" w:lineRule="auto"/>
        <w:rPr>
          <w:rFonts w:cstheme="minorHAnsi"/>
        </w:rPr>
      </w:pPr>
      <w:r w:rsidRPr="00630782">
        <w:rPr>
          <w:rFonts w:cstheme="minorHAnsi"/>
          <w:b/>
          <w:bCs/>
        </w:rPr>
        <w:t>Recommendations</w:t>
      </w:r>
      <w:r w:rsidR="00C2156C" w:rsidRPr="00630782">
        <w:rPr>
          <w:rFonts w:cstheme="minorHAnsi"/>
          <w:b/>
          <w:bCs/>
        </w:rPr>
        <w:t>:</w:t>
      </w:r>
      <w:r w:rsidR="00C2156C" w:rsidRPr="00630782">
        <w:rPr>
          <w:rFonts w:cstheme="minorHAnsi"/>
        </w:rPr>
        <w:br/>
      </w:r>
      <w:r w:rsidRPr="00630782">
        <w:rPr>
          <w:rFonts w:cstheme="minorHAnsi"/>
        </w:rPr>
        <w:t xml:space="preserve"> CMS and ONC: </w:t>
      </w:r>
    </w:p>
    <w:p w14:paraId="659729FE" w14:textId="77777777" w:rsidR="006460B6" w:rsidRPr="00630782" w:rsidRDefault="006460B6" w:rsidP="006460B6">
      <w:pPr>
        <w:numPr>
          <w:ilvl w:val="0"/>
          <w:numId w:val="21"/>
        </w:numPr>
        <w:spacing w:after="0" w:line="240" w:lineRule="auto"/>
        <w:rPr>
          <w:rFonts w:cstheme="minorHAnsi"/>
        </w:rPr>
      </w:pPr>
      <w:r w:rsidRPr="00630782">
        <w:rPr>
          <w:rFonts w:cstheme="minorHAnsi"/>
        </w:rPr>
        <w:lastRenderedPageBreak/>
        <w:t>Support the new AMA CPT codes (effective 2026) that allow billing based on time spent (10–19 minutes), removing the rigid 16-day requirement and improving access for diverse patient populations.</w:t>
      </w:r>
    </w:p>
    <w:p w14:paraId="7332E1EB" w14:textId="77777777" w:rsidR="006460B6" w:rsidRPr="00630782" w:rsidRDefault="006460B6" w:rsidP="006460B6">
      <w:pPr>
        <w:numPr>
          <w:ilvl w:val="0"/>
          <w:numId w:val="21"/>
        </w:numPr>
        <w:spacing w:after="0" w:line="240" w:lineRule="auto"/>
        <w:rPr>
          <w:rFonts w:cstheme="minorHAnsi"/>
        </w:rPr>
      </w:pPr>
      <w:r w:rsidRPr="00630782">
        <w:rPr>
          <w:rFonts w:cstheme="minorHAnsi"/>
        </w:rPr>
        <w:t>Permit recurring billing for onboarding, education, and technical support to reflect the ongoing effort needed for patient success.</w:t>
      </w:r>
    </w:p>
    <w:p w14:paraId="0211DCC0" w14:textId="77777777" w:rsidR="006460B6" w:rsidRPr="00630782" w:rsidRDefault="006460B6" w:rsidP="006460B6">
      <w:pPr>
        <w:numPr>
          <w:ilvl w:val="0"/>
          <w:numId w:val="21"/>
        </w:numPr>
        <w:spacing w:after="0" w:line="240" w:lineRule="auto"/>
        <w:rPr>
          <w:rFonts w:cstheme="minorHAnsi"/>
        </w:rPr>
      </w:pPr>
      <w:r w:rsidRPr="00630782">
        <w:rPr>
          <w:rFonts w:cstheme="minorHAnsi"/>
        </w:rPr>
        <w:t>Adjust RVUs for RPM/RTM codes (e.g., 99453, 98980) to fairly compensate for time spent on setup, engagement, and interpretation.</w:t>
      </w:r>
    </w:p>
    <w:p w14:paraId="024E6647" w14:textId="77777777" w:rsidR="006460B6" w:rsidRPr="00630782" w:rsidRDefault="006460B6" w:rsidP="006460B6">
      <w:pPr>
        <w:numPr>
          <w:ilvl w:val="0"/>
          <w:numId w:val="21"/>
        </w:numPr>
        <w:spacing w:after="0" w:line="240" w:lineRule="auto"/>
        <w:rPr>
          <w:rFonts w:cstheme="minorHAnsi"/>
        </w:rPr>
      </w:pPr>
      <w:r w:rsidRPr="00630782">
        <w:rPr>
          <w:rFonts w:cstheme="minorHAnsi"/>
        </w:rPr>
        <w:t>Incentivize use within value-based care models, linking payment to outcomes like engagement, adherence, and recovery rather than service volume.</w:t>
      </w:r>
    </w:p>
    <w:p w14:paraId="3D67B3C4" w14:textId="77777777" w:rsidR="00143BFF" w:rsidRPr="00630782" w:rsidRDefault="00143BFF" w:rsidP="00726654">
      <w:pPr>
        <w:rPr>
          <w:rFonts w:cstheme="minorHAnsi"/>
          <w:b/>
          <w:bCs/>
        </w:rPr>
      </w:pPr>
    </w:p>
    <w:p w14:paraId="0CBC738A" w14:textId="25E2965E" w:rsidR="006460B6" w:rsidRPr="00630782" w:rsidRDefault="006460B6" w:rsidP="00726654">
      <w:pPr>
        <w:rPr>
          <w:rFonts w:cstheme="minorHAnsi"/>
        </w:rPr>
      </w:pPr>
      <w:r w:rsidRPr="00630782">
        <w:rPr>
          <w:rFonts w:cstheme="minorHAnsi"/>
        </w:rPr>
        <w:t>These changes would reduce access barriers, align reimbursement with clinical effort, and improve outcomes for Medicare beneficiaries using digital health tools.</w:t>
      </w:r>
    </w:p>
    <w:p w14:paraId="4335FFAD" w14:textId="48DF6663" w:rsidR="00726654" w:rsidRPr="00630782" w:rsidRDefault="00726654" w:rsidP="00726654">
      <w:pPr>
        <w:rPr>
          <w:rFonts w:cstheme="minorHAnsi"/>
          <w:b/>
          <w:bCs/>
        </w:rPr>
      </w:pPr>
      <w:r w:rsidRPr="00630782">
        <w:rPr>
          <w:rFonts w:cstheme="minorHAnsi"/>
          <w:b/>
          <w:bCs/>
        </w:rPr>
        <w:t>Conclusion</w:t>
      </w:r>
    </w:p>
    <w:p w14:paraId="1DF5CEDA" w14:textId="3989680F" w:rsidR="00726654" w:rsidRDefault="0013305A" w:rsidP="00726654">
      <w:pPr>
        <w:rPr>
          <w:rFonts w:cstheme="minorHAnsi"/>
        </w:rPr>
      </w:pPr>
      <w:r w:rsidRPr="0013305A">
        <w:rPr>
          <w:rFonts w:cstheme="minorHAnsi"/>
        </w:rPr>
        <w:t>We urge CMS and ONC to advance reimbursement models, certification pathways, and interoperability standards that promote inclusive, outcomes-focused digital platforms</w:t>
      </w:r>
      <w:r w:rsidR="00A037A6">
        <w:rPr>
          <w:rFonts w:cstheme="minorHAnsi"/>
        </w:rPr>
        <w:t xml:space="preserve"> </w:t>
      </w:r>
      <w:r w:rsidRPr="0013305A">
        <w:rPr>
          <w:rFonts w:cstheme="minorHAnsi"/>
        </w:rPr>
        <w:t>particularly those proven to engage Medicare beneficiaries across age, language, and socioeconomic barriers. Plethy welcomes the opportunity to collaborate with CMS and ONC through future pilot programs, policy innovation efforts, or technical workgroups aimed at scaling effective digital health strategies for the populations that need them most.</w:t>
      </w:r>
    </w:p>
    <w:p w14:paraId="7A0D497F" w14:textId="0E51AE64" w:rsidR="00726654" w:rsidRPr="00630782" w:rsidRDefault="00726654" w:rsidP="00726654">
      <w:pPr>
        <w:rPr>
          <w:rFonts w:cstheme="minorHAnsi"/>
        </w:rPr>
      </w:pPr>
    </w:p>
    <w:p w14:paraId="6AC99834" w14:textId="4CFAEED0" w:rsidR="00726654" w:rsidRPr="00D40CEF" w:rsidRDefault="00726654" w:rsidP="00726654">
      <w:pPr>
        <w:rPr>
          <w:rFonts w:cstheme="minorHAnsi"/>
          <w:lang w:val="es-ES"/>
        </w:rPr>
      </w:pPr>
      <w:r w:rsidRPr="00630782">
        <w:rPr>
          <w:rFonts w:cstheme="minorHAnsi"/>
          <w:b/>
          <w:bCs/>
        </w:rPr>
        <w:t>Submitted electronically by:</w:t>
      </w:r>
      <w:r w:rsidRPr="00630782">
        <w:rPr>
          <w:rFonts w:cstheme="minorHAnsi"/>
        </w:rPr>
        <w:br/>
        <w:t>Plethy, Inc.</w:t>
      </w:r>
      <w:r w:rsidRPr="00630782">
        <w:rPr>
          <w:rFonts w:cstheme="minorHAnsi"/>
        </w:rPr>
        <w:br/>
      </w:r>
      <w:r w:rsidR="00D40CEF" w:rsidRPr="00D40CEF">
        <w:rPr>
          <w:rFonts w:cstheme="minorHAnsi"/>
          <w:lang w:val="es-ES"/>
        </w:rPr>
        <w:t>Raja Sundaram</w:t>
      </w:r>
      <w:r w:rsidRPr="00D40CEF">
        <w:rPr>
          <w:rFonts w:cstheme="minorHAnsi"/>
          <w:lang w:val="es-ES"/>
        </w:rPr>
        <w:br/>
      </w:r>
      <w:r w:rsidR="00D40CEF" w:rsidRPr="00D40CEF">
        <w:rPr>
          <w:rFonts w:cstheme="minorHAnsi"/>
          <w:lang w:val="es-ES"/>
        </w:rPr>
        <w:t>raja@p</w:t>
      </w:r>
      <w:r w:rsidR="00D40CEF">
        <w:rPr>
          <w:rFonts w:cstheme="minorHAnsi"/>
          <w:lang w:val="es-ES"/>
        </w:rPr>
        <w:t>lethy.com</w:t>
      </w:r>
      <w:r w:rsidR="007924F0" w:rsidRPr="00D40CEF">
        <w:rPr>
          <w:rFonts w:cstheme="minorHAnsi"/>
          <w:lang w:val="es-ES"/>
        </w:rPr>
        <w:br/>
      </w:r>
      <w:r w:rsidRPr="00D40CEF">
        <w:rPr>
          <w:rFonts w:cstheme="minorHAnsi"/>
          <w:lang w:val="es-ES"/>
        </w:rPr>
        <w:t>Date</w:t>
      </w:r>
    </w:p>
    <w:p w14:paraId="10851C79" w14:textId="77777777" w:rsidR="00D63474" w:rsidRPr="00D40CEF" w:rsidRDefault="00D63474">
      <w:pPr>
        <w:rPr>
          <w:rFonts w:cstheme="minorHAnsi"/>
          <w:lang w:val="es-ES"/>
        </w:rPr>
      </w:pPr>
    </w:p>
    <w:sectPr w:rsidR="00D63474" w:rsidRPr="00D40C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432"/>
    <w:multiLevelType w:val="multilevel"/>
    <w:tmpl w:val="AC26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A25AD"/>
    <w:multiLevelType w:val="hybridMultilevel"/>
    <w:tmpl w:val="24BCB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2C09E1"/>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04717"/>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360E"/>
    <w:multiLevelType w:val="multilevel"/>
    <w:tmpl w:val="F39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BF616A"/>
    <w:multiLevelType w:val="multilevel"/>
    <w:tmpl w:val="D9E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407EA"/>
    <w:multiLevelType w:val="multilevel"/>
    <w:tmpl w:val="BC2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15358A"/>
    <w:multiLevelType w:val="multilevel"/>
    <w:tmpl w:val="3A1A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62622"/>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83CBA"/>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34592"/>
    <w:multiLevelType w:val="multilevel"/>
    <w:tmpl w:val="4D4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57FCC"/>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21647"/>
    <w:multiLevelType w:val="multilevel"/>
    <w:tmpl w:val="BC56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D7749"/>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77A9A"/>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086DD5"/>
    <w:multiLevelType w:val="multilevel"/>
    <w:tmpl w:val="BDE2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A1C03"/>
    <w:multiLevelType w:val="multilevel"/>
    <w:tmpl w:val="C074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6D6C23"/>
    <w:multiLevelType w:val="multilevel"/>
    <w:tmpl w:val="960E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585A7D"/>
    <w:multiLevelType w:val="multilevel"/>
    <w:tmpl w:val="86C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6157F"/>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432E0"/>
    <w:multiLevelType w:val="multilevel"/>
    <w:tmpl w:val="F5D0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654626E"/>
    <w:multiLevelType w:val="multilevel"/>
    <w:tmpl w:val="B98A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906C6B"/>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B4B07"/>
    <w:multiLevelType w:val="multilevel"/>
    <w:tmpl w:val="DF0C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777241">
    <w:abstractNumId w:val="15"/>
  </w:num>
  <w:num w:numId="2" w16cid:durableId="976833383">
    <w:abstractNumId w:val="19"/>
  </w:num>
  <w:num w:numId="3" w16cid:durableId="215431927">
    <w:abstractNumId w:val="21"/>
  </w:num>
  <w:num w:numId="4" w16cid:durableId="1884635665">
    <w:abstractNumId w:val="17"/>
  </w:num>
  <w:num w:numId="5" w16cid:durableId="1922565251">
    <w:abstractNumId w:val="16"/>
  </w:num>
  <w:num w:numId="6" w16cid:durableId="1518421170">
    <w:abstractNumId w:val="10"/>
  </w:num>
  <w:num w:numId="7" w16cid:durableId="1991009304">
    <w:abstractNumId w:val="7"/>
  </w:num>
  <w:num w:numId="8" w16cid:durableId="1171795660">
    <w:abstractNumId w:val="1"/>
  </w:num>
  <w:num w:numId="9" w16cid:durableId="368803416">
    <w:abstractNumId w:val="5"/>
  </w:num>
  <w:num w:numId="10" w16cid:durableId="436290954">
    <w:abstractNumId w:val="3"/>
  </w:num>
  <w:num w:numId="11" w16cid:durableId="686061076">
    <w:abstractNumId w:val="8"/>
  </w:num>
  <w:num w:numId="12" w16cid:durableId="287859948">
    <w:abstractNumId w:val="23"/>
  </w:num>
  <w:num w:numId="13" w16cid:durableId="1596012348">
    <w:abstractNumId w:val="9"/>
  </w:num>
  <w:num w:numId="14" w16cid:durableId="2089571675">
    <w:abstractNumId w:val="13"/>
  </w:num>
  <w:num w:numId="15" w16cid:durableId="420371888">
    <w:abstractNumId w:val="11"/>
  </w:num>
  <w:num w:numId="16" w16cid:durableId="129327997">
    <w:abstractNumId w:val="22"/>
  </w:num>
  <w:num w:numId="17" w16cid:durableId="1080373138">
    <w:abstractNumId w:val="2"/>
  </w:num>
  <w:num w:numId="18" w16cid:durableId="1008756462">
    <w:abstractNumId w:val="14"/>
  </w:num>
  <w:num w:numId="19" w16cid:durableId="1175926285">
    <w:abstractNumId w:val="0"/>
  </w:num>
  <w:num w:numId="20" w16cid:durableId="1828010973">
    <w:abstractNumId w:val="18"/>
  </w:num>
  <w:num w:numId="21" w16cid:durableId="1237980327">
    <w:abstractNumId w:val="12"/>
  </w:num>
  <w:num w:numId="22" w16cid:durableId="2074545963">
    <w:abstractNumId w:val="20"/>
  </w:num>
  <w:num w:numId="23" w16cid:durableId="1708217488">
    <w:abstractNumId w:val="6"/>
  </w:num>
  <w:num w:numId="24" w16cid:durableId="1215584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654"/>
    <w:rsid w:val="0000028B"/>
    <w:rsid w:val="00024B2F"/>
    <w:rsid w:val="00031734"/>
    <w:rsid w:val="000808A0"/>
    <w:rsid w:val="00084DE9"/>
    <w:rsid w:val="00094297"/>
    <w:rsid w:val="000D34E2"/>
    <w:rsid w:val="000E15FD"/>
    <w:rsid w:val="00112F3F"/>
    <w:rsid w:val="0013305A"/>
    <w:rsid w:val="00143BFF"/>
    <w:rsid w:val="00160015"/>
    <w:rsid w:val="001C1A54"/>
    <w:rsid w:val="002017D6"/>
    <w:rsid w:val="00270304"/>
    <w:rsid w:val="00280E85"/>
    <w:rsid w:val="00293B15"/>
    <w:rsid w:val="002A6BE9"/>
    <w:rsid w:val="002B337C"/>
    <w:rsid w:val="002F29CA"/>
    <w:rsid w:val="0031292E"/>
    <w:rsid w:val="00314B5C"/>
    <w:rsid w:val="00320757"/>
    <w:rsid w:val="00327F60"/>
    <w:rsid w:val="003421CB"/>
    <w:rsid w:val="003537F6"/>
    <w:rsid w:val="00360712"/>
    <w:rsid w:val="00366D97"/>
    <w:rsid w:val="003A2F1C"/>
    <w:rsid w:val="003B76DF"/>
    <w:rsid w:val="003D41C2"/>
    <w:rsid w:val="003D6DE3"/>
    <w:rsid w:val="00425D81"/>
    <w:rsid w:val="004902FC"/>
    <w:rsid w:val="004A108A"/>
    <w:rsid w:val="004C4351"/>
    <w:rsid w:val="005405B1"/>
    <w:rsid w:val="00557A39"/>
    <w:rsid w:val="005613C5"/>
    <w:rsid w:val="0057578F"/>
    <w:rsid w:val="005A0803"/>
    <w:rsid w:val="005A1FBF"/>
    <w:rsid w:val="005D54A6"/>
    <w:rsid w:val="005E21F7"/>
    <w:rsid w:val="00630782"/>
    <w:rsid w:val="00635814"/>
    <w:rsid w:val="006460B6"/>
    <w:rsid w:val="00654A74"/>
    <w:rsid w:val="006B1152"/>
    <w:rsid w:val="006B5A5A"/>
    <w:rsid w:val="006E7799"/>
    <w:rsid w:val="00701DCD"/>
    <w:rsid w:val="0070524D"/>
    <w:rsid w:val="00712A76"/>
    <w:rsid w:val="00722C97"/>
    <w:rsid w:val="00726654"/>
    <w:rsid w:val="00731099"/>
    <w:rsid w:val="007924F0"/>
    <w:rsid w:val="007E0EB5"/>
    <w:rsid w:val="008634D2"/>
    <w:rsid w:val="008635EE"/>
    <w:rsid w:val="00867611"/>
    <w:rsid w:val="0087120F"/>
    <w:rsid w:val="008A182E"/>
    <w:rsid w:val="008B02C3"/>
    <w:rsid w:val="008F15BE"/>
    <w:rsid w:val="008F19C1"/>
    <w:rsid w:val="0094340A"/>
    <w:rsid w:val="00947FF5"/>
    <w:rsid w:val="00957DA0"/>
    <w:rsid w:val="009905B2"/>
    <w:rsid w:val="009C4753"/>
    <w:rsid w:val="009E4379"/>
    <w:rsid w:val="00A037A6"/>
    <w:rsid w:val="00A312B9"/>
    <w:rsid w:val="00A50552"/>
    <w:rsid w:val="00A71F5E"/>
    <w:rsid w:val="00AC3FD3"/>
    <w:rsid w:val="00AF656A"/>
    <w:rsid w:val="00B26205"/>
    <w:rsid w:val="00B66209"/>
    <w:rsid w:val="00BB3C43"/>
    <w:rsid w:val="00BD2448"/>
    <w:rsid w:val="00BD5856"/>
    <w:rsid w:val="00C2156C"/>
    <w:rsid w:val="00C31C4A"/>
    <w:rsid w:val="00C61C70"/>
    <w:rsid w:val="00C90DA6"/>
    <w:rsid w:val="00D02410"/>
    <w:rsid w:val="00D14563"/>
    <w:rsid w:val="00D35D6F"/>
    <w:rsid w:val="00D40CEF"/>
    <w:rsid w:val="00D63474"/>
    <w:rsid w:val="00DA6233"/>
    <w:rsid w:val="00DB115D"/>
    <w:rsid w:val="00DB6999"/>
    <w:rsid w:val="00DF122B"/>
    <w:rsid w:val="00E50475"/>
    <w:rsid w:val="00E70E84"/>
    <w:rsid w:val="00E726C9"/>
    <w:rsid w:val="00EF6CAB"/>
    <w:rsid w:val="00F36D23"/>
    <w:rsid w:val="00F40371"/>
    <w:rsid w:val="00F720E8"/>
    <w:rsid w:val="00FE7FE5"/>
    <w:rsid w:val="00FF7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3A82"/>
  <w15:chartTrackingRefBased/>
  <w15:docId w15:val="{21803DF5-77CE-41F7-942C-0D4A440E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6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66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66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66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66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6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6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66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66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66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66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6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654"/>
    <w:rPr>
      <w:rFonts w:eastAsiaTheme="majorEastAsia" w:cstheme="majorBidi"/>
      <w:color w:val="272727" w:themeColor="text1" w:themeTint="D8"/>
    </w:rPr>
  </w:style>
  <w:style w:type="paragraph" w:styleId="Title">
    <w:name w:val="Title"/>
    <w:basedOn w:val="Normal"/>
    <w:next w:val="Normal"/>
    <w:link w:val="TitleChar"/>
    <w:uiPriority w:val="10"/>
    <w:qFormat/>
    <w:rsid w:val="00726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654"/>
    <w:pPr>
      <w:spacing w:before="160"/>
      <w:jc w:val="center"/>
    </w:pPr>
    <w:rPr>
      <w:i/>
      <w:iCs/>
      <w:color w:val="404040" w:themeColor="text1" w:themeTint="BF"/>
    </w:rPr>
  </w:style>
  <w:style w:type="character" w:customStyle="1" w:styleId="QuoteChar">
    <w:name w:val="Quote Char"/>
    <w:basedOn w:val="DefaultParagraphFont"/>
    <w:link w:val="Quote"/>
    <w:uiPriority w:val="29"/>
    <w:rsid w:val="00726654"/>
    <w:rPr>
      <w:i/>
      <w:iCs/>
      <w:color w:val="404040" w:themeColor="text1" w:themeTint="BF"/>
    </w:rPr>
  </w:style>
  <w:style w:type="paragraph" w:styleId="ListParagraph">
    <w:name w:val="List Paragraph"/>
    <w:basedOn w:val="Normal"/>
    <w:uiPriority w:val="34"/>
    <w:qFormat/>
    <w:rsid w:val="00726654"/>
    <w:pPr>
      <w:ind w:left="720"/>
      <w:contextualSpacing/>
    </w:pPr>
  </w:style>
  <w:style w:type="character" w:styleId="IntenseEmphasis">
    <w:name w:val="Intense Emphasis"/>
    <w:basedOn w:val="DefaultParagraphFont"/>
    <w:uiPriority w:val="21"/>
    <w:qFormat/>
    <w:rsid w:val="00726654"/>
    <w:rPr>
      <w:i/>
      <w:iCs/>
      <w:color w:val="2F5496" w:themeColor="accent1" w:themeShade="BF"/>
    </w:rPr>
  </w:style>
  <w:style w:type="paragraph" w:styleId="IntenseQuote">
    <w:name w:val="Intense Quote"/>
    <w:basedOn w:val="Normal"/>
    <w:next w:val="Normal"/>
    <w:link w:val="IntenseQuoteChar"/>
    <w:uiPriority w:val="30"/>
    <w:qFormat/>
    <w:rsid w:val="007266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6654"/>
    <w:rPr>
      <w:i/>
      <w:iCs/>
      <w:color w:val="2F5496" w:themeColor="accent1" w:themeShade="BF"/>
    </w:rPr>
  </w:style>
  <w:style w:type="character" w:styleId="IntenseReference">
    <w:name w:val="Intense Reference"/>
    <w:basedOn w:val="DefaultParagraphFont"/>
    <w:uiPriority w:val="32"/>
    <w:qFormat/>
    <w:rsid w:val="00726654"/>
    <w:rPr>
      <w:b/>
      <w:bCs/>
      <w:smallCaps/>
      <w:color w:val="2F5496" w:themeColor="accent1" w:themeShade="BF"/>
      <w:spacing w:val="5"/>
    </w:rPr>
  </w:style>
  <w:style w:type="paragraph" w:styleId="NormalWeb">
    <w:name w:val="Normal (Web)"/>
    <w:basedOn w:val="Normal"/>
    <w:uiPriority w:val="99"/>
    <w:unhideWhenUsed/>
    <w:rsid w:val="006460B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460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9048">
      <w:bodyDiv w:val="1"/>
      <w:marLeft w:val="0"/>
      <w:marRight w:val="0"/>
      <w:marTop w:val="0"/>
      <w:marBottom w:val="0"/>
      <w:divBdr>
        <w:top w:val="none" w:sz="0" w:space="0" w:color="auto"/>
        <w:left w:val="none" w:sz="0" w:space="0" w:color="auto"/>
        <w:bottom w:val="none" w:sz="0" w:space="0" w:color="auto"/>
        <w:right w:val="none" w:sz="0" w:space="0" w:color="auto"/>
      </w:divBdr>
    </w:div>
    <w:div w:id="127280808">
      <w:bodyDiv w:val="1"/>
      <w:marLeft w:val="0"/>
      <w:marRight w:val="0"/>
      <w:marTop w:val="0"/>
      <w:marBottom w:val="0"/>
      <w:divBdr>
        <w:top w:val="none" w:sz="0" w:space="0" w:color="auto"/>
        <w:left w:val="none" w:sz="0" w:space="0" w:color="auto"/>
        <w:bottom w:val="none" w:sz="0" w:space="0" w:color="auto"/>
        <w:right w:val="none" w:sz="0" w:space="0" w:color="auto"/>
      </w:divBdr>
    </w:div>
    <w:div w:id="185220873">
      <w:bodyDiv w:val="1"/>
      <w:marLeft w:val="0"/>
      <w:marRight w:val="0"/>
      <w:marTop w:val="0"/>
      <w:marBottom w:val="0"/>
      <w:divBdr>
        <w:top w:val="none" w:sz="0" w:space="0" w:color="auto"/>
        <w:left w:val="none" w:sz="0" w:space="0" w:color="auto"/>
        <w:bottom w:val="none" w:sz="0" w:space="0" w:color="auto"/>
        <w:right w:val="none" w:sz="0" w:space="0" w:color="auto"/>
      </w:divBdr>
    </w:div>
    <w:div w:id="216554885">
      <w:bodyDiv w:val="1"/>
      <w:marLeft w:val="0"/>
      <w:marRight w:val="0"/>
      <w:marTop w:val="0"/>
      <w:marBottom w:val="0"/>
      <w:divBdr>
        <w:top w:val="none" w:sz="0" w:space="0" w:color="auto"/>
        <w:left w:val="none" w:sz="0" w:space="0" w:color="auto"/>
        <w:bottom w:val="none" w:sz="0" w:space="0" w:color="auto"/>
        <w:right w:val="none" w:sz="0" w:space="0" w:color="auto"/>
      </w:divBdr>
    </w:div>
    <w:div w:id="288783032">
      <w:bodyDiv w:val="1"/>
      <w:marLeft w:val="0"/>
      <w:marRight w:val="0"/>
      <w:marTop w:val="0"/>
      <w:marBottom w:val="0"/>
      <w:divBdr>
        <w:top w:val="none" w:sz="0" w:space="0" w:color="auto"/>
        <w:left w:val="none" w:sz="0" w:space="0" w:color="auto"/>
        <w:bottom w:val="none" w:sz="0" w:space="0" w:color="auto"/>
        <w:right w:val="none" w:sz="0" w:space="0" w:color="auto"/>
      </w:divBdr>
    </w:div>
    <w:div w:id="315915844">
      <w:bodyDiv w:val="1"/>
      <w:marLeft w:val="0"/>
      <w:marRight w:val="0"/>
      <w:marTop w:val="0"/>
      <w:marBottom w:val="0"/>
      <w:divBdr>
        <w:top w:val="none" w:sz="0" w:space="0" w:color="auto"/>
        <w:left w:val="none" w:sz="0" w:space="0" w:color="auto"/>
        <w:bottom w:val="none" w:sz="0" w:space="0" w:color="auto"/>
        <w:right w:val="none" w:sz="0" w:space="0" w:color="auto"/>
      </w:divBdr>
    </w:div>
    <w:div w:id="407000213">
      <w:bodyDiv w:val="1"/>
      <w:marLeft w:val="0"/>
      <w:marRight w:val="0"/>
      <w:marTop w:val="0"/>
      <w:marBottom w:val="0"/>
      <w:divBdr>
        <w:top w:val="none" w:sz="0" w:space="0" w:color="auto"/>
        <w:left w:val="none" w:sz="0" w:space="0" w:color="auto"/>
        <w:bottom w:val="none" w:sz="0" w:space="0" w:color="auto"/>
        <w:right w:val="none" w:sz="0" w:space="0" w:color="auto"/>
      </w:divBdr>
    </w:div>
    <w:div w:id="525675848">
      <w:bodyDiv w:val="1"/>
      <w:marLeft w:val="0"/>
      <w:marRight w:val="0"/>
      <w:marTop w:val="0"/>
      <w:marBottom w:val="0"/>
      <w:divBdr>
        <w:top w:val="none" w:sz="0" w:space="0" w:color="auto"/>
        <w:left w:val="none" w:sz="0" w:space="0" w:color="auto"/>
        <w:bottom w:val="none" w:sz="0" w:space="0" w:color="auto"/>
        <w:right w:val="none" w:sz="0" w:space="0" w:color="auto"/>
      </w:divBdr>
    </w:div>
    <w:div w:id="547226706">
      <w:bodyDiv w:val="1"/>
      <w:marLeft w:val="0"/>
      <w:marRight w:val="0"/>
      <w:marTop w:val="0"/>
      <w:marBottom w:val="0"/>
      <w:divBdr>
        <w:top w:val="none" w:sz="0" w:space="0" w:color="auto"/>
        <w:left w:val="none" w:sz="0" w:space="0" w:color="auto"/>
        <w:bottom w:val="none" w:sz="0" w:space="0" w:color="auto"/>
        <w:right w:val="none" w:sz="0" w:space="0" w:color="auto"/>
      </w:divBdr>
    </w:div>
    <w:div w:id="601376442">
      <w:bodyDiv w:val="1"/>
      <w:marLeft w:val="0"/>
      <w:marRight w:val="0"/>
      <w:marTop w:val="0"/>
      <w:marBottom w:val="0"/>
      <w:divBdr>
        <w:top w:val="none" w:sz="0" w:space="0" w:color="auto"/>
        <w:left w:val="none" w:sz="0" w:space="0" w:color="auto"/>
        <w:bottom w:val="none" w:sz="0" w:space="0" w:color="auto"/>
        <w:right w:val="none" w:sz="0" w:space="0" w:color="auto"/>
      </w:divBdr>
    </w:div>
    <w:div w:id="653490422">
      <w:bodyDiv w:val="1"/>
      <w:marLeft w:val="0"/>
      <w:marRight w:val="0"/>
      <w:marTop w:val="0"/>
      <w:marBottom w:val="0"/>
      <w:divBdr>
        <w:top w:val="none" w:sz="0" w:space="0" w:color="auto"/>
        <w:left w:val="none" w:sz="0" w:space="0" w:color="auto"/>
        <w:bottom w:val="none" w:sz="0" w:space="0" w:color="auto"/>
        <w:right w:val="none" w:sz="0" w:space="0" w:color="auto"/>
      </w:divBdr>
    </w:div>
    <w:div w:id="764616910">
      <w:bodyDiv w:val="1"/>
      <w:marLeft w:val="0"/>
      <w:marRight w:val="0"/>
      <w:marTop w:val="0"/>
      <w:marBottom w:val="0"/>
      <w:divBdr>
        <w:top w:val="none" w:sz="0" w:space="0" w:color="auto"/>
        <w:left w:val="none" w:sz="0" w:space="0" w:color="auto"/>
        <w:bottom w:val="none" w:sz="0" w:space="0" w:color="auto"/>
        <w:right w:val="none" w:sz="0" w:space="0" w:color="auto"/>
      </w:divBdr>
    </w:div>
    <w:div w:id="951859711">
      <w:bodyDiv w:val="1"/>
      <w:marLeft w:val="0"/>
      <w:marRight w:val="0"/>
      <w:marTop w:val="0"/>
      <w:marBottom w:val="0"/>
      <w:divBdr>
        <w:top w:val="none" w:sz="0" w:space="0" w:color="auto"/>
        <w:left w:val="none" w:sz="0" w:space="0" w:color="auto"/>
        <w:bottom w:val="none" w:sz="0" w:space="0" w:color="auto"/>
        <w:right w:val="none" w:sz="0" w:space="0" w:color="auto"/>
      </w:divBdr>
    </w:div>
    <w:div w:id="993026104">
      <w:bodyDiv w:val="1"/>
      <w:marLeft w:val="0"/>
      <w:marRight w:val="0"/>
      <w:marTop w:val="0"/>
      <w:marBottom w:val="0"/>
      <w:divBdr>
        <w:top w:val="none" w:sz="0" w:space="0" w:color="auto"/>
        <w:left w:val="none" w:sz="0" w:space="0" w:color="auto"/>
        <w:bottom w:val="none" w:sz="0" w:space="0" w:color="auto"/>
        <w:right w:val="none" w:sz="0" w:space="0" w:color="auto"/>
      </w:divBdr>
    </w:div>
    <w:div w:id="998726260">
      <w:bodyDiv w:val="1"/>
      <w:marLeft w:val="0"/>
      <w:marRight w:val="0"/>
      <w:marTop w:val="0"/>
      <w:marBottom w:val="0"/>
      <w:divBdr>
        <w:top w:val="none" w:sz="0" w:space="0" w:color="auto"/>
        <w:left w:val="none" w:sz="0" w:space="0" w:color="auto"/>
        <w:bottom w:val="none" w:sz="0" w:space="0" w:color="auto"/>
        <w:right w:val="none" w:sz="0" w:space="0" w:color="auto"/>
      </w:divBdr>
    </w:div>
    <w:div w:id="1035236406">
      <w:bodyDiv w:val="1"/>
      <w:marLeft w:val="0"/>
      <w:marRight w:val="0"/>
      <w:marTop w:val="0"/>
      <w:marBottom w:val="0"/>
      <w:divBdr>
        <w:top w:val="none" w:sz="0" w:space="0" w:color="auto"/>
        <w:left w:val="none" w:sz="0" w:space="0" w:color="auto"/>
        <w:bottom w:val="none" w:sz="0" w:space="0" w:color="auto"/>
        <w:right w:val="none" w:sz="0" w:space="0" w:color="auto"/>
      </w:divBdr>
    </w:div>
    <w:div w:id="1056785196">
      <w:bodyDiv w:val="1"/>
      <w:marLeft w:val="0"/>
      <w:marRight w:val="0"/>
      <w:marTop w:val="0"/>
      <w:marBottom w:val="0"/>
      <w:divBdr>
        <w:top w:val="none" w:sz="0" w:space="0" w:color="auto"/>
        <w:left w:val="none" w:sz="0" w:space="0" w:color="auto"/>
        <w:bottom w:val="none" w:sz="0" w:space="0" w:color="auto"/>
        <w:right w:val="none" w:sz="0" w:space="0" w:color="auto"/>
      </w:divBdr>
    </w:div>
    <w:div w:id="1071346647">
      <w:bodyDiv w:val="1"/>
      <w:marLeft w:val="0"/>
      <w:marRight w:val="0"/>
      <w:marTop w:val="0"/>
      <w:marBottom w:val="0"/>
      <w:divBdr>
        <w:top w:val="none" w:sz="0" w:space="0" w:color="auto"/>
        <w:left w:val="none" w:sz="0" w:space="0" w:color="auto"/>
        <w:bottom w:val="none" w:sz="0" w:space="0" w:color="auto"/>
        <w:right w:val="none" w:sz="0" w:space="0" w:color="auto"/>
      </w:divBdr>
    </w:div>
    <w:div w:id="1187258795">
      <w:bodyDiv w:val="1"/>
      <w:marLeft w:val="0"/>
      <w:marRight w:val="0"/>
      <w:marTop w:val="0"/>
      <w:marBottom w:val="0"/>
      <w:divBdr>
        <w:top w:val="none" w:sz="0" w:space="0" w:color="auto"/>
        <w:left w:val="none" w:sz="0" w:space="0" w:color="auto"/>
        <w:bottom w:val="none" w:sz="0" w:space="0" w:color="auto"/>
        <w:right w:val="none" w:sz="0" w:space="0" w:color="auto"/>
      </w:divBdr>
      <w:divsChild>
        <w:div w:id="1429231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025127">
      <w:bodyDiv w:val="1"/>
      <w:marLeft w:val="0"/>
      <w:marRight w:val="0"/>
      <w:marTop w:val="0"/>
      <w:marBottom w:val="0"/>
      <w:divBdr>
        <w:top w:val="none" w:sz="0" w:space="0" w:color="auto"/>
        <w:left w:val="none" w:sz="0" w:space="0" w:color="auto"/>
        <w:bottom w:val="none" w:sz="0" w:space="0" w:color="auto"/>
        <w:right w:val="none" w:sz="0" w:space="0" w:color="auto"/>
      </w:divBdr>
    </w:div>
    <w:div w:id="1386249425">
      <w:bodyDiv w:val="1"/>
      <w:marLeft w:val="0"/>
      <w:marRight w:val="0"/>
      <w:marTop w:val="0"/>
      <w:marBottom w:val="0"/>
      <w:divBdr>
        <w:top w:val="none" w:sz="0" w:space="0" w:color="auto"/>
        <w:left w:val="none" w:sz="0" w:space="0" w:color="auto"/>
        <w:bottom w:val="none" w:sz="0" w:space="0" w:color="auto"/>
        <w:right w:val="none" w:sz="0" w:space="0" w:color="auto"/>
      </w:divBdr>
    </w:div>
    <w:div w:id="1397510963">
      <w:bodyDiv w:val="1"/>
      <w:marLeft w:val="0"/>
      <w:marRight w:val="0"/>
      <w:marTop w:val="0"/>
      <w:marBottom w:val="0"/>
      <w:divBdr>
        <w:top w:val="none" w:sz="0" w:space="0" w:color="auto"/>
        <w:left w:val="none" w:sz="0" w:space="0" w:color="auto"/>
        <w:bottom w:val="none" w:sz="0" w:space="0" w:color="auto"/>
        <w:right w:val="none" w:sz="0" w:space="0" w:color="auto"/>
      </w:divBdr>
    </w:div>
    <w:div w:id="1525709188">
      <w:bodyDiv w:val="1"/>
      <w:marLeft w:val="0"/>
      <w:marRight w:val="0"/>
      <w:marTop w:val="0"/>
      <w:marBottom w:val="0"/>
      <w:divBdr>
        <w:top w:val="none" w:sz="0" w:space="0" w:color="auto"/>
        <w:left w:val="none" w:sz="0" w:space="0" w:color="auto"/>
        <w:bottom w:val="none" w:sz="0" w:space="0" w:color="auto"/>
        <w:right w:val="none" w:sz="0" w:space="0" w:color="auto"/>
      </w:divBdr>
    </w:div>
    <w:div w:id="1619800135">
      <w:bodyDiv w:val="1"/>
      <w:marLeft w:val="0"/>
      <w:marRight w:val="0"/>
      <w:marTop w:val="0"/>
      <w:marBottom w:val="0"/>
      <w:divBdr>
        <w:top w:val="none" w:sz="0" w:space="0" w:color="auto"/>
        <w:left w:val="none" w:sz="0" w:space="0" w:color="auto"/>
        <w:bottom w:val="none" w:sz="0" w:space="0" w:color="auto"/>
        <w:right w:val="none" w:sz="0" w:space="0" w:color="auto"/>
      </w:divBdr>
    </w:div>
    <w:div w:id="1709716714">
      <w:bodyDiv w:val="1"/>
      <w:marLeft w:val="0"/>
      <w:marRight w:val="0"/>
      <w:marTop w:val="0"/>
      <w:marBottom w:val="0"/>
      <w:divBdr>
        <w:top w:val="none" w:sz="0" w:space="0" w:color="auto"/>
        <w:left w:val="none" w:sz="0" w:space="0" w:color="auto"/>
        <w:bottom w:val="none" w:sz="0" w:space="0" w:color="auto"/>
        <w:right w:val="none" w:sz="0" w:space="0" w:color="auto"/>
      </w:divBdr>
    </w:div>
    <w:div w:id="1793939158">
      <w:bodyDiv w:val="1"/>
      <w:marLeft w:val="0"/>
      <w:marRight w:val="0"/>
      <w:marTop w:val="0"/>
      <w:marBottom w:val="0"/>
      <w:divBdr>
        <w:top w:val="none" w:sz="0" w:space="0" w:color="auto"/>
        <w:left w:val="none" w:sz="0" w:space="0" w:color="auto"/>
        <w:bottom w:val="none" w:sz="0" w:space="0" w:color="auto"/>
        <w:right w:val="none" w:sz="0" w:space="0" w:color="auto"/>
      </w:divBdr>
    </w:div>
    <w:div w:id="1848247615">
      <w:bodyDiv w:val="1"/>
      <w:marLeft w:val="0"/>
      <w:marRight w:val="0"/>
      <w:marTop w:val="0"/>
      <w:marBottom w:val="0"/>
      <w:divBdr>
        <w:top w:val="none" w:sz="0" w:space="0" w:color="auto"/>
        <w:left w:val="none" w:sz="0" w:space="0" w:color="auto"/>
        <w:bottom w:val="none" w:sz="0" w:space="0" w:color="auto"/>
        <w:right w:val="none" w:sz="0" w:space="0" w:color="auto"/>
      </w:divBdr>
    </w:div>
    <w:div w:id="1880699903">
      <w:bodyDiv w:val="1"/>
      <w:marLeft w:val="0"/>
      <w:marRight w:val="0"/>
      <w:marTop w:val="0"/>
      <w:marBottom w:val="0"/>
      <w:divBdr>
        <w:top w:val="none" w:sz="0" w:space="0" w:color="auto"/>
        <w:left w:val="none" w:sz="0" w:space="0" w:color="auto"/>
        <w:bottom w:val="none" w:sz="0" w:space="0" w:color="auto"/>
        <w:right w:val="none" w:sz="0" w:space="0" w:color="auto"/>
      </w:divBdr>
    </w:div>
    <w:div w:id="1893809773">
      <w:bodyDiv w:val="1"/>
      <w:marLeft w:val="0"/>
      <w:marRight w:val="0"/>
      <w:marTop w:val="0"/>
      <w:marBottom w:val="0"/>
      <w:divBdr>
        <w:top w:val="none" w:sz="0" w:space="0" w:color="auto"/>
        <w:left w:val="none" w:sz="0" w:space="0" w:color="auto"/>
        <w:bottom w:val="none" w:sz="0" w:space="0" w:color="auto"/>
        <w:right w:val="none" w:sz="0" w:space="0" w:color="auto"/>
      </w:divBdr>
      <w:divsChild>
        <w:div w:id="152529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241387">
      <w:bodyDiv w:val="1"/>
      <w:marLeft w:val="0"/>
      <w:marRight w:val="0"/>
      <w:marTop w:val="0"/>
      <w:marBottom w:val="0"/>
      <w:divBdr>
        <w:top w:val="none" w:sz="0" w:space="0" w:color="auto"/>
        <w:left w:val="none" w:sz="0" w:space="0" w:color="auto"/>
        <w:bottom w:val="none" w:sz="0" w:space="0" w:color="auto"/>
        <w:right w:val="none" w:sz="0" w:space="0" w:color="auto"/>
      </w:divBdr>
    </w:div>
    <w:div w:id="1948538270">
      <w:bodyDiv w:val="1"/>
      <w:marLeft w:val="0"/>
      <w:marRight w:val="0"/>
      <w:marTop w:val="0"/>
      <w:marBottom w:val="0"/>
      <w:divBdr>
        <w:top w:val="none" w:sz="0" w:space="0" w:color="auto"/>
        <w:left w:val="none" w:sz="0" w:space="0" w:color="auto"/>
        <w:bottom w:val="none" w:sz="0" w:space="0" w:color="auto"/>
        <w:right w:val="none" w:sz="0" w:space="0" w:color="auto"/>
      </w:divBdr>
    </w:div>
    <w:div w:id="196086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2059</Words>
  <Characters>11739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 Whitebread</dc:creator>
  <cp:keywords/>
  <dc:description/>
  <cp:lastModifiedBy>Shannon Thomas</cp:lastModifiedBy>
  <cp:revision>2</cp:revision>
  <dcterms:created xsi:type="dcterms:W3CDTF">2025-06-15T22:23:00Z</dcterms:created>
  <dcterms:modified xsi:type="dcterms:W3CDTF">2025-06-15T22:23:00Z</dcterms:modified>
</cp:coreProperties>
</file>