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307D7" w14:textId="5A6B517D" w:rsidR="00113F5C" w:rsidRPr="004C48B4" w:rsidRDefault="00D7713B" w:rsidP="00F12973">
      <w:pPr>
        <w:rPr>
          <w:b/>
          <w:bCs/>
          <w:u w:val="single"/>
        </w:rPr>
      </w:pPr>
      <w:r>
        <w:rPr>
          <w:b/>
          <w:bCs/>
          <w:u w:val="single"/>
        </w:rPr>
        <w:t>C. Providers</w:t>
      </w:r>
    </w:p>
    <w:p w14:paraId="629DC22E" w14:textId="33720989" w:rsidR="004C48B4" w:rsidRPr="00461622" w:rsidRDefault="00D7713B" w:rsidP="00F12973">
      <w:pPr>
        <w:rPr>
          <w:i/>
          <w:iCs/>
        </w:rPr>
      </w:pPr>
      <w:r w:rsidRPr="00461622">
        <w:rPr>
          <w:i/>
          <w:iCs/>
        </w:rPr>
        <w:t>PR-1. What can CMS and its partners do to encourage providers, including those in rural areas, to leverage approved (see description in PC-5) digital health products for their patients?</w:t>
      </w:r>
    </w:p>
    <w:p w14:paraId="154B82C0" w14:textId="0F57DB45" w:rsidR="00380425" w:rsidRPr="00380425" w:rsidRDefault="00380425" w:rsidP="00380425">
      <w:r w:rsidRPr="00380425">
        <w:t xml:space="preserve">As an FQHC-led Accountable Care and Management Services Organization supporting Medicare beneficiaries in </w:t>
      </w:r>
      <w:r w:rsidR="00BF175F">
        <w:t>8</w:t>
      </w:r>
      <w:r w:rsidRPr="00380425">
        <w:t xml:space="preserve"> states and </w:t>
      </w:r>
      <w:r w:rsidR="00BF175F">
        <w:t>the District of Columbia</w:t>
      </w:r>
      <w:r w:rsidRPr="00380425">
        <w:t>, we see strong potential for digital tools—like appointment scheduling, medication tracking, and provider messaging—to improve care coordination, reduce burden, and empower patients.</w:t>
      </w:r>
    </w:p>
    <w:p w14:paraId="0CE3B34E" w14:textId="77777777" w:rsidR="00380425" w:rsidRPr="00380425" w:rsidRDefault="00380425" w:rsidP="00380425">
      <w:r w:rsidRPr="00380425">
        <w:t>Barriers to adoption include:</w:t>
      </w:r>
    </w:p>
    <w:p w14:paraId="1662699E" w14:textId="77777777" w:rsidR="00380425" w:rsidRPr="00380425" w:rsidRDefault="00380425" w:rsidP="00380425">
      <w:pPr>
        <w:numPr>
          <w:ilvl w:val="0"/>
          <w:numId w:val="5"/>
        </w:numPr>
      </w:pPr>
      <w:r w:rsidRPr="00380425">
        <w:t>Limited digital literacy and lack of access to devices or broadband</w:t>
      </w:r>
    </w:p>
    <w:p w14:paraId="587A814D" w14:textId="77777777" w:rsidR="00380425" w:rsidRPr="00380425" w:rsidRDefault="00380425" w:rsidP="00380425">
      <w:pPr>
        <w:numPr>
          <w:ilvl w:val="0"/>
          <w:numId w:val="5"/>
        </w:numPr>
      </w:pPr>
      <w:r w:rsidRPr="00380425">
        <w:t>Low interoperability across tools and EHR systems</w:t>
      </w:r>
    </w:p>
    <w:p w14:paraId="6EBF5BEF" w14:textId="77777777" w:rsidR="00380425" w:rsidRPr="00380425" w:rsidRDefault="00380425" w:rsidP="00380425">
      <w:pPr>
        <w:numPr>
          <w:ilvl w:val="0"/>
          <w:numId w:val="5"/>
        </w:numPr>
      </w:pPr>
      <w:r w:rsidRPr="00380425">
        <w:t>A mismatch between tool functionality and patient/provider needs</w:t>
      </w:r>
    </w:p>
    <w:p w14:paraId="3E36CE6B" w14:textId="77777777" w:rsidR="00380425" w:rsidRPr="00380425" w:rsidRDefault="00380425" w:rsidP="00380425">
      <w:r w:rsidRPr="00380425">
        <w:t>We recommend CMS:</w:t>
      </w:r>
    </w:p>
    <w:p w14:paraId="5799BC9B" w14:textId="3A35BC3B" w:rsidR="00380425" w:rsidRPr="00380425" w:rsidRDefault="00380425" w:rsidP="00380425">
      <w:pPr>
        <w:numPr>
          <w:ilvl w:val="0"/>
          <w:numId w:val="6"/>
        </w:numPr>
      </w:pPr>
      <w:r w:rsidRPr="00380425">
        <w:t xml:space="preserve">Provide financial incentives for FQHC-developer partnerships, ensuring </w:t>
      </w:r>
      <w:r w:rsidR="00C7621A">
        <w:t xml:space="preserve">that new digital </w:t>
      </w:r>
      <w:r w:rsidRPr="00380425">
        <w:t>tools address the real needs of underserved populations.</w:t>
      </w:r>
    </w:p>
    <w:p w14:paraId="3FE56910" w14:textId="77777777" w:rsidR="00380425" w:rsidRPr="00380425" w:rsidRDefault="00380425" w:rsidP="00380425">
      <w:pPr>
        <w:numPr>
          <w:ilvl w:val="0"/>
          <w:numId w:val="6"/>
        </w:numPr>
      </w:pPr>
      <w:r w:rsidRPr="00380425">
        <w:t>Tie incentives to interoperability with major EHR platforms (e.g., MyChart) to improve care management and reduce redundancy.</w:t>
      </w:r>
    </w:p>
    <w:p w14:paraId="5EFC7416" w14:textId="54F666AC" w:rsidR="00380425" w:rsidRPr="00380425" w:rsidRDefault="00380425" w:rsidP="00380425">
      <w:pPr>
        <w:numPr>
          <w:ilvl w:val="0"/>
          <w:numId w:val="6"/>
        </w:numPr>
      </w:pPr>
      <w:r w:rsidRPr="00380425">
        <w:t>Fund broadband and device access programs for patients to bridge the digital divide, especially in rural communities where internet access is not readily available.</w:t>
      </w:r>
    </w:p>
    <w:p w14:paraId="15FE51B4" w14:textId="77777777" w:rsidR="00380425" w:rsidRPr="00380425" w:rsidRDefault="00380425" w:rsidP="00380425">
      <w:pPr>
        <w:numPr>
          <w:ilvl w:val="0"/>
          <w:numId w:val="6"/>
        </w:numPr>
      </w:pPr>
      <w:r w:rsidRPr="00380425">
        <w:t>Establish certification pathways for digital tools optimized for safety-net providers, including multilingual and low-bandwidth features.</w:t>
      </w:r>
    </w:p>
    <w:p w14:paraId="58911478" w14:textId="77777777" w:rsidR="00380425" w:rsidRPr="00380425" w:rsidRDefault="00380425" w:rsidP="00380425">
      <w:pPr>
        <w:numPr>
          <w:ilvl w:val="0"/>
          <w:numId w:val="6"/>
        </w:numPr>
      </w:pPr>
      <w:r w:rsidRPr="00380425">
        <w:t>Support shared infrastructure (e.g., regional digital platforms or consortia) to make adoption more feasible for small FQHCs.</w:t>
      </w:r>
    </w:p>
    <w:p w14:paraId="378B46C2" w14:textId="77777777" w:rsidR="00653808" w:rsidRDefault="00653808" w:rsidP="00F12973"/>
    <w:p w14:paraId="6DEA0446" w14:textId="02BE5771" w:rsidR="00005447" w:rsidRDefault="00005447" w:rsidP="00F12973">
      <w:r>
        <w:rPr>
          <w:b/>
          <w:bCs/>
        </w:rPr>
        <w:t>F. Value-Based Care Organizations</w:t>
      </w:r>
    </w:p>
    <w:p w14:paraId="399EA435" w14:textId="4CE1A463" w:rsidR="00C627C0" w:rsidRDefault="00005447" w:rsidP="00F12973">
      <w:pPr>
        <w:rPr>
          <w:i/>
          <w:iCs/>
        </w:rPr>
      </w:pPr>
      <w:r w:rsidRPr="00005447">
        <w:rPr>
          <w:i/>
          <w:iCs/>
        </w:rPr>
        <w:t>VB-1. What incentives could encourage APMs such as accountable care organizations (ACOs) or participants in Medicare Shared Savings Program (MSSP) to leverage digital health management and care navigation products more often and more effectively with their patients? What are the current obstacles preventing broader digital product adoption for patients in ACOs?</w:t>
      </w:r>
    </w:p>
    <w:p w14:paraId="4FF8F9C1" w14:textId="77777777" w:rsidR="00380425" w:rsidRPr="00BF175F" w:rsidRDefault="00380425" w:rsidP="00380425">
      <w:r w:rsidRPr="00380425">
        <w:lastRenderedPageBreak/>
        <w:t>Digital health management platforms—especially those using predictive analytics and AI—can identify care gaps, risk factors, and opportunities for timely intervention. AI scribes can streamline documentation, support accurate coding, and reduce administrative burden. These tools are highly promising, particularly in resource-constrained settings like FQHCs.</w:t>
      </w:r>
      <w:r w:rsidRPr="00BF175F">
        <w:t xml:space="preserve"> However, barriers include: </w:t>
      </w:r>
    </w:p>
    <w:p w14:paraId="404F4630" w14:textId="651E2186" w:rsidR="00380425" w:rsidRPr="00BF175F" w:rsidRDefault="00380425" w:rsidP="00380425">
      <w:pPr>
        <w:pStyle w:val="ListParagraph"/>
        <w:numPr>
          <w:ilvl w:val="0"/>
          <w:numId w:val="9"/>
        </w:numPr>
      </w:pPr>
      <w:r w:rsidRPr="00BF175F">
        <w:t>High costs of evaluation, implementation, and maintenance</w:t>
      </w:r>
    </w:p>
    <w:p w14:paraId="3C446725" w14:textId="77777777" w:rsidR="00380425" w:rsidRPr="00380425" w:rsidRDefault="00380425" w:rsidP="00380425">
      <w:pPr>
        <w:numPr>
          <w:ilvl w:val="0"/>
          <w:numId w:val="7"/>
        </w:numPr>
      </w:pPr>
      <w:r w:rsidRPr="00380425">
        <w:t>Limited EHR integration</w:t>
      </w:r>
    </w:p>
    <w:p w14:paraId="2735C9C3" w14:textId="77777777" w:rsidR="00380425" w:rsidRPr="00380425" w:rsidRDefault="00380425" w:rsidP="00380425">
      <w:pPr>
        <w:numPr>
          <w:ilvl w:val="0"/>
          <w:numId w:val="7"/>
        </w:numPr>
      </w:pPr>
      <w:r w:rsidRPr="00380425">
        <w:t>Lack of guidance on scalable, high-impact solutions for underserved populations</w:t>
      </w:r>
    </w:p>
    <w:p w14:paraId="558A1714" w14:textId="77777777" w:rsidR="00380425" w:rsidRPr="00380425" w:rsidRDefault="00380425" w:rsidP="00380425">
      <w:r w:rsidRPr="00380425">
        <w:t>We recommend CMS:</w:t>
      </w:r>
    </w:p>
    <w:p w14:paraId="2DA440EB" w14:textId="77777777" w:rsidR="00380425" w:rsidRPr="00380425" w:rsidRDefault="00380425" w:rsidP="00380425">
      <w:pPr>
        <w:numPr>
          <w:ilvl w:val="0"/>
          <w:numId w:val="8"/>
        </w:numPr>
      </w:pPr>
      <w:r w:rsidRPr="00380425">
        <w:t>Create financial incentives tied to successful tool integration into care management workflows</w:t>
      </w:r>
    </w:p>
    <w:p w14:paraId="115B4B5E" w14:textId="77777777" w:rsidR="00380425" w:rsidRPr="00380425" w:rsidRDefault="00380425" w:rsidP="00380425">
      <w:pPr>
        <w:numPr>
          <w:ilvl w:val="0"/>
          <w:numId w:val="8"/>
        </w:numPr>
      </w:pPr>
      <w:r w:rsidRPr="00380425">
        <w:t>Prioritize tools with demonstrated ROI for underserved communities</w:t>
      </w:r>
    </w:p>
    <w:p w14:paraId="76672060" w14:textId="77777777" w:rsidR="00380425" w:rsidRPr="00380425" w:rsidRDefault="00380425" w:rsidP="00380425">
      <w:pPr>
        <w:numPr>
          <w:ilvl w:val="0"/>
          <w:numId w:val="8"/>
        </w:numPr>
      </w:pPr>
      <w:r w:rsidRPr="00380425">
        <w:t>Fund shared digital infrastructure that can be leveraged across FQHCs</w:t>
      </w:r>
    </w:p>
    <w:p w14:paraId="6D51EACC" w14:textId="77777777" w:rsidR="00380425" w:rsidRPr="00380425" w:rsidRDefault="00380425" w:rsidP="00380425">
      <w:pPr>
        <w:numPr>
          <w:ilvl w:val="0"/>
          <w:numId w:val="8"/>
        </w:numPr>
      </w:pPr>
      <w:r w:rsidRPr="00380425">
        <w:t>Incentivize adoption of AI-assisted documentation to improve risk adjustment and reduce provider burnout</w:t>
      </w:r>
    </w:p>
    <w:p w14:paraId="71B47D01" w14:textId="77777777" w:rsidR="004008F4" w:rsidRPr="00BF175F" w:rsidRDefault="004008F4" w:rsidP="00C627C0"/>
    <w:p w14:paraId="19A9DF0C" w14:textId="665FE86A" w:rsidR="00D557DD" w:rsidRPr="00BF175F" w:rsidRDefault="00D557DD" w:rsidP="00C627C0">
      <w:pPr>
        <w:rPr>
          <w:i/>
          <w:iCs/>
        </w:rPr>
      </w:pPr>
      <w:r w:rsidRPr="00BF175F">
        <w:rPr>
          <w:i/>
          <w:iCs/>
        </w:rPr>
        <w:t>VB-9. What technology requirements should be different for APM organizations when comparing to non-APM organizations (for example, quality reporting, and interoperability)?</w:t>
      </w:r>
    </w:p>
    <w:p w14:paraId="56E646A1" w14:textId="373BF8A4" w:rsidR="00380425" w:rsidRPr="00380425" w:rsidRDefault="00380425" w:rsidP="00380425">
      <w:r w:rsidRPr="00380425">
        <w:t xml:space="preserve">To reduce </w:t>
      </w:r>
      <w:proofErr w:type="gramStart"/>
      <w:r w:rsidRPr="00380425">
        <w:t>administrative</w:t>
      </w:r>
      <w:proofErr w:type="gramEnd"/>
      <w:r w:rsidRPr="00380425">
        <w:t xml:space="preserve"> burden and enhance data utility for APM participants, especially FQHCs</w:t>
      </w:r>
      <w:r w:rsidRPr="00BF175F">
        <w:t>, w</w:t>
      </w:r>
      <w:r w:rsidRPr="00380425">
        <w:t>e recommend:</w:t>
      </w:r>
    </w:p>
    <w:p w14:paraId="5B306C86" w14:textId="77777777" w:rsidR="00380425" w:rsidRPr="00380425" w:rsidRDefault="00380425" w:rsidP="00380425">
      <w:pPr>
        <w:numPr>
          <w:ilvl w:val="0"/>
          <w:numId w:val="10"/>
        </w:numPr>
      </w:pPr>
      <w:r w:rsidRPr="00380425">
        <w:t>Align CMS and HHS data standards and reporting systems to eliminate duplicative reporting and streamline quality measurement.</w:t>
      </w:r>
    </w:p>
    <w:p w14:paraId="6BC028F1" w14:textId="77777777" w:rsidR="00380425" w:rsidRPr="00380425" w:rsidRDefault="00380425" w:rsidP="00380425">
      <w:pPr>
        <w:numPr>
          <w:ilvl w:val="0"/>
          <w:numId w:val="10"/>
        </w:numPr>
      </w:pPr>
      <w:r w:rsidRPr="00380425">
        <w:t>Allow UDS data submission in lieu of separate MSSP and ACO REACH reporting. Since FQHCs already report through HRSA’s Uniform Data System, using this for CMS reporting would reduce burden and encourage broader participation in value-based care models.</w:t>
      </w:r>
    </w:p>
    <w:p w14:paraId="45EFA4B4" w14:textId="77777777" w:rsidR="00380425" w:rsidRPr="00380425" w:rsidRDefault="00380425" w:rsidP="00380425">
      <w:r w:rsidRPr="00380425">
        <w:t>This alignment would improve data integrity, reduce costs, and help ACOs focus resources on improving care—not navigating redundant reporting processes.</w:t>
      </w:r>
    </w:p>
    <w:p w14:paraId="089E6E49" w14:textId="574650AC" w:rsidR="00D557DD" w:rsidRPr="00C627C0" w:rsidRDefault="00D557DD" w:rsidP="00380425"/>
    <w:sectPr w:rsidR="00D557DD" w:rsidRPr="00C627C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AE82F" w14:textId="77777777" w:rsidR="00BB2041" w:rsidRDefault="00BB2041" w:rsidP="00F12973">
      <w:pPr>
        <w:spacing w:after="0" w:line="240" w:lineRule="auto"/>
      </w:pPr>
      <w:r>
        <w:separator/>
      </w:r>
    </w:p>
  </w:endnote>
  <w:endnote w:type="continuationSeparator" w:id="0">
    <w:p w14:paraId="6E0791E4" w14:textId="77777777" w:rsidR="00BB2041" w:rsidRDefault="00BB2041" w:rsidP="00F12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93150" w14:textId="77777777" w:rsidR="00BB2041" w:rsidRDefault="00BB2041" w:rsidP="00F12973">
      <w:pPr>
        <w:spacing w:after="0" w:line="240" w:lineRule="auto"/>
      </w:pPr>
      <w:r>
        <w:separator/>
      </w:r>
    </w:p>
  </w:footnote>
  <w:footnote w:type="continuationSeparator" w:id="0">
    <w:p w14:paraId="6A8BD007" w14:textId="77777777" w:rsidR="00BB2041" w:rsidRDefault="00BB2041" w:rsidP="00F12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6A26F" w14:textId="77777777" w:rsidR="00F12973" w:rsidRPr="00F12973" w:rsidRDefault="00F12973" w:rsidP="00F12973">
    <w:pPr>
      <w:rPr>
        <w:b/>
        <w:bCs/>
        <w:i/>
        <w:iCs/>
      </w:rPr>
    </w:pPr>
    <w:r w:rsidRPr="00F12973">
      <w:rPr>
        <w:b/>
        <w:bCs/>
        <w:i/>
        <w:iCs/>
      </w:rPr>
      <w:t>Improving Medicare Technology RFI</w:t>
    </w:r>
  </w:p>
  <w:p w14:paraId="509A32F3" w14:textId="77777777" w:rsidR="00F12973" w:rsidRDefault="00F129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4EB2"/>
    <w:multiLevelType w:val="hybridMultilevel"/>
    <w:tmpl w:val="75E43BA8"/>
    <w:lvl w:ilvl="0" w:tplc="0409000F">
      <w:start w:val="1"/>
      <w:numFmt w:val="decimal"/>
      <w:lvlText w:val="%1."/>
      <w:lvlJc w:val="left"/>
      <w:pPr>
        <w:ind w:left="7380" w:hanging="360"/>
      </w:pPr>
      <w:rPr>
        <w:rFonts w:hint="default"/>
      </w:rPr>
    </w:lvl>
    <w:lvl w:ilvl="1" w:tplc="04090019" w:tentative="1">
      <w:start w:val="1"/>
      <w:numFmt w:val="lowerLetter"/>
      <w:lvlText w:val="%2."/>
      <w:lvlJc w:val="left"/>
      <w:pPr>
        <w:ind w:left="8100" w:hanging="360"/>
      </w:pPr>
    </w:lvl>
    <w:lvl w:ilvl="2" w:tplc="0409001B" w:tentative="1">
      <w:start w:val="1"/>
      <w:numFmt w:val="lowerRoman"/>
      <w:lvlText w:val="%3."/>
      <w:lvlJc w:val="right"/>
      <w:pPr>
        <w:ind w:left="8820" w:hanging="180"/>
      </w:pPr>
    </w:lvl>
    <w:lvl w:ilvl="3" w:tplc="0409000F" w:tentative="1">
      <w:start w:val="1"/>
      <w:numFmt w:val="decimal"/>
      <w:lvlText w:val="%4."/>
      <w:lvlJc w:val="left"/>
      <w:pPr>
        <w:ind w:left="9540" w:hanging="360"/>
      </w:pPr>
    </w:lvl>
    <w:lvl w:ilvl="4" w:tplc="04090019" w:tentative="1">
      <w:start w:val="1"/>
      <w:numFmt w:val="lowerLetter"/>
      <w:lvlText w:val="%5."/>
      <w:lvlJc w:val="left"/>
      <w:pPr>
        <w:ind w:left="10260" w:hanging="360"/>
      </w:pPr>
    </w:lvl>
    <w:lvl w:ilvl="5" w:tplc="0409001B" w:tentative="1">
      <w:start w:val="1"/>
      <w:numFmt w:val="lowerRoman"/>
      <w:lvlText w:val="%6."/>
      <w:lvlJc w:val="right"/>
      <w:pPr>
        <w:ind w:left="10980" w:hanging="180"/>
      </w:pPr>
    </w:lvl>
    <w:lvl w:ilvl="6" w:tplc="0409000F" w:tentative="1">
      <w:start w:val="1"/>
      <w:numFmt w:val="decimal"/>
      <w:lvlText w:val="%7."/>
      <w:lvlJc w:val="left"/>
      <w:pPr>
        <w:ind w:left="11700" w:hanging="360"/>
      </w:pPr>
    </w:lvl>
    <w:lvl w:ilvl="7" w:tplc="04090019" w:tentative="1">
      <w:start w:val="1"/>
      <w:numFmt w:val="lowerLetter"/>
      <w:lvlText w:val="%8."/>
      <w:lvlJc w:val="left"/>
      <w:pPr>
        <w:ind w:left="12420" w:hanging="360"/>
      </w:pPr>
    </w:lvl>
    <w:lvl w:ilvl="8" w:tplc="0409001B" w:tentative="1">
      <w:start w:val="1"/>
      <w:numFmt w:val="lowerRoman"/>
      <w:lvlText w:val="%9."/>
      <w:lvlJc w:val="right"/>
      <w:pPr>
        <w:ind w:left="13140" w:hanging="180"/>
      </w:pPr>
    </w:lvl>
  </w:abstractNum>
  <w:abstractNum w:abstractNumId="1" w15:restartNumberingAfterBreak="0">
    <w:nsid w:val="03004DAA"/>
    <w:multiLevelType w:val="multilevel"/>
    <w:tmpl w:val="53A8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F42C7"/>
    <w:multiLevelType w:val="multilevel"/>
    <w:tmpl w:val="2216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C07D6"/>
    <w:multiLevelType w:val="multilevel"/>
    <w:tmpl w:val="8FE4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01073"/>
    <w:multiLevelType w:val="hybridMultilevel"/>
    <w:tmpl w:val="8D406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AC2E1D"/>
    <w:multiLevelType w:val="multilevel"/>
    <w:tmpl w:val="7CB8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D1F99"/>
    <w:multiLevelType w:val="hybridMultilevel"/>
    <w:tmpl w:val="DA080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36433A"/>
    <w:multiLevelType w:val="multilevel"/>
    <w:tmpl w:val="89B6B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B22537C"/>
    <w:multiLevelType w:val="multilevel"/>
    <w:tmpl w:val="FFD2C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A9B4D72"/>
    <w:multiLevelType w:val="multilevel"/>
    <w:tmpl w:val="88EA0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1531903">
    <w:abstractNumId w:val="8"/>
  </w:num>
  <w:num w:numId="2" w16cid:durableId="1441606311">
    <w:abstractNumId w:val="7"/>
  </w:num>
  <w:num w:numId="3" w16cid:durableId="1390492085">
    <w:abstractNumId w:val="4"/>
  </w:num>
  <w:num w:numId="4" w16cid:durableId="824198630">
    <w:abstractNumId w:val="0"/>
  </w:num>
  <w:num w:numId="5" w16cid:durableId="134566543">
    <w:abstractNumId w:val="2"/>
  </w:num>
  <w:num w:numId="6" w16cid:durableId="196283547">
    <w:abstractNumId w:val="1"/>
  </w:num>
  <w:num w:numId="7" w16cid:durableId="806244914">
    <w:abstractNumId w:val="5"/>
  </w:num>
  <w:num w:numId="8" w16cid:durableId="1133062822">
    <w:abstractNumId w:val="3"/>
  </w:num>
  <w:num w:numId="9" w16cid:durableId="2096247812">
    <w:abstractNumId w:val="6"/>
  </w:num>
  <w:num w:numId="10" w16cid:durableId="4509820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973"/>
    <w:rsid w:val="00005447"/>
    <w:rsid w:val="000B2E45"/>
    <w:rsid w:val="00113F5C"/>
    <w:rsid w:val="00133509"/>
    <w:rsid w:val="001914F5"/>
    <w:rsid w:val="00203C2A"/>
    <w:rsid w:val="00286F84"/>
    <w:rsid w:val="002B33C7"/>
    <w:rsid w:val="003325FE"/>
    <w:rsid w:val="00380425"/>
    <w:rsid w:val="003B3FEC"/>
    <w:rsid w:val="004008F4"/>
    <w:rsid w:val="00461622"/>
    <w:rsid w:val="004C48B4"/>
    <w:rsid w:val="005D3DAF"/>
    <w:rsid w:val="005E63D5"/>
    <w:rsid w:val="00653808"/>
    <w:rsid w:val="007D0B67"/>
    <w:rsid w:val="00876082"/>
    <w:rsid w:val="009B6806"/>
    <w:rsid w:val="00BB2041"/>
    <w:rsid w:val="00BF175F"/>
    <w:rsid w:val="00BF5684"/>
    <w:rsid w:val="00C45897"/>
    <w:rsid w:val="00C627C0"/>
    <w:rsid w:val="00C7621A"/>
    <w:rsid w:val="00D34FB9"/>
    <w:rsid w:val="00D557DD"/>
    <w:rsid w:val="00D7713B"/>
    <w:rsid w:val="00DF5FFC"/>
    <w:rsid w:val="00EC0F10"/>
    <w:rsid w:val="00F12973"/>
    <w:rsid w:val="00F80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BDAAF"/>
  <w15:chartTrackingRefBased/>
  <w15:docId w15:val="{4157DE35-2448-42A3-8A95-3F30CD898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9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9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29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9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9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9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9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9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9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9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9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9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9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9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973"/>
    <w:rPr>
      <w:rFonts w:eastAsiaTheme="majorEastAsia" w:cstheme="majorBidi"/>
      <w:color w:val="272727" w:themeColor="text1" w:themeTint="D8"/>
    </w:rPr>
  </w:style>
  <w:style w:type="paragraph" w:styleId="Title">
    <w:name w:val="Title"/>
    <w:basedOn w:val="Normal"/>
    <w:next w:val="Normal"/>
    <w:link w:val="TitleChar"/>
    <w:uiPriority w:val="10"/>
    <w:qFormat/>
    <w:rsid w:val="00F12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9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973"/>
    <w:pPr>
      <w:spacing w:before="160"/>
      <w:jc w:val="center"/>
    </w:pPr>
    <w:rPr>
      <w:i/>
      <w:iCs/>
      <w:color w:val="404040" w:themeColor="text1" w:themeTint="BF"/>
    </w:rPr>
  </w:style>
  <w:style w:type="character" w:customStyle="1" w:styleId="QuoteChar">
    <w:name w:val="Quote Char"/>
    <w:basedOn w:val="DefaultParagraphFont"/>
    <w:link w:val="Quote"/>
    <w:uiPriority w:val="29"/>
    <w:rsid w:val="00F12973"/>
    <w:rPr>
      <w:i/>
      <w:iCs/>
      <w:color w:val="404040" w:themeColor="text1" w:themeTint="BF"/>
    </w:rPr>
  </w:style>
  <w:style w:type="paragraph" w:styleId="ListParagraph">
    <w:name w:val="List Paragraph"/>
    <w:basedOn w:val="Normal"/>
    <w:uiPriority w:val="34"/>
    <w:qFormat/>
    <w:rsid w:val="00F12973"/>
    <w:pPr>
      <w:ind w:left="720"/>
      <w:contextualSpacing/>
    </w:pPr>
  </w:style>
  <w:style w:type="character" w:styleId="IntenseEmphasis">
    <w:name w:val="Intense Emphasis"/>
    <w:basedOn w:val="DefaultParagraphFont"/>
    <w:uiPriority w:val="21"/>
    <w:qFormat/>
    <w:rsid w:val="00F12973"/>
    <w:rPr>
      <w:i/>
      <w:iCs/>
      <w:color w:val="0F4761" w:themeColor="accent1" w:themeShade="BF"/>
    </w:rPr>
  </w:style>
  <w:style w:type="paragraph" w:styleId="IntenseQuote">
    <w:name w:val="Intense Quote"/>
    <w:basedOn w:val="Normal"/>
    <w:next w:val="Normal"/>
    <w:link w:val="IntenseQuoteChar"/>
    <w:uiPriority w:val="30"/>
    <w:qFormat/>
    <w:rsid w:val="00F12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973"/>
    <w:rPr>
      <w:i/>
      <w:iCs/>
      <w:color w:val="0F4761" w:themeColor="accent1" w:themeShade="BF"/>
    </w:rPr>
  </w:style>
  <w:style w:type="character" w:styleId="IntenseReference">
    <w:name w:val="Intense Reference"/>
    <w:basedOn w:val="DefaultParagraphFont"/>
    <w:uiPriority w:val="32"/>
    <w:qFormat/>
    <w:rsid w:val="00F12973"/>
    <w:rPr>
      <w:b/>
      <w:bCs/>
      <w:smallCaps/>
      <w:color w:val="0F4761" w:themeColor="accent1" w:themeShade="BF"/>
      <w:spacing w:val="5"/>
    </w:rPr>
  </w:style>
  <w:style w:type="paragraph" w:styleId="Header">
    <w:name w:val="header"/>
    <w:basedOn w:val="Normal"/>
    <w:link w:val="HeaderChar"/>
    <w:uiPriority w:val="99"/>
    <w:unhideWhenUsed/>
    <w:rsid w:val="00F129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2973"/>
  </w:style>
  <w:style w:type="paragraph" w:styleId="Footer">
    <w:name w:val="footer"/>
    <w:basedOn w:val="Normal"/>
    <w:link w:val="FooterChar"/>
    <w:uiPriority w:val="99"/>
    <w:unhideWhenUsed/>
    <w:rsid w:val="00F129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29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9770">
      <w:bodyDiv w:val="1"/>
      <w:marLeft w:val="0"/>
      <w:marRight w:val="0"/>
      <w:marTop w:val="0"/>
      <w:marBottom w:val="0"/>
      <w:divBdr>
        <w:top w:val="none" w:sz="0" w:space="0" w:color="auto"/>
        <w:left w:val="none" w:sz="0" w:space="0" w:color="auto"/>
        <w:bottom w:val="none" w:sz="0" w:space="0" w:color="auto"/>
        <w:right w:val="none" w:sz="0" w:space="0" w:color="auto"/>
      </w:divBdr>
    </w:div>
    <w:div w:id="94837135">
      <w:bodyDiv w:val="1"/>
      <w:marLeft w:val="0"/>
      <w:marRight w:val="0"/>
      <w:marTop w:val="0"/>
      <w:marBottom w:val="0"/>
      <w:divBdr>
        <w:top w:val="none" w:sz="0" w:space="0" w:color="auto"/>
        <w:left w:val="none" w:sz="0" w:space="0" w:color="auto"/>
        <w:bottom w:val="none" w:sz="0" w:space="0" w:color="auto"/>
        <w:right w:val="none" w:sz="0" w:space="0" w:color="auto"/>
      </w:divBdr>
    </w:div>
    <w:div w:id="1197887943">
      <w:bodyDiv w:val="1"/>
      <w:marLeft w:val="0"/>
      <w:marRight w:val="0"/>
      <w:marTop w:val="0"/>
      <w:marBottom w:val="0"/>
      <w:divBdr>
        <w:top w:val="none" w:sz="0" w:space="0" w:color="auto"/>
        <w:left w:val="none" w:sz="0" w:space="0" w:color="auto"/>
        <w:bottom w:val="none" w:sz="0" w:space="0" w:color="auto"/>
        <w:right w:val="none" w:sz="0" w:space="0" w:color="auto"/>
      </w:divBdr>
    </w:div>
    <w:div w:id="1241984961">
      <w:bodyDiv w:val="1"/>
      <w:marLeft w:val="0"/>
      <w:marRight w:val="0"/>
      <w:marTop w:val="0"/>
      <w:marBottom w:val="0"/>
      <w:divBdr>
        <w:top w:val="none" w:sz="0" w:space="0" w:color="auto"/>
        <w:left w:val="none" w:sz="0" w:space="0" w:color="auto"/>
        <w:bottom w:val="none" w:sz="0" w:space="0" w:color="auto"/>
        <w:right w:val="none" w:sz="0" w:space="0" w:color="auto"/>
      </w:divBdr>
    </w:div>
    <w:div w:id="1494176601">
      <w:bodyDiv w:val="1"/>
      <w:marLeft w:val="0"/>
      <w:marRight w:val="0"/>
      <w:marTop w:val="0"/>
      <w:marBottom w:val="0"/>
      <w:divBdr>
        <w:top w:val="none" w:sz="0" w:space="0" w:color="auto"/>
        <w:left w:val="none" w:sz="0" w:space="0" w:color="auto"/>
        <w:bottom w:val="none" w:sz="0" w:space="0" w:color="auto"/>
        <w:right w:val="none" w:sz="0" w:space="0" w:color="auto"/>
      </w:divBdr>
    </w:div>
    <w:div w:id="1536313658">
      <w:bodyDiv w:val="1"/>
      <w:marLeft w:val="0"/>
      <w:marRight w:val="0"/>
      <w:marTop w:val="0"/>
      <w:marBottom w:val="0"/>
      <w:divBdr>
        <w:top w:val="none" w:sz="0" w:space="0" w:color="auto"/>
        <w:left w:val="none" w:sz="0" w:space="0" w:color="auto"/>
        <w:bottom w:val="none" w:sz="0" w:space="0" w:color="auto"/>
        <w:right w:val="none" w:sz="0" w:space="0" w:color="auto"/>
      </w:divBdr>
    </w:div>
    <w:div w:id="1764450230">
      <w:bodyDiv w:val="1"/>
      <w:marLeft w:val="0"/>
      <w:marRight w:val="0"/>
      <w:marTop w:val="0"/>
      <w:marBottom w:val="0"/>
      <w:divBdr>
        <w:top w:val="none" w:sz="0" w:space="0" w:color="auto"/>
        <w:left w:val="none" w:sz="0" w:space="0" w:color="auto"/>
        <w:bottom w:val="none" w:sz="0" w:space="0" w:color="auto"/>
        <w:right w:val="none" w:sz="0" w:space="0" w:color="auto"/>
      </w:divBdr>
    </w:div>
    <w:div w:id="2038460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534</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Haynes</dc:creator>
  <cp:keywords/>
  <dc:description/>
  <cp:lastModifiedBy>Emily Haynes</cp:lastModifiedBy>
  <cp:revision>2</cp:revision>
  <dcterms:created xsi:type="dcterms:W3CDTF">2025-06-16T17:43:00Z</dcterms:created>
  <dcterms:modified xsi:type="dcterms:W3CDTF">2025-06-16T17:43:00Z</dcterms:modified>
</cp:coreProperties>
</file>