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3C021" w14:textId="336D1B68" w:rsidR="0028104F" w:rsidRPr="0028104F" w:rsidRDefault="0028104F" w:rsidP="0028104F"/>
    <w:p w14:paraId="7F3E974A" w14:textId="66542EA3" w:rsidR="0028104F" w:rsidRPr="0028104F" w:rsidRDefault="0028104F" w:rsidP="0028104F">
      <w:pPr>
        <w:rPr>
          <w:b/>
          <w:bCs/>
        </w:rPr>
      </w:pPr>
      <w:r w:rsidRPr="0028104F">
        <w:rPr>
          <w:b/>
          <w:bCs/>
        </w:rPr>
        <w:t>CMS RFI Response</w:t>
      </w:r>
    </w:p>
    <w:p w14:paraId="4A6D23AC" w14:textId="094B93AD" w:rsidR="0028104F" w:rsidRPr="0028104F" w:rsidRDefault="0028104F" w:rsidP="0028104F"/>
    <w:p w14:paraId="57FE65A2" w14:textId="77777777" w:rsidR="0028104F" w:rsidRPr="0028104F" w:rsidRDefault="0028104F" w:rsidP="0028104F">
      <w:pPr>
        <w:rPr>
          <w:b/>
          <w:bCs/>
        </w:rPr>
      </w:pPr>
      <w:r w:rsidRPr="0028104F">
        <w:rPr>
          <w:b/>
          <w:bCs/>
        </w:rPr>
        <w:t>F.1 Digital Health Adoption</w:t>
      </w:r>
    </w:p>
    <w:p w14:paraId="76337B9C" w14:textId="77777777" w:rsidR="0028104F" w:rsidRPr="0028104F" w:rsidRDefault="0028104F" w:rsidP="0028104F">
      <w:pPr>
        <w:rPr>
          <w:b/>
          <w:bCs/>
        </w:rPr>
      </w:pPr>
      <w:r w:rsidRPr="0028104F">
        <w:rPr>
          <w:b/>
          <w:bCs/>
        </w:rPr>
        <w:t>VB-1: VB–1. What incentives could encourage APMs such as accountable  care organizations (ACOs) or participants in Medicare Shared Savings Program (MSSP) to leverage digital  health management and care navigation products more often and more effectively with their patients? What are the current obstacles preventing broader digital product adoption for patients in ACOs?  </w:t>
      </w:r>
    </w:p>
    <w:p w14:paraId="7856861C" w14:textId="1CA0900A" w:rsidR="0028104F" w:rsidRPr="0028104F" w:rsidRDefault="007E6A2A" w:rsidP="0028104F">
      <w:r w:rsidRPr="001C55D2">
        <w:t xml:space="preserve">Incentives: </w:t>
      </w:r>
      <w:r w:rsidR="0028104F" w:rsidRPr="0028104F">
        <w:t>Outcome-Based Subsidies</w:t>
      </w:r>
    </w:p>
    <w:p w14:paraId="2A63DA9B" w14:textId="748D7082" w:rsidR="0028104F" w:rsidRPr="0028104F" w:rsidRDefault="0028104F" w:rsidP="0028104F">
      <w:pPr>
        <w:numPr>
          <w:ilvl w:val="0"/>
          <w:numId w:val="11"/>
        </w:numPr>
      </w:pPr>
      <w:r w:rsidRPr="001C55D2">
        <w:t>Technology</w:t>
      </w:r>
      <w:r w:rsidRPr="0028104F">
        <w:t xml:space="preserve"> investment incentives, such as a 15–20% SaaS cost reimbursement for platforms that demonstrate at least a 10% improvement in quality metrics or patient outcomes.</w:t>
      </w:r>
    </w:p>
    <w:p w14:paraId="53C63EA7" w14:textId="04A15180" w:rsidR="0028104F" w:rsidRPr="0028104F" w:rsidRDefault="0028104F" w:rsidP="0028104F">
      <w:pPr>
        <w:numPr>
          <w:ilvl w:val="0"/>
          <w:numId w:val="11"/>
        </w:numPr>
      </w:pPr>
      <w:r w:rsidRPr="0028104F">
        <w:t>Given the expiration of the APM bonus and the termination of several VBC models due to cost overruns, new incentives must be tightly linked to measurable, independently validated improvements in care quality and cost savings</w:t>
      </w:r>
      <w:r w:rsidRPr="001C55D2">
        <w:t>.</w:t>
      </w:r>
    </w:p>
    <w:p w14:paraId="775E7E68" w14:textId="5B27040D" w:rsidR="0028104F" w:rsidRPr="001C55D2" w:rsidRDefault="0028104F" w:rsidP="0028104F">
      <w:pPr>
        <w:numPr>
          <w:ilvl w:val="0"/>
          <w:numId w:val="11"/>
        </w:numPr>
      </w:pPr>
      <w:r w:rsidRPr="0028104F">
        <w:t>Consider supplementing with time-limited regulatory relief (e.g., reduced MIPS reporting) for organizations piloting certified solutions.</w:t>
      </w:r>
    </w:p>
    <w:p w14:paraId="3D34B7D4" w14:textId="64A9FA53" w:rsidR="007E6A2A" w:rsidRPr="001C55D2" w:rsidRDefault="007E6A2A" w:rsidP="007E6A2A">
      <w:r w:rsidRPr="001C55D2">
        <w:t>Obstacles:</w:t>
      </w:r>
    </w:p>
    <w:p w14:paraId="3C359E9E" w14:textId="77777777" w:rsidR="007E6A2A" w:rsidRPr="007E6A2A" w:rsidRDefault="007E6A2A" w:rsidP="007E6A2A">
      <w:pPr>
        <w:numPr>
          <w:ilvl w:val="0"/>
          <w:numId w:val="12"/>
        </w:numPr>
      </w:pPr>
      <w:r w:rsidRPr="007E6A2A">
        <w:t>Fragmented patient data and lack of interoperability between systems remain major obstacles, with many organizations reporting data mismatches and delays in information exchange.</w:t>
      </w:r>
    </w:p>
    <w:p w14:paraId="7012DA5A" w14:textId="3A65F08D" w:rsidR="007E6A2A" w:rsidRPr="007E6A2A" w:rsidRDefault="007E6A2A" w:rsidP="007E6A2A">
      <w:pPr>
        <w:numPr>
          <w:ilvl w:val="0"/>
          <w:numId w:val="12"/>
        </w:numPr>
      </w:pPr>
      <w:r w:rsidRPr="007E6A2A">
        <w:t>Uncertainty around the future of VBC models and incentives, especially following recent CMS terminations and policy shifts, has created hesitancy among providers to invest in new technologies</w:t>
      </w:r>
      <w:r w:rsidRPr="001C55D2">
        <w:t>.</w:t>
      </w:r>
    </w:p>
    <w:p w14:paraId="1E4FAF6D" w14:textId="1D34A884" w:rsidR="007E6A2A" w:rsidRPr="007E6A2A" w:rsidRDefault="007E6A2A" w:rsidP="007E6A2A">
      <w:pPr>
        <w:numPr>
          <w:ilvl w:val="0"/>
          <w:numId w:val="12"/>
        </w:numPr>
      </w:pPr>
      <w:r w:rsidRPr="007E6A2A">
        <w:t>Limited integration of advanced analytics and AI tools, with only 18% of medical groups reporting adoption for VBC</w:t>
      </w:r>
      <w:r w:rsidRPr="001C55D2">
        <w:t>.</w:t>
      </w:r>
    </w:p>
    <w:p w14:paraId="72099E78" w14:textId="08319318" w:rsidR="007E6A2A" w:rsidRPr="007E6A2A" w:rsidRDefault="007E6A2A" w:rsidP="007E6A2A">
      <w:pPr>
        <w:numPr>
          <w:ilvl w:val="0"/>
          <w:numId w:val="12"/>
        </w:numPr>
      </w:pPr>
      <w:r w:rsidRPr="007E6A2A">
        <w:t>Complexity of transitioning to risk-based contracts and lack of clear, clinically relevant APMs for all specialties</w:t>
      </w:r>
      <w:r w:rsidRPr="001C55D2">
        <w:t>.</w:t>
      </w:r>
    </w:p>
    <w:p w14:paraId="460DF998" w14:textId="77777777" w:rsidR="007E6A2A" w:rsidRPr="0028104F" w:rsidRDefault="007E6A2A" w:rsidP="007E6A2A">
      <w:pPr>
        <w:rPr>
          <w:b/>
          <w:bCs/>
        </w:rPr>
      </w:pPr>
    </w:p>
    <w:p w14:paraId="23F6CF02" w14:textId="2DA35F25" w:rsidR="0028104F" w:rsidRPr="0028104F" w:rsidRDefault="0028104F" w:rsidP="0028104F"/>
    <w:p w14:paraId="6A1FF02D" w14:textId="77777777" w:rsidR="007E6A2A" w:rsidRPr="007E6A2A" w:rsidRDefault="0028104F" w:rsidP="007E6A2A">
      <w:pPr>
        <w:rPr>
          <w:b/>
          <w:bCs/>
        </w:rPr>
      </w:pPr>
      <w:r w:rsidRPr="0028104F">
        <w:rPr>
          <w:b/>
          <w:bCs/>
        </w:rPr>
        <w:t xml:space="preserve">VB-2: </w:t>
      </w:r>
      <w:r w:rsidR="007E6A2A" w:rsidRPr="007E6A2A">
        <w:rPr>
          <w:b/>
          <w:bCs/>
        </w:rPr>
        <w:t>How can key themes and technologies such as artificial  intelligence, population health analytics, risk stratification, care coordination, usability, quality measurement, and patient engagement be better integrated into APM requirements?</w:t>
      </w:r>
    </w:p>
    <w:p w14:paraId="4099B8AB" w14:textId="77777777" w:rsidR="007E6A2A" w:rsidRPr="007E6A2A" w:rsidRDefault="007E6A2A" w:rsidP="007E6A2A">
      <w:pPr>
        <w:numPr>
          <w:ilvl w:val="0"/>
          <w:numId w:val="13"/>
        </w:numPr>
      </w:pPr>
      <w:r w:rsidRPr="007E6A2A">
        <w:t>Embed AI/Analytics Benchmarks into APM/QPP Scoring</w:t>
      </w:r>
    </w:p>
    <w:p w14:paraId="644E5DF2" w14:textId="53C3698E" w:rsidR="007E6A2A" w:rsidRPr="007E6A2A" w:rsidRDefault="007E6A2A" w:rsidP="007E6A2A">
      <w:pPr>
        <w:numPr>
          <w:ilvl w:val="1"/>
          <w:numId w:val="13"/>
        </w:numPr>
      </w:pPr>
      <w:r w:rsidRPr="007E6A2A">
        <w:t xml:space="preserve">Assign scoring weight (e.g., 5–10%) to the use of AI-driven tools for predictive staffing, </w:t>
      </w:r>
      <w:r w:rsidRPr="001C55D2">
        <w:t xml:space="preserve">automation, </w:t>
      </w:r>
      <w:r w:rsidRPr="007E6A2A">
        <w:t>risk stratification, and care gap identification.</w:t>
      </w:r>
    </w:p>
    <w:p w14:paraId="2D770759" w14:textId="529E5733" w:rsidR="007E6A2A" w:rsidRPr="007E6A2A" w:rsidRDefault="007E6A2A" w:rsidP="007E6A2A">
      <w:pPr>
        <w:numPr>
          <w:ilvl w:val="1"/>
          <w:numId w:val="13"/>
        </w:numPr>
      </w:pPr>
      <w:r w:rsidRPr="007E6A2A">
        <w:t>Require reporting of AI-enabled performance improvements (e.g., reduced documentation time, faster anomaly detection) as part of annual APM evaluations</w:t>
      </w:r>
      <w:r w:rsidRPr="001C55D2">
        <w:t>.</w:t>
      </w:r>
    </w:p>
    <w:p w14:paraId="4A61B387" w14:textId="77777777" w:rsidR="007E6A2A" w:rsidRPr="007E6A2A" w:rsidRDefault="007E6A2A" w:rsidP="007E6A2A">
      <w:pPr>
        <w:numPr>
          <w:ilvl w:val="0"/>
          <w:numId w:val="13"/>
        </w:numPr>
      </w:pPr>
      <w:r w:rsidRPr="007E6A2A">
        <w:t>Establish Innovation Pathways for Advanced Digital Tools</w:t>
      </w:r>
    </w:p>
    <w:p w14:paraId="213125DA" w14:textId="77777777" w:rsidR="007E6A2A" w:rsidRPr="007E6A2A" w:rsidRDefault="007E6A2A" w:rsidP="007E6A2A">
      <w:pPr>
        <w:numPr>
          <w:ilvl w:val="1"/>
          <w:numId w:val="13"/>
        </w:numPr>
      </w:pPr>
      <w:r w:rsidRPr="007E6A2A">
        <w:t>Mandate pilot programs within APMs for:</w:t>
      </w:r>
    </w:p>
    <w:p w14:paraId="7585CD92" w14:textId="77777777" w:rsidR="007E6A2A" w:rsidRPr="007E6A2A" w:rsidRDefault="007E6A2A" w:rsidP="007E6A2A">
      <w:pPr>
        <w:numPr>
          <w:ilvl w:val="2"/>
          <w:numId w:val="13"/>
        </w:numPr>
      </w:pPr>
      <w:r w:rsidRPr="007E6A2A">
        <w:t>Real-time coding suggestion engines (to reduce administrative burden)</w:t>
      </w:r>
    </w:p>
    <w:p w14:paraId="292C4EC7" w14:textId="77777777" w:rsidR="007E6A2A" w:rsidRPr="007E6A2A" w:rsidRDefault="007E6A2A" w:rsidP="007E6A2A">
      <w:pPr>
        <w:numPr>
          <w:ilvl w:val="2"/>
          <w:numId w:val="13"/>
        </w:numPr>
      </w:pPr>
      <w:r w:rsidRPr="007E6A2A">
        <w:t>Contract modeling interfaces (to support risk negotiation and transparency)</w:t>
      </w:r>
    </w:p>
    <w:p w14:paraId="23D70222" w14:textId="1F842F8C" w:rsidR="007E6A2A" w:rsidRPr="007E6A2A" w:rsidRDefault="007E6A2A" w:rsidP="007E6A2A">
      <w:pPr>
        <w:numPr>
          <w:ilvl w:val="2"/>
          <w:numId w:val="13"/>
        </w:numPr>
      </w:pPr>
      <w:r w:rsidRPr="007E6A2A">
        <w:t>Agentic AI systems that automate care coordination and patient engagement workflows</w:t>
      </w:r>
    </w:p>
    <w:p w14:paraId="02577739" w14:textId="77777777" w:rsidR="007C1F32" w:rsidRPr="001C55D2" w:rsidRDefault="007E6A2A" w:rsidP="007C1F32">
      <w:pPr>
        <w:numPr>
          <w:ilvl w:val="0"/>
          <w:numId w:val="13"/>
        </w:numPr>
      </w:pPr>
      <w:r w:rsidRPr="007E6A2A">
        <w:t>Support for Interoperability and Data Integration</w:t>
      </w:r>
    </w:p>
    <w:p w14:paraId="7D80975F" w14:textId="6106D5BC" w:rsidR="007E6A2A" w:rsidRPr="007E6A2A" w:rsidRDefault="007C1F32" w:rsidP="007C1F32">
      <w:pPr>
        <w:numPr>
          <w:ilvl w:val="1"/>
          <w:numId w:val="13"/>
        </w:numPr>
      </w:pPr>
      <w:r w:rsidRPr="001C55D2">
        <w:t>CMS should mandate that all risk-bearing entities operate on a unified, interoperable platform that meets or exceeds ONC Certified Health IT (CEHRT) standards.</w:t>
      </w:r>
    </w:p>
    <w:p w14:paraId="4C1A9B52" w14:textId="77777777" w:rsidR="007C1F32" w:rsidRPr="007C1F32" w:rsidRDefault="007C1F32" w:rsidP="007C1F32">
      <w:pPr>
        <w:rPr>
          <w:b/>
          <w:bCs/>
        </w:rPr>
      </w:pPr>
      <w:r w:rsidRPr="007C1F32">
        <w:rPr>
          <w:b/>
          <w:bCs/>
        </w:rPr>
        <w:t>VB-3: What are essential health IT capabilities for value-based care arrangements?</w:t>
      </w:r>
    </w:p>
    <w:p w14:paraId="33C5770D" w14:textId="77777777" w:rsidR="007C1F32" w:rsidRPr="007C1F32" w:rsidRDefault="007C1F32" w:rsidP="007C1F32">
      <w:pPr>
        <w:rPr>
          <w:b/>
          <w:bCs/>
        </w:rPr>
      </w:pPr>
      <w:r w:rsidRPr="007C1F32">
        <w:rPr>
          <w:b/>
          <w:bCs/>
        </w:rPr>
        <w:t>a. Examples (not comprehensive) may include: care planning, patient event notification, data extraction/normalization, quality performance measurement, access to claims data, attribution and patient ID matching, remote device interoperability, or other patient empowerment tools.</w:t>
      </w:r>
    </w:p>
    <w:p w14:paraId="0E9D7934" w14:textId="3974F488" w:rsidR="007C1F32" w:rsidRPr="007C1F32" w:rsidRDefault="007C1F32" w:rsidP="007C1F32">
      <w:pPr>
        <w:rPr>
          <w:b/>
          <w:bCs/>
        </w:rPr>
      </w:pPr>
    </w:p>
    <w:p w14:paraId="4A3F8AF8" w14:textId="77777777" w:rsidR="007C1F32" w:rsidRPr="007C1F32" w:rsidRDefault="007C1F32" w:rsidP="007C1F32">
      <w:r w:rsidRPr="007C1F32">
        <w:t>Essential Requirements:</w:t>
      </w:r>
    </w:p>
    <w:p w14:paraId="02C32616" w14:textId="77777777" w:rsidR="007C1F32" w:rsidRPr="007C1F32" w:rsidRDefault="007C1F32" w:rsidP="007C1F32">
      <w:r w:rsidRPr="007C1F32">
        <w:t>1. Core Capabilities:</w:t>
      </w:r>
    </w:p>
    <w:p w14:paraId="1398D33E" w14:textId="32404DA6" w:rsidR="007C1F32" w:rsidRPr="007C1F32" w:rsidRDefault="007C1F32" w:rsidP="007C1F32">
      <w:pPr>
        <w:numPr>
          <w:ilvl w:val="0"/>
          <w:numId w:val="17"/>
        </w:numPr>
      </w:pPr>
      <w:r w:rsidRPr="007C1F32">
        <w:t>Care Plan Synchronization: Enables dynamic, standards-based sharing and updating of care plans across providers, payers, and patients, ensuring alignment with HL7 and USCDI requirements for care planning and goal tracking.</w:t>
      </w:r>
    </w:p>
    <w:p w14:paraId="68EC9C4F" w14:textId="77777777" w:rsidR="007C1F32" w:rsidRPr="007C1F32" w:rsidRDefault="007C1F32" w:rsidP="007C1F32">
      <w:pPr>
        <w:numPr>
          <w:ilvl w:val="0"/>
          <w:numId w:val="17"/>
        </w:numPr>
      </w:pPr>
      <w:r w:rsidRPr="007C1F32">
        <w:t>Automated QPP Measure Calculation: Streamlines quality reporting and performance tracking, reducing administrative burden and supporting compliance with CMS requirements.</w:t>
      </w:r>
    </w:p>
    <w:p w14:paraId="583568AD" w14:textId="77777777" w:rsidR="007C1F32" w:rsidRPr="007C1F32" w:rsidRDefault="007C1F32" w:rsidP="007C1F32">
      <w:r w:rsidRPr="007C1F32">
        <w:t>2. Advanced (Market-Aligned) Capabilities:</w:t>
      </w:r>
    </w:p>
    <w:p w14:paraId="13FD96DB" w14:textId="5DBCE23E" w:rsidR="007C1F32" w:rsidRPr="007C1F32" w:rsidRDefault="007C1F32" w:rsidP="007C1F32">
      <w:pPr>
        <w:numPr>
          <w:ilvl w:val="0"/>
          <w:numId w:val="18"/>
        </w:numPr>
      </w:pPr>
      <w:r w:rsidRPr="007C1F32">
        <w:t>Network Performance Dashboards: provide real-time benchmarking of provider, practice, and network performance, supporting data-driven decision-making and contract optimization.</w:t>
      </w:r>
    </w:p>
    <w:p w14:paraId="02911984" w14:textId="77777777" w:rsidR="007C1F32" w:rsidRPr="007C1F32" w:rsidRDefault="007C1F32" w:rsidP="007C1F32">
      <w:pPr>
        <w:numPr>
          <w:ilvl w:val="0"/>
          <w:numId w:val="18"/>
        </w:numPr>
      </w:pPr>
      <w:r w:rsidRPr="007C1F32">
        <w:t>AI-Assisted Documentation Workflows: Real-time coding suggestion engines and automated care gap identification, as pioneered by Innovaccer, reduce provider burden and improve accuracy in clinical documentation.</w:t>
      </w:r>
    </w:p>
    <w:p w14:paraId="138C9B26" w14:textId="77777777" w:rsidR="007C1F32" w:rsidRPr="007C1F32" w:rsidRDefault="007C1F32" w:rsidP="007C1F32">
      <w:pPr>
        <w:rPr>
          <w:b/>
          <w:bCs/>
        </w:rPr>
      </w:pPr>
      <w:r w:rsidRPr="007C1F32">
        <w:rPr>
          <w:b/>
          <w:bCs/>
        </w:rPr>
        <w:t>b. What other health IT capabilities have proven valuable to succeeding in value-based care arrangements?</w:t>
      </w:r>
    </w:p>
    <w:p w14:paraId="773A669B" w14:textId="6C5D98D4" w:rsidR="007C1F32" w:rsidRPr="007C1F32" w:rsidRDefault="007C1F32" w:rsidP="007C1F32">
      <w:pPr>
        <w:numPr>
          <w:ilvl w:val="0"/>
          <w:numId w:val="19"/>
        </w:numPr>
      </w:pPr>
      <w:r w:rsidRPr="007C1F32">
        <w:t>Seamless Interoperability Platform: Require that risk-based entities use a unified, interoperable platform that connects all participants and systems</w:t>
      </w:r>
      <w:r w:rsidRPr="001C55D2">
        <w:t xml:space="preserve"> </w:t>
      </w:r>
      <w:r w:rsidRPr="007C1F32">
        <w:t>for real-time, bidirectional data flow. This ensures comprehensive data integration, eliminates silos, and supports care coordination at scale.</w:t>
      </w:r>
    </w:p>
    <w:p w14:paraId="167F430B" w14:textId="77777777" w:rsidR="007C1F32" w:rsidRPr="007C1F32" w:rsidRDefault="007C1F32" w:rsidP="007C1F32">
      <w:pPr>
        <w:numPr>
          <w:ilvl w:val="0"/>
          <w:numId w:val="19"/>
        </w:numPr>
      </w:pPr>
      <w:r w:rsidRPr="007C1F32">
        <w:t>Patient Event Notification and Remote Device Integration: Real-time alerts for admissions, discharges, and transfers, as well as integration with remote monitoring devices, are essential for proactive care management and timely interventions.</w:t>
      </w:r>
    </w:p>
    <w:p w14:paraId="2B3BC4DB" w14:textId="77777777" w:rsidR="007C1F32" w:rsidRPr="007C1F32" w:rsidRDefault="007C1F32" w:rsidP="007C1F32">
      <w:pPr>
        <w:numPr>
          <w:ilvl w:val="0"/>
          <w:numId w:val="19"/>
        </w:numPr>
      </w:pPr>
      <w:r w:rsidRPr="007C1F32">
        <w:t>Attribution and Patient ID Matching: Robust, automated solutions for accurate patient matching and attribution are critical for performance measurement and risk adjustment in VBC.</w:t>
      </w:r>
    </w:p>
    <w:p w14:paraId="2EFBC074" w14:textId="52C95041" w:rsidR="007C1F32" w:rsidRPr="007C1F32" w:rsidRDefault="007C1F32" w:rsidP="007C1F32">
      <w:pPr>
        <w:numPr>
          <w:ilvl w:val="0"/>
          <w:numId w:val="19"/>
        </w:numPr>
      </w:pPr>
      <w:r w:rsidRPr="007C1F32">
        <w:t>Data Extraction/Normalization and SDOH Integration: Automated tools for extracting and normalizing data from multiple sources</w:t>
      </w:r>
      <w:r w:rsidRPr="001C55D2">
        <w:t xml:space="preserve"> </w:t>
      </w:r>
      <w:r w:rsidRPr="007C1F32">
        <w:t>including claims, EHRs, and patient-generated data</w:t>
      </w:r>
      <w:r w:rsidRPr="001C55D2">
        <w:t xml:space="preserve"> </w:t>
      </w:r>
      <w:r w:rsidRPr="007C1F32">
        <w:t>are vital. Integration of social determinants of health (SDOH) data further enhances risk stratification and population health analytics.</w:t>
      </w:r>
    </w:p>
    <w:p w14:paraId="71066D1D" w14:textId="77777777" w:rsidR="007C1F32" w:rsidRPr="007C1F32" w:rsidRDefault="007C1F32" w:rsidP="007C1F32">
      <w:pPr>
        <w:numPr>
          <w:ilvl w:val="0"/>
          <w:numId w:val="19"/>
        </w:numPr>
      </w:pPr>
      <w:r w:rsidRPr="007C1F32">
        <w:t>Patient Empowerment Tools: Secure patient portals, mobile applications, and engagement platforms that allow patients to access their care plans, contribute data, and communicate with care teams.</w:t>
      </w:r>
    </w:p>
    <w:p w14:paraId="1E94E4DA" w14:textId="315E0CFC" w:rsidR="007C1F32" w:rsidRPr="007C1F32" w:rsidRDefault="007C1F32" w:rsidP="007C1F32">
      <w:pPr>
        <w:numPr>
          <w:ilvl w:val="0"/>
          <w:numId w:val="19"/>
        </w:numPr>
      </w:pPr>
      <w:r w:rsidRPr="007C1F32">
        <w:t xml:space="preserve">Full-Stack Observability and Automation: End-to-end monitoring and automated workflows to proactively identify </w:t>
      </w:r>
      <w:r w:rsidRPr="001C55D2">
        <w:t>patients</w:t>
      </w:r>
      <w:r w:rsidRPr="007C1F32">
        <w:t>, ensuring continuous quality improvement.</w:t>
      </w:r>
    </w:p>
    <w:p w14:paraId="2F55F946" w14:textId="4A104B2A" w:rsidR="007C1F32" w:rsidRDefault="0028104F" w:rsidP="007C1F32">
      <w:pPr>
        <w:rPr>
          <w:b/>
          <w:bCs/>
        </w:rPr>
      </w:pPr>
      <w:r w:rsidRPr="0028104F">
        <w:rPr>
          <w:b/>
          <w:bCs/>
        </w:rPr>
        <w:t xml:space="preserve">VB-4: </w:t>
      </w:r>
      <w:r w:rsidR="007C1F32" w:rsidRPr="007C1F32">
        <w:rPr>
          <w:b/>
          <w:bCs/>
        </w:rPr>
        <w:t>What are the essential data types needed for successful participation in value-based care arrangements?  </w:t>
      </w:r>
    </w:p>
    <w:p w14:paraId="6D423284" w14:textId="796B14A7" w:rsidR="007C1F32" w:rsidRPr="001C55D2" w:rsidRDefault="007C1F32" w:rsidP="007C1F32">
      <w:pPr>
        <w:pStyle w:val="ListParagraph"/>
        <w:numPr>
          <w:ilvl w:val="0"/>
          <w:numId w:val="20"/>
        </w:numPr>
      </w:pPr>
      <w:r w:rsidRPr="001C55D2">
        <w:t>Claims history, clinical data, medication adherence, historic lab data, SDOH indicators</w:t>
      </w:r>
    </w:p>
    <w:p w14:paraId="37BA70FB" w14:textId="1C043AD7" w:rsidR="0028104F" w:rsidRPr="0028104F" w:rsidRDefault="0028104F" w:rsidP="0028104F"/>
    <w:p w14:paraId="068D2E38" w14:textId="0901543C" w:rsidR="0028104F" w:rsidRPr="0028104F" w:rsidRDefault="0028104F" w:rsidP="0028104F">
      <w:pPr>
        <w:rPr>
          <w:b/>
          <w:bCs/>
        </w:rPr>
      </w:pPr>
      <w:r w:rsidRPr="0028104F">
        <w:rPr>
          <w:b/>
          <w:bCs/>
        </w:rPr>
        <w:t>2 Compliance &amp; Certification</w:t>
      </w:r>
    </w:p>
    <w:p w14:paraId="4F0C0F89" w14:textId="77777777" w:rsidR="007C1F32" w:rsidRPr="005308BC" w:rsidRDefault="0028104F" w:rsidP="007C1F32">
      <w:pPr>
        <w:rPr>
          <w:b/>
          <w:bCs/>
        </w:rPr>
      </w:pPr>
      <w:r w:rsidRPr="005308BC">
        <w:rPr>
          <w:b/>
          <w:bCs/>
        </w:rPr>
        <w:t xml:space="preserve">VB-5/6: </w:t>
      </w:r>
      <w:r w:rsidR="007C1F32" w:rsidRPr="005308BC">
        <w:rPr>
          <w:b/>
          <w:bCs/>
        </w:rPr>
        <w:t>In your experience, how do current certification criteria and standards incorporated into the ONC Health IT Certification Program support value-based care delivery? </w:t>
      </w:r>
    </w:p>
    <w:p w14:paraId="4F71C294" w14:textId="1EC4BC74" w:rsidR="005B1294" w:rsidRDefault="00770F18" w:rsidP="007C1F32">
      <w:r w:rsidRPr="005308BC">
        <w:t>The certification criteria and standards inc</w:t>
      </w:r>
      <w:r>
        <w:t xml:space="preserve">orporated into ONC Health IT Certification is an effective enabler of </w:t>
      </w:r>
      <w:r w:rsidR="00DC777D">
        <w:t xml:space="preserve">value-based care </w:t>
      </w:r>
      <w:r w:rsidR="005354F1">
        <w:t xml:space="preserve">to ensure </w:t>
      </w:r>
      <w:r w:rsidR="00ED6366">
        <w:t>standardized data exchange</w:t>
      </w:r>
      <w:r w:rsidR="00F4766D">
        <w:t xml:space="preserve"> via FHIR,</w:t>
      </w:r>
      <w:r w:rsidR="00CC1851">
        <w:t xml:space="preserve"> </w:t>
      </w:r>
      <w:r w:rsidR="009D1A29">
        <w:t xml:space="preserve">clinical decision support </w:t>
      </w:r>
      <w:r w:rsidR="006920B1">
        <w:t xml:space="preserve">for evidence-based medicine while supporting quality adherence, </w:t>
      </w:r>
      <w:r w:rsidR="00433D0C">
        <w:t xml:space="preserve">encouraging vendors and systems to </w:t>
      </w:r>
      <w:r w:rsidR="005A2256">
        <w:t xml:space="preserve">offer more APIs for Patient Access, </w:t>
      </w:r>
      <w:r w:rsidR="002654AC">
        <w:t>supporting closed-loop referrals</w:t>
      </w:r>
      <w:r w:rsidR="005E230A">
        <w:t xml:space="preserve"> and SDOH integration, </w:t>
      </w:r>
      <w:r w:rsidR="00ED039E">
        <w:t xml:space="preserve">driving more security &amp; privacy standards. </w:t>
      </w:r>
    </w:p>
    <w:p w14:paraId="233CCF27" w14:textId="11A26A6A" w:rsidR="00ED039E" w:rsidRPr="007C1F32" w:rsidRDefault="00ED039E" w:rsidP="007C1F32">
      <w:pPr>
        <w:rPr>
          <w:b/>
          <w:bCs/>
        </w:rPr>
      </w:pPr>
      <w:r>
        <w:t xml:space="preserve">While </w:t>
      </w:r>
      <w:r w:rsidR="00556A65">
        <w:t xml:space="preserve">there’s been an intentional effort in all of the above, more focus needs to be </w:t>
      </w:r>
      <w:r w:rsidR="00981D89">
        <w:t>governed and reporting tightened around adoption of SDOH</w:t>
      </w:r>
      <w:r w:rsidR="00A35187">
        <w:t xml:space="preserve"> and lifestyle data</w:t>
      </w:r>
      <w:r w:rsidR="00452277">
        <w:t>, which is known to heavily influence community health outcomes. Also</w:t>
      </w:r>
      <w:r w:rsidR="00C4656C">
        <w:t xml:space="preserve">, there should be </w:t>
      </w:r>
      <w:r w:rsidR="008F58E1">
        <w:t xml:space="preserve">other categories of </w:t>
      </w:r>
      <w:r w:rsidR="000D7F41">
        <w:t xml:space="preserve">metrics for certification that extend the </w:t>
      </w:r>
      <w:r w:rsidR="00411E73">
        <w:t xml:space="preserve">measurement of outcomes to </w:t>
      </w:r>
      <w:r w:rsidR="00360A88">
        <w:t>o</w:t>
      </w:r>
      <w:r w:rsidR="00933B6F">
        <w:t xml:space="preserve">verall </w:t>
      </w:r>
      <w:r w:rsidR="00411E73">
        <w:t>financial and system utilization</w:t>
      </w:r>
      <w:r w:rsidR="00360A88">
        <w:t xml:space="preserve">. </w:t>
      </w:r>
    </w:p>
    <w:p w14:paraId="2A467E95" w14:textId="77777777" w:rsidR="008A59A1" w:rsidRPr="008A59A1" w:rsidRDefault="008A59A1" w:rsidP="008A59A1">
      <w:pPr>
        <w:rPr>
          <w:b/>
          <w:bCs/>
        </w:rPr>
      </w:pPr>
      <w:r w:rsidRPr="008A59A1">
        <w:rPr>
          <w:b/>
          <w:bCs/>
        </w:rPr>
        <w:t>VB–6. What specific health information technology capabilities that could benefit APMs are not currently addressed by existing certification criteria and standards that should be  included under the ONC Health IT Certification Program?  </w:t>
      </w:r>
    </w:p>
    <w:p w14:paraId="6BFBC241" w14:textId="77777777" w:rsidR="0028104F" w:rsidRPr="0028104F" w:rsidRDefault="0028104F" w:rsidP="0028104F">
      <w:pPr>
        <w:numPr>
          <w:ilvl w:val="0"/>
          <w:numId w:val="5"/>
        </w:numPr>
      </w:pPr>
      <w:r w:rsidRPr="0028104F">
        <w:t>AI Validation Protocols: Model transparency requirements for predictive tools</w:t>
      </w:r>
    </w:p>
    <w:p w14:paraId="345837E4" w14:textId="77777777" w:rsidR="0028104F" w:rsidRPr="0028104F" w:rsidRDefault="0028104F" w:rsidP="0028104F">
      <w:pPr>
        <w:numPr>
          <w:ilvl w:val="0"/>
          <w:numId w:val="5"/>
        </w:numPr>
      </w:pPr>
      <w:r w:rsidRPr="0028104F">
        <w:t>Network Optimization Standards: Certification criteria for provider benchmarking systems</w:t>
      </w:r>
    </w:p>
    <w:p w14:paraId="388316DD" w14:textId="38FF403B" w:rsidR="0028104F" w:rsidRPr="0028104F" w:rsidRDefault="0028104F" w:rsidP="0028104F"/>
    <w:p w14:paraId="79432EFC" w14:textId="77777777" w:rsidR="008A59A1" w:rsidRDefault="0028104F" w:rsidP="008A59A1">
      <w:pPr>
        <w:rPr>
          <w:b/>
          <w:bCs/>
        </w:rPr>
      </w:pPr>
      <w:r w:rsidRPr="0028104F">
        <w:rPr>
          <w:b/>
          <w:bCs/>
        </w:rPr>
        <w:t xml:space="preserve">VB-7/10: </w:t>
      </w:r>
      <w:r w:rsidR="008A59A1" w:rsidRPr="008A59A1">
        <w:rPr>
          <w:b/>
          <w:bCs/>
        </w:rPr>
        <w:t>How can technology requirements for APMs, established through CEHRT or other pathways, reduce complexity while preserving necessary flexibility?  </w:t>
      </w:r>
    </w:p>
    <w:p w14:paraId="41AD31FD" w14:textId="1269476B" w:rsidR="008A59A1" w:rsidRPr="00397E5E" w:rsidRDefault="008A59A1" w:rsidP="008A59A1">
      <w:pPr>
        <w:pStyle w:val="ListParagraph"/>
        <w:numPr>
          <w:ilvl w:val="0"/>
          <w:numId w:val="20"/>
        </w:numPr>
      </w:pPr>
      <w:r w:rsidRPr="00397E5E">
        <w:t>Platform-Level Certification, Not Point Solutions</w:t>
      </w:r>
      <w:r w:rsidRPr="00397E5E">
        <w:br/>
        <w:t>Require that APM entities demonstrate CEHRT compliance at the platform level, rather than forcing each individual module or point solution to be separately certified. This allows organizations to integrate best-in-class digital tools within a unified, certified ecosystem, reducing vendor lock-in and administrative overhead while still meeting regulatory requirements.</w:t>
      </w:r>
    </w:p>
    <w:p w14:paraId="72E18A0B" w14:textId="712B7FDF" w:rsidR="008A59A1" w:rsidRPr="00397E5E" w:rsidRDefault="008A59A1" w:rsidP="008A59A1">
      <w:pPr>
        <w:pStyle w:val="ListParagraph"/>
        <w:numPr>
          <w:ilvl w:val="0"/>
          <w:numId w:val="20"/>
        </w:numPr>
      </w:pPr>
      <w:r w:rsidRPr="00397E5E">
        <w:t>Streamlined Reporting and Attestation: Align quality and interoperability reporting requirements across APMs and MIPS, leveraging the Promoting Interoperability pathway to minimize duplicative data entry and submission processes. This is especially important as all ACO participants must now submit PI data, which can be burdensome for smaller or less tech-savvy practices.</w:t>
      </w:r>
    </w:p>
    <w:p w14:paraId="4FFCC7DD" w14:textId="6D4F80C2" w:rsidR="008A59A1" w:rsidRPr="00397E5E" w:rsidRDefault="008A59A1" w:rsidP="008A59A1">
      <w:pPr>
        <w:pStyle w:val="ListParagraph"/>
        <w:numPr>
          <w:ilvl w:val="0"/>
          <w:numId w:val="20"/>
        </w:numPr>
      </w:pPr>
      <w:r w:rsidRPr="00397E5E">
        <w:t>Centralized Support and Shared Services: Support the creation of shared services or centralized technical assistance (potentially at the ACO or platform level) to help smaller practices onboard to CEHRT-compliant systems, manage data aggregation, and meet reporting requirements. This approach reduces the burden on individual practices and ensures consistency across the network.</w:t>
      </w:r>
    </w:p>
    <w:p w14:paraId="755DB5D8" w14:textId="77777777" w:rsidR="008A59A1" w:rsidRDefault="008A59A1" w:rsidP="008A59A1">
      <w:pPr>
        <w:rPr>
          <w:b/>
          <w:bCs/>
        </w:rPr>
      </w:pPr>
      <w:r w:rsidRPr="008A59A1">
        <w:rPr>
          <w:b/>
          <w:bCs/>
        </w:rPr>
        <w:t>VB–8. How can other HHS policies supplement CEHRT requirements to better optimize the use of digital health products in APMs? As an example, requirements under the Conditions of  Participation for hospitals (42 CFR 482.24(d)) require hospitals to transmit electronic patient event notifications to community providers. What barriers are in place preventing APM participants from receiving the same notifications?  </w:t>
      </w:r>
    </w:p>
    <w:p w14:paraId="1F983AF0" w14:textId="71B39404" w:rsidR="008A59A1" w:rsidRPr="008A59A1" w:rsidRDefault="008A59A1" w:rsidP="008A59A1">
      <w:r w:rsidRPr="008A59A1">
        <w:t>Other HHS policies can supplement CEHRT by requiring</w:t>
      </w:r>
      <w:r w:rsidRPr="00397E5E">
        <w:t xml:space="preserve"> or incentivizing</w:t>
      </w:r>
      <w:r w:rsidRPr="008A59A1">
        <w:t xml:space="preserve"> all APM entities to participate in a bi-directional health information exchange (HIE) as a condition of participation</w:t>
      </w:r>
      <w:r w:rsidRPr="00397E5E">
        <w:t xml:space="preserve"> which could be through a population health vendor</w:t>
      </w:r>
      <w:r w:rsidRPr="008A59A1">
        <w:t>. This would mean APM organizations must submit relevant clinical and event data (such as ADT notifications) to a regional or statewide HIE, and practices within those APMs would be required to work with their population health vendors to ensure they are actively receiving, processing, and acting on these notifications. This approach aligns with the MIPS Promoting Interoperability requirements, which already incentivize bi-directional HIE engagement for eligible clinicians.</w:t>
      </w:r>
    </w:p>
    <w:p w14:paraId="2E19D265" w14:textId="77777777" w:rsidR="008A59A1" w:rsidRPr="008A59A1" w:rsidRDefault="008A59A1" w:rsidP="008A59A1">
      <w:r w:rsidRPr="008A59A1">
        <w:t>Barriers:</w:t>
      </w:r>
    </w:p>
    <w:p w14:paraId="2FA931ED" w14:textId="77777777" w:rsidR="008A59A1" w:rsidRPr="008A59A1" w:rsidRDefault="008A59A1" w:rsidP="008A59A1">
      <w:pPr>
        <w:numPr>
          <w:ilvl w:val="0"/>
          <w:numId w:val="21"/>
        </w:numPr>
      </w:pPr>
      <w:r w:rsidRPr="008A59A1">
        <w:t>Inconsistent HIE Participation: Not all APM participants are currently required to submit data to an HIE, leading to fragmented data sharing and gaps in real-time notifications.</w:t>
      </w:r>
    </w:p>
    <w:p w14:paraId="08ED24A5" w14:textId="77777777" w:rsidR="008A59A1" w:rsidRPr="008A59A1" w:rsidRDefault="008A59A1" w:rsidP="008A59A1">
      <w:pPr>
        <w:numPr>
          <w:ilvl w:val="0"/>
          <w:numId w:val="21"/>
        </w:numPr>
      </w:pPr>
      <w:r w:rsidRPr="008A59A1">
        <w:t>Technical Integration Gaps: Many practices and vendors lack seamless integration with HIEs, resulting in delays or incomplete event notification delivery.</w:t>
      </w:r>
    </w:p>
    <w:p w14:paraId="0CA395BA" w14:textId="77777777" w:rsidR="008A59A1" w:rsidRPr="008A59A1" w:rsidRDefault="008A59A1" w:rsidP="008A59A1">
      <w:pPr>
        <w:numPr>
          <w:ilvl w:val="0"/>
          <w:numId w:val="21"/>
        </w:numPr>
      </w:pPr>
      <w:r w:rsidRPr="008A59A1">
        <w:t>Resource Constraints: Smaller or rural practices may lack the technical or financial resources to connect to HIEs and maintain real-time data feeds.</w:t>
      </w:r>
    </w:p>
    <w:p w14:paraId="7AB3B47E" w14:textId="77777777" w:rsidR="008A59A1" w:rsidRPr="008A59A1" w:rsidRDefault="008A59A1" w:rsidP="008A59A1">
      <w:pPr>
        <w:numPr>
          <w:ilvl w:val="0"/>
          <w:numId w:val="21"/>
        </w:numPr>
      </w:pPr>
      <w:r w:rsidRPr="008A59A1">
        <w:t>Lack of Enforcement: Without a clear federal mandate, participation and active engagement in HIEs remain inconsistent across APMs and regions.</w:t>
      </w:r>
    </w:p>
    <w:p w14:paraId="01B18D6F" w14:textId="77777777" w:rsidR="008A59A1" w:rsidRDefault="008A59A1" w:rsidP="008A59A1">
      <w:pPr>
        <w:rPr>
          <w:b/>
          <w:bCs/>
        </w:rPr>
      </w:pPr>
    </w:p>
    <w:p w14:paraId="14B5A307" w14:textId="77777777" w:rsidR="008A59A1" w:rsidRDefault="008A59A1" w:rsidP="008A59A1">
      <w:pPr>
        <w:rPr>
          <w:b/>
          <w:bCs/>
        </w:rPr>
      </w:pPr>
      <w:r w:rsidRPr="008A59A1">
        <w:rPr>
          <w:b/>
          <w:bCs/>
        </w:rPr>
        <w:t>VB–9. What technology requirements should be different for APM organizations when compared to non APM organizations (for example, quality reporting, and interoperability)?  </w:t>
      </w:r>
    </w:p>
    <w:p w14:paraId="2033B832" w14:textId="77777777" w:rsidR="008A59A1" w:rsidRPr="008A59A1" w:rsidRDefault="008A59A1" w:rsidP="008A59A1">
      <w:r w:rsidRPr="008A59A1">
        <w:t>Tailored Quality and Interoperability Requirements:</w:t>
      </w:r>
    </w:p>
    <w:p w14:paraId="7B2E292E" w14:textId="77777777" w:rsidR="008A59A1" w:rsidRPr="008A59A1" w:rsidRDefault="008A59A1" w:rsidP="008A59A1">
      <w:pPr>
        <w:numPr>
          <w:ilvl w:val="0"/>
          <w:numId w:val="22"/>
        </w:numPr>
      </w:pPr>
      <w:r w:rsidRPr="008A59A1">
        <w:t>Advanced Data Integration: APMs should be required to use platforms that support advanced, real-time data integration across multiple care settings, whereas non-APMs may only need basic EHR interoperability.</w:t>
      </w:r>
    </w:p>
    <w:p w14:paraId="34EED3CE" w14:textId="77777777" w:rsidR="008A59A1" w:rsidRPr="008A59A1" w:rsidRDefault="008A59A1" w:rsidP="008A59A1">
      <w:pPr>
        <w:numPr>
          <w:ilvl w:val="0"/>
          <w:numId w:val="22"/>
        </w:numPr>
      </w:pPr>
      <w:r w:rsidRPr="008A59A1">
        <w:t>Population Health Analytics: Mandate robust analytics and risk stratification tools for APMs, reflecting their focus on managing outcomes and total cost of care.</w:t>
      </w:r>
    </w:p>
    <w:p w14:paraId="494056AF" w14:textId="77777777" w:rsidR="008A59A1" w:rsidRPr="008A59A1" w:rsidRDefault="008A59A1" w:rsidP="008A59A1">
      <w:pPr>
        <w:numPr>
          <w:ilvl w:val="0"/>
          <w:numId w:val="22"/>
        </w:numPr>
      </w:pPr>
      <w:r w:rsidRPr="008A59A1">
        <w:t>Attribution and Patient Matching: Require automated solutions for patient attribution and ID matching, which are less critical for non-APMs.</w:t>
      </w:r>
    </w:p>
    <w:p w14:paraId="444A510A" w14:textId="77777777" w:rsidR="008A59A1" w:rsidRPr="008A59A1" w:rsidRDefault="008A59A1" w:rsidP="008A59A1">
      <w:pPr>
        <w:numPr>
          <w:ilvl w:val="0"/>
          <w:numId w:val="22"/>
        </w:numPr>
      </w:pPr>
      <w:r w:rsidRPr="008A59A1">
        <w:t>Continuous Performance Feedback: APMs should have real-time dashboards and closed-loop feedback mechanisms for quality and cost performance, supporting proactive care management.</w:t>
      </w:r>
    </w:p>
    <w:p w14:paraId="7213C1D3" w14:textId="77777777" w:rsidR="008A59A1" w:rsidRPr="008A59A1" w:rsidRDefault="008A59A1" w:rsidP="008A59A1">
      <w:pPr>
        <w:numPr>
          <w:ilvl w:val="0"/>
          <w:numId w:val="22"/>
        </w:numPr>
      </w:pPr>
      <w:r w:rsidRPr="008A59A1">
        <w:t>Flexible Reporting Pathways: Allow APMs to submit aggregated, entity-level quality and interoperability reports, rather than individual provider-level reporting, to reduce administrative burden and reflect team-based care models.</w:t>
      </w:r>
    </w:p>
    <w:p w14:paraId="173BF094" w14:textId="77777777" w:rsidR="008A59A1" w:rsidRDefault="008A59A1" w:rsidP="008A59A1">
      <w:pPr>
        <w:rPr>
          <w:b/>
          <w:bCs/>
        </w:rPr>
      </w:pPr>
      <w:r w:rsidRPr="008A59A1">
        <w:rPr>
          <w:b/>
          <w:bCs/>
        </w:rPr>
        <w:t>VB–10. In the Calendar Year (CY) 2024 Physician Fee Schedule final rule (88 FR 79413), CMS established that CEHRT requirements for Advanced APMs beyond those in the ‘‘Base EHR’’ definition should be flexible based on what is applicable to the APM that year based on the area of clinical practice. What certification criteria should CMS identify under this flexibility for specific Advanced APMs, or for Advanced APMs in general? Are there specific flexibilities or alternatives to consider for smaller or resource constrained (such as rural) providers in meeting CEHRT requirements without compromising quality of care or availability of performance data? </w:t>
      </w:r>
    </w:p>
    <w:p w14:paraId="1E1B69BF" w14:textId="77777777" w:rsidR="008A59A1" w:rsidRPr="008A59A1" w:rsidRDefault="008A59A1" w:rsidP="008A59A1">
      <w:r w:rsidRPr="008A59A1">
        <w:t>Certification Criteria Under Flexibility:</w:t>
      </w:r>
    </w:p>
    <w:p w14:paraId="1CB474B8" w14:textId="79530DBC" w:rsidR="008A59A1" w:rsidRPr="008A59A1" w:rsidRDefault="008A59A1" w:rsidP="00A23936">
      <w:pPr>
        <w:numPr>
          <w:ilvl w:val="0"/>
          <w:numId w:val="23"/>
        </w:numPr>
      </w:pPr>
      <w:r w:rsidRPr="008A59A1">
        <w:t>Modular Certification: Allow APMs to certify only those modules relevant to their clinical focus rather than the entire EHR suite.</w:t>
      </w:r>
    </w:p>
    <w:p w14:paraId="51EE7063" w14:textId="6C087B65" w:rsidR="008A59A1" w:rsidRPr="008A59A1" w:rsidRDefault="008A59A1" w:rsidP="00A23936">
      <w:pPr>
        <w:numPr>
          <w:ilvl w:val="0"/>
          <w:numId w:val="23"/>
        </w:numPr>
      </w:pPr>
      <w:r w:rsidRPr="008A59A1">
        <w:t>Platform-Level Attestation: Permit APMs to attest to CEHRT compliance at the organizational or platform level, not just at the individual provider or module level.</w:t>
      </w:r>
    </w:p>
    <w:p w14:paraId="435A72FC" w14:textId="0242DDEF" w:rsidR="008A59A1" w:rsidRPr="008A59A1" w:rsidRDefault="008A59A1" w:rsidP="00A23936">
      <w:pPr>
        <w:numPr>
          <w:ilvl w:val="0"/>
          <w:numId w:val="23"/>
        </w:numPr>
      </w:pPr>
      <w:r w:rsidRPr="008A59A1">
        <w:t>Data Exchange and Analytics: Prioritize certification of interoperability features and advanced analytics modules over less-used EHR functionalities.</w:t>
      </w:r>
    </w:p>
    <w:p w14:paraId="7FFA1266" w14:textId="77777777" w:rsidR="008A59A1" w:rsidRPr="008A59A1" w:rsidRDefault="008A59A1" w:rsidP="008A59A1">
      <w:pPr>
        <w:numPr>
          <w:ilvl w:val="0"/>
          <w:numId w:val="23"/>
        </w:numPr>
      </w:pPr>
      <w:r w:rsidRPr="008A59A1">
        <w:t>Flexibilities for Small/Rural Providers:</w:t>
      </w:r>
    </w:p>
    <w:p w14:paraId="37A0BFA0" w14:textId="77777777" w:rsidR="008A59A1" w:rsidRPr="008A59A1" w:rsidRDefault="008A59A1" w:rsidP="008A59A1">
      <w:pPr>
        <w:numPr>
          <w:ilvl w:val="1"/>
          <w:numId w:val="23"/>
        </w:numPr>
      </w:pPr>
      <w:r w:rsidRPr="008A59A1">
        <w:t>Hardship Exemptions: Maintain clear hardship and specialty-based exceptions for providers with legitimate barriers to CEHRT adoption.</w:t>
      </w:r>
    </w:p>
    <w:p w14:paraId="2CE43E9C" w14:textId="77777777" w:rsidR="008A59A1" w:rsidRPr="008A59A1" w:rsidRDefault="008A59A1" w:rsidP="008A59A1">
      <w:pPr>
        <w:numPr>
          <w:ilvl w:val="1"/>
          <w:numId w:val="23"/>
        </w:numPr>
      </w:pPr>
      <w:r w:rsidRPr="008A59A1">
        <w:t>Shared Services: Encourage shared platforms or centralized technical assistance at the ACO or network level, so smaller practices can leverage certified infrastructure without the burden of individual certification.</w:t>
      </w:r>
    </w:p>
    <w:p w14:paraId="4B42A636" w14:textId="77777777" w:rsidR="008A59A1" w:rsidRPr="008A59A1" w:rsidRDefault="008A59A1" w:rsidP="008A59A1">
      <w:pPr>
        <w:numPr>
          <w:ilvl w:val="1"/>
          <w:numId w:val="23"/>
        </w:numPr>
      </w:pPr>
      <w:r w:rsidRPr="008A59A1">
        <w:t>Simplified Reporting: Streamline reporting requirements and allow group-level submissions to reduce administrative complexity for small or resource-constrained providers.</w:t>
      </w:r>
    </w:p>
    <w:p w14:paraId="7B0DA100" w14:textId="77777777" w:rsidR="00A23936" w:rsidRPr="00A23936" w:rsidRDefault="00A23936" w:rsidP="00A23936">
      <w:r w:rsidRPr="00A23936">
        <w:rPr>
          <w:b/>
          <w:bCs/>
        </w:rPr>
        <w:t>VB–11. What specific interoperability challenges have you encountered in implementing value-based care programs?</w:t>
      </w:r>
    </w:p>
    <w:p w14:paraId="54E67E8D" w14:textId="59B95BB4" w:rsidR="00A23936" w:rsidRPr="00A23936" w:rsidRDefault="00A23936" w:rsidP="00A23936">
      <w:pPr>
        <w:numPr>
          <w:ilvl w:val="0"/>
          <w:numId w:val="24"/>
        </w:numPr>
      </w:pPr>
      <w:r w:rsidRPr="00A23936">
        <w:t>Fragmented data across EHRs, payers, and care management platforms creates silos, making it difficult to achieve a longitudinal patient record and coordinate care effectively.</w:t>
      </w:r>
    </w:p>
    <w:p w14:paraId="57FE909A" w14:textId="2B7B0065" w:rsidR="00A23936" w:rsidRPr="00A23936" w:rsidRDefault="00A23936" w:rsidP="00A23936">
      <w:pPr>
        <w:numPr>
          <w:ilvl w:val="0"/>
          <w:numId w:val="24"/>
        </w:numPr>
      </w:pPr>
      <w:r w:rsidRPr="00A23936">
        <w:t>Lack of standardized data quality and normalization processes results in mismatched or incomplete patient information, complicating attribution, risk adjustment, and quality measurement.</w:t>
      </w:r>
    </w:p>
    <w:p w14:paraId="5BFE5B28" w14:textId="28CAEEF8" w:rsidR="00A23936" w:rsidRPr="00A23936" w:rsidRDefault="00A23936" w:rsidP="00A23936">
      <w:pPr>
        <w:numPr>
          <w:ilvl w:val="0"/>
          <w:numId w:val="24"/>
        </w:numPr>
      </w:pPr>
      <w:r w:rsidRPr="00A23936">
        <w:t>Smaller or rural providers often lack the technical infrastructure or resources to connect to HIEs or maintain interoperability with multiple partners.</w:t>
      </w:r>
    </w:p>
    <w:p w14:paraId="47FBE6FF" w14:textId="2174EBFA" w:rsidR="00A23936" w:rsidRPr="00A23936" w:rsidRDefault="00A23936" w:rsidP="00A23936">
      <w:pPr>
        <w:numPr>
          <w:ilvl w:val="0"/>
          <w:numId w:val="24"/>
        </w:numPr>
      </w:pPr>
      <w:r w:rsidRPr="00A23936">
        <w:t>Regulatory and contractual differences between payers and providers further complicate seamless data exchange, especially in multi-payer or multi-state environments.</w:t>
      </w:r>
    </w:p>
    <w:p w14:paraId="25D999D5" w14:textId="6530F005" w:rsidR="00A23936" w:rsidRPr="00A23936" w:rsidRDefault="00A23936" w:rsidP="00A23936"/>
    <w:p w14:paraId="27EF4803" w14:textId="77777777" w:rsidR="00A23936" w:rsidRPr="00A23936" w:rsidRDefault="00A23936" w:rsidP="00A23936">
      <w:r w:rsidRPr="00A23936">
        <w:rPr>
          <w:b/>
          <w:bCs/>
        </w:rPr>
        <w:t>VB–12. What technology standardization would preserve program-specific flexibility while promoting innovation in APM technology implementation?</w:t>
      </w:r>
    </w:p>
    <w:p w14:paraId="214F376A" w14:textId="53545D72" w:rsidR="00A23936" w:rsidRPr="00A23936" w:rsidRDefault="00A23936" w:rsidP="00A23936">
      <w:pPr>
        <w:numPr>
          <w:ilvl w:val="0"/>
          <w:numId w:val="25"/>
        </w:numPr>
      </w:pPr>
      <w:r w:rsidRPr="00A23936">
        <w:t>Require a core set of standardized data elements and exchange protocols, but allow APMs to extend or customize modules to address unique clinical or operational needs.</w:t>
      </w:r>
    </w:p>
    <w:p w14:paraId="605D0FC0" w14:textId="662B60FD" w:rsidR="00A23936" w:rsidRPr="00A23936" w:rsidRDefault="00A23936" w:rsidP="00A23936">
      <w:pPr>
        <w:numPr>
          <w:ilvl w:val="0"/>
          <w:numId w:val="25"/>
        </w:numPr>
      </w:pPr>
      <w:r w:rsidRPr="00A23936">
        <w:t>Encourage the development and use of standardized, but extensible, quality measures and reporting frameworks that can be tailored to specific populations or specialties.</w:t>
      </w:r>
    </w:p>
    <w:p w14:paraId="6D321895" w14:textId="66019152" w:rsidR="00A23936" w:rsidRPr="00A23936" w:rsidRDefault="00A23936" w:rsidP="00A23936"/>
    <w:p w14:paraId="35E5F22F" w14:textId="77777777" w:rsidR="00A23936" w:rsidRPr="00A23936" w:rsidRDefault="00A23936" w:rsidP="00A23936">
      <w:r w:rsidRPr="00A23936">
        <w:rPr>
          <w:b/>
          <w:bCs/>
        </w:rPr>
        <w:t>VB–13. What improvements to existing criteria and standards would better support value-based care capabilities while reducing provider burden?</w:t>
      </w:r>
    </w:p>
    <w:p w14:paraId="5188B7D6" w14:textId="7EEEEBF0" w:rsidR="00A23936" w:rsidRPr="00A23936" w:rsidRDefault="00A23936" w:rsidP="00A23936">
      <w:pPr>
        <w:numPr>
          <w:ilvl w:val="0"/>
          <w:numId w:val="26"/>
        </w:numPr>
      </w:pPr>
      <w:r w:rsidRPr="00A23936">
        <w:t>Streamline and harmonize reporting requirements across programs (e.g., APMs, MIPS, Medicaid) to minimize duplicative data entry and administrative overhead.</w:t>
      </w:r>
    </w:p>
    <w:p w14:paraId="05016084" w14:textId="2EDE50D9" w:rsidR="00A23936" w:rsidRPr="00A23936" w:rsidRDefault="00A23936" w:rsidP="00A23936">
      <w:pPr>
        <w:numPr>
          <w:ilvl w:val="0"/>
          <w:numId w:val="26"/>
        </w:numPr>
      </w:pPr>
      <w:r w:rsidRPr="00A23936">
        <w:t>Enhance certification criteria to require automated data normalization, patient matching, and real-time event notification as baseline capabilities, reducing manual reconciliation and follow-up.</w:t>
      </w:r>
    </w:p>
    <w:p w14:paraId="20E05E47" w14:textId="3A017D29" w:rsidR="00A23936" w:rsidRPr="00A23936" w:rsidRDefault="00A23936" w:rsidP="00A23936">
      <w:pPr>
        <w:numPr>
          <w:ilvl w:val="0"/>
          <w:numId w:val="26"/>
        </w:numPr>
      </w:pPr>
      <w:r w:rsidRPr="00A23936">
        <w:t>Expand support for bi-directional health information exchange, including both clinical and claims data, to ensure comprehensive data is available for analytics and care coordination.</w:t>
      </w:r>
    </w:p>
    <w:p w14:paraId="5A8D97B8" w14:textId="1E71C987" w:rsidR="00A23936" w:rsidRPr="00A23936" w:rsidRDefault="00A23936" w:rsidP="00A23936">
      <w:pPr>
        <w:numPr>
          <w:ilvl w:val="0"/>
          <w:numId w:val="26"/>
        </w:numPr>
      </w:pPr>
      <w:r w:rsidRPr="00A23936">
        <w:t>Provide clear guidance and technical assistance for smaller and resource-constrained providers to meet interoperability standards without excessive cost or complexity.</w:t>
      </w:r>
    </w:p>
    <w:p w14:paraId="05024417" w14:textId="6B4DB04F" w:rsidR="00A23936" w:rsidRPr="00A23936" w:rsidRDefault="00A23936" w:rsidP="00A23936"/>
    <w:p w14:paraId="42FADC74" w14:textId="77777777" w:rsidR="00A23936" w:rsidRPr="00A23936" w:rsidRDefault="00A23936" w:rsidP="00A23936">
      <w:r w:rsidRPr="00A23936">
        <w:rPr>
          <w:b/>
          <w:bCs/>
        </w:rPr>
        <w:t>VB–14. How could implementing digital identity credentials improve value-based care delivery and outcomes?</w:t>
      </w:r>
    </w:p>
    <w:p w14:paraId="2CE82D87" w14:textId="21D055A6" w:rsidR="00A23936" w:rsidRPr="00A23936" w:rsidRDefault="00A23936" w:rsidP="00A23936">
      <w:pPr>
        <w:numPr>
          <w:ilvl w:val="0"/>
          <w:numId w:val="27"/>
        </w:numPr>
      </w:pPr>
      <w:r w:rsidRPr="00A23936">
        <w:t>Digital identity credentials enable secure, accurate patient and provider identification across disparate systems, reducing errors and mismatches in patient records.</w:t>
      </w:r>
    </w:p>
    <w:p w14:paraId="62275049" w14:textId="5072795A" w:rsidR="00A23936" w:rsidRPr="00A23936" w:rsidRDefault="00A23936" w:rsidP="00A23936">
      <w:pPr>
        <w:numPr>
          <w:ilvl w:val="0"/>
          <w:numId w:val="27"/>
        </w:numPr>
      </w:pPr>
      <w:r w:rsidRPr="00A23936">
        <w:t>They streamline access management and consent, allowing authorized care teams to share and access sensitive health information more efficiently, which is essential for coordinated, team-based care.</w:t>
      </w:r>
    </w:p>
    <w:p w14:paraId="193FDBDC" w14:textId="52A64670" w:rsidR="00A23936" w:rsidRPr="00A23936" w:rsidRDefault="00A23936" w:rsidP="00A23936">
      <w:pPr>
        <w:numPr>
          <w:ilvl w:val="0"/>
          <w:numId w:val="27"/>
        </w:numPr>
      </w:pPr>
      <w:r w:rsidRPr="00A23936">
        <w:t>Digital identity solutions also support patient engagement by enabling individuals to access and contribute to their own health data, improving data completeness and care outcomes.</w:t>
      </w:r>
    </w:p>
    <w:p w14:paraId="41E24A82" w14:textId="4FE9213C" w:rsidR="00A23936" w:rsidRPr="00A23936" w:rsidRDefault="00A23936" w:rsidP="00A23936">
      <w:pPr>
        <w:numPr>
          <w:ilvl w:val="0"/>
          <w:numId w:val="27"/>
        </w:numPr>
      </w:pPr>
      <w:r w:rsidRPr="00A23936">
        <w:t>Enhanced trust and security foster greater data sharing between organizations, accelerating the adoption of advanced analytics and population health tools.</w:t>
      </w:r>
    </w:p>
    <w:p w14:paraId="215130EC" w14:textId="4A243D3A" w:rsidR="00A23936" w:rsidRPr="00A23936" w:rsidRDefault="00A23936" w:rsidP="00A23936"/>
    <w:p w14:paraId="42CEA374" w14:textId="77777777" w:rsidR="00A23936" w:rsidRPr="00A23936" w:rsidRDefault="00A23936" w:rsidP="00A23936">
      <w:r w:rsidRPr="00A23936">
        <w:rPr>
          <w:b/>
          <w:bCs/>
        </w:rPr>
        <w:t>VB–15. How could a nationwide provider directory of FHIR endpoints help improve access to patient data and understanding of claims data sources? What key data elements would be necessary in a nationwide FHIR endpoints directory to maximize its effectiveness?</w:t>
      </w:r>
    </w:p>
    <w:p w14:paraId="0C616B31" w14:textId="3DACDFE0" w:rsidR="00A23936" w:rsidRPr="00A23936" w:rsidRDefault="00A23936" w:rsidP="00A23936">
      <w:pPr>
        <w:numPr>
          <w:ilvl w:val="0"/>
          <w:numId w:val="28"/>
        </w:numPr>
      </w:pPr>
      <w:r w:rsidRPr="00A23936">
        <w:t>A nationwide FHIR endpoint directory would allow providers, payers, and technology vendors to discover and connect with each other’s systems in real time, enabling seamless data exchange and reducing onboarding friction.</w:t>
      </w:r>
    </w:p>
    <w:p w14:paraId="1059E64F" w14:textId="4D62E374" w:rsidR="00A23936" w:rsidRPr="00A23936" w:rsidRDefault="00A23936" w:rsidP="00A23936">
      <w:pPr>
        <w:numPr>
          <w:ilvl w:val="0"/>
          <w:numId w:val="28"/>
        </w:numPr>
      </w:pPr>
      <w:r w:rsidRPr="00A23936">
        <w:t>This would improve access to both clinical and claims data, supporting comprehensive analytics, care coordination, and timely interventions.</w:t>
      </w:r>
    </w:p>
    <w:p w14:paraId="63E51E51" w14:textId="77777777" w:rsidR="00A23936" w:rsidRPr="00A23936" w:rsidRDefault="00A23936" w:rsidP="00A23936">
      <w:pPr>
        <w:numPr>
          <w:ilvl w:val="0"/>
          <w:numId w:val="28"/>
        </w:numPr>
      </w:pPr>
      <w:r w:rsidRPr="00A23936">
        <w:t>Key data elements should include:</w:t>
      </w:r>
    </w:p>
    <w:p w14:paraId="67C8FD6A" w14:textId="77777777" w:rsidR="00A23936" w:rsidRPr="00A23936" w:rsidRDefault="00A23936" w:rsidP="00A23936">
      <w:pPr>
        <w:numPr>
          <w:ilvl w:val="1"/>
          <w:numId w:val="28"/>
        </w:numPr>
      </w:pPr>
      <w:r w:rsidRPr="00A23936">
        <w:t>Organization and provider names</w:t>
      </w:r>
    </w:p>
    <w:p w14:paraId="24AEAC3E" w14:textId="77777777" w:rsidR="00A23936" w:rsidRPr="00A23936" w:rsidRDefault="00A23936" w:rsidP="00A23936">
      <w:pPr>
        <w:numPr>
          <w:ilvl w:val="1"/>
          <w:numId w:val="28"/>
        </w:numPr>
      </w:pPr>
      <w:r w:rsidRPr="00A23936">
        <w:t>Endpoint URLs and supported FHIR versions</w:t>
      </w:r>
    </w:p>
    <w:p w14:paraId="5C128D1B" w14:textId="77777777" w:rsidR="00A23936" w:rsidRPr="00A23936" w:rsidRDefault="00A23936" w:rsidP="00A23936">
      <w:pPr>
        <w:numPr>
          <w:ilvl w:val="1"/>
          <w:numId w:val="28"/>
        </w:numPr>
      </w:pPr>
      <w:r w:rsidRPr="00A23936">
        <w:t>Data types and services available (e.g., clinical, claims, SDOH)</w:t>
      </w:r>
    </w:p>
    <w:p w14:paraId="4EBC22B1" w14:textId="77777777" w:rsidR="00A23936" w:rsidRPr="00A23936" w:rsidRDefault="00A23936" w:rsidP="00A23936">
      <w:pPr>
        <w:numPr>
          <w:ilvl w:val="1"/>
          <w:numId w:val="28"/>
        </w:numPr>
      </w:pPr>
      <w:r w:rsidRPr="00A23936">
        <w:t>Contact information for technical support</w:t>
      </w:r>
    </w:p>
    <w:p w14:paraId="228BD0FF" w14:textId="77777777" w:rsidR="00A23936" w:rsidRPr="00A23936" w:rsidRDefault="00A23936" w:rsidP="00A23936">
      <w:pPr>
        <w:numPr>
          <w:ilvl w:val="1"/>
          <w:numId w:val="28"/>
        </w:numPr>
      </w:pPr>
      <w:r w:rsidRPr="00A23936">
        <w:t>Service status and uptime indicators</w:t>
      </w:r>
    </w:p>
    <w:p w14:paraId="68DD814E" w14:textId="194FD356" w:rsidR="00A23936" w:rsidRPr="00A23936" w:rsidRDefault="00A23936" w:rsidP="00A23936">
      <w:pPr>
        <w:numPr>
          <w:ilvl w:val="1"/>
          <w:numId w:val="28"/>
        </w:numPr>
      </w:pPr>
      <w:r w:rsidRPr="00A23936">
        <w:t>Certification or compliance status (e.g., TEFCA</w:t>
      </w:r>
      <w:r>
        <w:t xml:space="preserve"> </w:t>
      </w:r>
      <w:r w:rsidRPr="00A23936">
        <w:t>participation)</w:t>
      </w:r>
    </w:p>
    <w:p w14:paraId="14B66FCB" w14:textId="266B3E3F" w:rsidR="00A23936" w:rsidRPr="00A23936" w:rsidRDefault="00A23936" w:rsidP="00A23936">
      <w:pPr>
        <w:numPr>
          <w:ilvl w:val="0"/>
          <w:numId w:val="28"/>
        </w:numPr>
      </w:pPr>
      <w:r w:rsidRPr="00A23936">
        <w:t>Inclusion of metadata about data provenance and refresh frequency would further enhance trust and utility for all stakeholders.</w:t>
      </w:r>
    </w:p>
    <w:p w14:paraId="4FB95293" w14:textId="77777777" w:rsidR="007F6ADF" w:rsidRDefault="007F6ADF"/>
    <w:sectPr w:rsidR="007F6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6BD"/>
    <w:multiLevelType w:val="multilevel"/>
    <w:tmpl w:val="9678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C0D12"/>
    <w:multiLevelType w:val="multilevel"/>
    <w:tmpl w:val="1DAC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36EC5"/>
    <w:multiLevelType w:val="multilevel"/>
    <w:tmpl w:val="B096EA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E104E7"/>
    <w:multiLevelType w:val="multilevel"/>
    <w:tmpl w:val="6DBE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8D5C5F"/>
    <w:multiLevelType w:val="multilevel"/>
    <w:tmpl w:val="C472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C4798"/>
    <w:multiLevelType w:val="multilevel"/>
    <w:tmpl w:val="C6123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85649"/>
    <w:multiLevelType w:val="multilevel"/>
    <w:tmpl w:val="FFA6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07A45"/>
    <w:multiLevelType w:val="multilevel"/>
    <w:tmpl w:val="020C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04E3E"/>
    <w:multiLevelType w:val="multilevel"/>
    <w:tmpl w:val="F148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81F83"/>
    <w:multiLevelType w:val="multilevel"/>
    <w:tmpl w:val="4512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F6E92"/>
    <w:multiLevelType w:val="multilevel"/>
    <w:tmpl w:val="468C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4F6E5F"/>
    <w:multiLevelType w:val="multilevel"/>
    <w:tmpl w:val="F1A270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D645A4"/>
    <w:multiLevelType w:val="multilevel"/>
    <w:tmpl w:val="D0200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857165"/>
    <w:multiLevelType w:val="multilevel"/>
    <w:tmpl w:val="076E88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D47B53"/>
    <w:multiLevelType w:val="multilevel"/>
    <w:tmpl w:val="BF76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40064"/>
    <w:multiLevelType w:val="multilevel"/>
    <w:tmpl w:val="36466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D32DAC"/>
    <w:multiLevelType w:val="multilevel"/>
    <w:tmpl w:val="CC6CE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4231C8"/>
    <w:multiLevelType w:val="hybridMultilevel"/>
    <w:tmpl w:val="05980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C51C8"/>
    <w:multiLevelType w:val="multilevel"/>
    <w:tmpl w:val="6E16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539C6"/>
    <w:multiLevelType w:val="multilevel"/>
    <w:tmpl w:val="4AEC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97571"/>
    <w:multiLevelType w:val="multilevel"/>
    <w:tmpl w:val="945AB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5567D2"/>
    <w:multiLevelType w:val="multilevel"/>
    <w:tmpl w:val="40DC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C73759"/>
    <w:multiLevelType w:val="multilevel"/>
    <w:tmpl w:val="4036D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DF5880"/>
    <w:multiLevelType w:val="multilevel"/>
    <w:tmpl w:val="CC28B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E66F52"/>
    <w:multiLevelType w:val="multilevel"/>
    <w:tmpl w:val="F2AE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DC712C"/>
    <w:multiLevelType w:val="multilevel"/>
    <w:tmpl w:val="08C4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892FC2"/>
    <w:multiLevelType w:val="multilevel"/>
    <w:tmpl w:val="B1407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D315CD"/>
    <w:multiLevelType w:val="multilevel"/>
    <w:tmpl w:val="2176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3A6632"/>
    <w:multiLevelType w:val="multilevel"/>
    <w:tmpl w:val="92487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259063">
    <w:abstractNumId w:val="26"/>
  </w:num>
  <w:num w:numId="2" w16cid:durableId="945506600">
    <w:abstractNumId w:val="9"/>
  </w:num>
  <w:num w:numId="3" w16cid:durableId="1494712137">
    <w:abstractNumId w:val="20"/>
  </w:num>
  <w:num w:numId="4" w16cid:durableId="449587292">
    <w:abstractNumId w:val="22"/>
  </w:num>
  <w:num w:numId="5" w16cid:durableId="1668091274">
    <w:abstractNumId w:val="25"/>
  </w:num>
  <w:num w:numId="6" w16cid:durableId="200555131">
    <w:abstractNumId w:val="23"/>
  </w:num>
  <w:num w:numId="7" w16cid:durableId="783811207">
    <w:abstractNumId w:val="21"/>
  </w:num>
  <w:num w:numId="8" w16cid:durableId="1730417133">
    <w:abstractNumId w:val="15"/>
  </w:num>
  <w:num w:numId="9" w16cid:durableId="235238771">
    <w:abstractNumId w:val="24"/>
  </w:num>
  <w:num w:numId="10" w16cid:durableId="633411150">
    <w:abstractNumId w:val="1"/>
  </w:num>
  <w:num w:numId="11" w16cid:durableId="1315138693">
    <w:abstractNumId w:val="27"/>
  </w:num>
  <w:num w:numId="12" w16cid:durableId="171385924">
    <w:abstractNumId w:val="3"/>
  </w:num>
  <w:num w:numId="13" w16cid:durableId="671952562">
    <w:abstractNumId w:val="13"/>
  </w:num>
  <w:num w:numId="14" w16cid:durableId="1531065714">
    <w:abstractNumId w:val="16"/>
  </w:num>
  <w:num w:numId="15" w16cid:durableId="154032686">
    <w:abstractNumId w:val="8"/>
  </w:num>
  <w:num w:numId="16" w16cid:durableId="1116095071">
    <w:abstractNumId w:val="28"/>
  </w:num>
  <w:num w:numId="17" w16cid:durableId="2144955292">
    <w:abstractNumId w:val="19"/>
  </w:num>
  <w:num w:numId="18" w16cid:durableId="1744525204">
    <w:abstractNumId w:val="6"/>
  </w:num>
  <w:num w:numId="19" w16cid:durableId="1184899879">
    <w:abstractNumId w:val="4"/>
  </w:num>
  <w:num w:numId="20" w16cid:durableId="1133794904">
    <w:abstractNumId w:val="17"/>
  </w:num>
  <w:num w:numId="21" w16cid:durableId="1819111486">
    <w:abstractNumId w:val="10"/>
  </w:num>
  <w:num w:numId="22" w16cid:durableId="1172453194">
    <w:abstractNumId w:val="11"/>
  </w:num>
  <w:num w:numId="23" w16cid:durableId="1647471510">
    <w:abstractNumId w:val="2"/>
  </w:num>
  <w:num w:numId="24" w16cid:durableId="30232253">
    <w:abstractNumId w:val="14"/>
  </w:num>
  <w:num w:numId="25" w16cid:durableId="419569973">
    <w:abstractNumId w:val="0"/>
  </w:num>
  <w:num w:numId="26" w16cid:durableId="2088922524">
    <w:abstractNumId w:val="7"/>
  </w:num>
  <w:num w:numId="27" w16cid:durableId="24646293">
    <w:abstractNumId w:val="18"/>
  </w:num>
  <w:num w:numId="28" w16cid:durableId="959606841">
    <w:abstractNumId w:val="5"/>
  </w:num>
  <w:num w:numId="29" w16cid:durableId="10717762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04F"/>
    <w:rsid w:val="00094D16"/>
    <w:rsid w:val="000D7F41"/>
    <w:rsid w:val="000E2DA9"/>
    <w:rsid w:val="001C0BF0"/>
    <w:rsid w:val="001C55D2"/>
    <w:rsid w:val="001C6145"/>
    <w:rsid w:val="002654AC"/>
    <w:rsid w:val="0028104F"/>
    <w:rsid w:val="0029147C"/>
    <w:rsid w:val="00360A88"/>
    <w:rsid w:val="00397E5E"/>
    <w:rsid w:val="00411E73"/>
    <w:rsid w:val="00433D0C"/>
    <w:rsid w:val="00452277"/>
    <w:rsid w:val="004A29AA"/>
    <w:rsid w:val="005308BC"/>
    <w:rsid w:val="005354F1"/>
    <w:rsid w:val="00556A65"/>
    <w:rsid w:val="00587D7E"/>
    <w:rsid w:val="005A2256"/>
    <w:rsid w:val="005B1294"/>
    <w:rsid w:val="005E230A"/>
    <w:rsid w:val="005E2416"/>
    <w:rsid w:val="006920B1"/>
    <w:rsid w:val="00737F81"/>
    <w:rsid w:val="00770F18"/>
    <w:rsid w:val="007C1F32"/>
    <w:rsid w:val="007E6A2A"/>
    <w:rsid w:val="007F6ADF"/>
    <w:rsid w:val="00807197"/>
    <w:rsid w:val="008A59A1"/>
    <w:rsid w:val="008F58E1"/>
    <w:rsid w:val="00933B6F"/>
    <w:rsid w:val="00981D89"/>
    <w:rsid w:val="009D1A29"/>
    <w:rsid w:val="00A23936"/>
    <w:rsid w:val="00A35187"/>
    <w:rsid w:val="00AC12CB"/>
    <w:rsid w:val="00AE3119"/>
    <w:rsid w:val="00B838E8"/>
    <w:rsid w:val="00C4656C"/>
    <w:rsid w:val="00CC1851"/>
    <w:rsid w:val="00DC777D"/>
    <w:rsid w:val="00E05342"/>
    <w:rsid w:val="00E861D3"/>
    <w:rsid w:val="00ED039E"/>
    <w:rsid w:val="00ED6366"/>
    <w:rsid w:val="00F47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C0D7B"/>
  <w15:chartTrackingRefBased/>
  <w15:docId w15:val="{A55CCE88-5AF6-478C-9CBC-07D749690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1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81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04F"/>
    <w:rPr>
      <w:rFonts w:eastAsiaTheme="majorEastAsia" w:cstheme="majorBidi"/>
      <w:color w:val="272727" w:themeColor="text1" w:themeTint="D8"/>
    </w:rPr>
  </w:style>
  <w:style w:type="paragraph" w:styleId="Title">
    <w:name w:val="Title"/>
    <w:basedOn w:val="Normal"/>
    <w:next w:val="Normal"/>
    <w:link w:val="TitleChar"/>
    <w:uiPriority w:val="10"/>
    <w:qFormat/>
    <w:rsid w:val="00281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04F"/>
    <w:pPr>
      <w:spacing w:before="160"/>
      <w:jc w:val="center"/>
    </w:pPr>
    <w:rPr>
      <w:i/>
      <w:iCs/>
      <w:color w:val="404040" w:themeColor="text1" w:themeTint="BF"/>
    </w:rPr>
  </w:style>
  <w:style w:type="character" w:customStyle="1" w:styleId="QuoteChar">
    <w:name w:val="Quote Char"/>
    <w:basedOn w:val="DefaultParagraphFont"/>
    <w:link w:val="Quote"/>
    <w:uiPriority w:val="29"/>
    <w:rsid w:val="0028104F"/>
    <w:rPr>
      <w:i/>
      <w:iCs/>
      <w:color w:val="404040" w:themeColor="text1" w:themeTint="BF"/>
    </w:rPr>
  </w:style>
  <w:style w:type="paragraph" w:styleId="ListParagraph">
    <w:name w:val="List Paragraph"/>
    <w:basedOn w:val="Normal"/>
    <w:uiPriority w:val="34"/>
    <w:qFormat/>
    <w:rsid w:val="0028104F"/>
    <w:pPr>
      <w:ind w:left="720"/>
      <w:contextualSpacing/>
    </w:pPr>
  </w:style>
  <w:style w:type="character" w:styleId="IntenseEmphasis">
    <w:name w:val="Intense Emphasis"/>
    <w:basedOn w:val="DefaultParagraphFont"/>
    <w:uiPriority w:val="21"/>
    <w:qFormat/>
    <w:rsid w:val="0028104F"/>
    <w:rPr>
      <w:i/>
      <w:iCs/>
      <w:color w:val="0F4761" w:themeColor="accent1" w:themeShade="BF"/>
    </w:rPr>
  </w:style>
  <w:style w:type="paragraph" w:styleId="IntenseQuote">
    <w:name w:val="Intense Quote"/>
    <w:basedOn w:val="Normal"/>
    <w:next w:val="Normal"/>
    <w:link w:val="IntenseQuoteChar"/>
    <w:uiPriority w:val="30"/>
    <w:qFormat/>
    <w:rsid w:val="00281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04F"/>
    <w:rPr>
      <w:i/>
      <w:iCs/>
      <w:color w:val="0F4761" w:themeColor="accent1" w:themeShade="BF"/>
    </w:rPr>
  </w:style>
  <w:style w:type="character" w:styleId="IntenseReference">
    <w:name w:val="Intense Reference"/>
    <w:basedOn w:val="DefaultParagraphFont"/>
    <w:uiPriority w:val="32"/>
    <w:qFormat/>
    <w:rsid w:val="0028104F"/>
    <w:rPr>
      <w:b/>
      <w:bCs/>
      <w:smallCaps/>
      <w:color w:val="0F4761" w:themeColor="accent1" w:themeShade="BF"/>
      <w:spacing w:val="5"/>
    </w:rPr>
  </w:style>
  <w:style w:type="character" w:styleId="Hyperlink">
    <w:name w:val="Hyperlink"/>
    <w:basedOn w:val="DefaultParagraphFont"/>
    <w:uiPriority w:val="99"/>
    <w:unhideWhenUsed/>
    <w:rsid w:val="0028104F"/>
    <w:rPr>
      <w:color w:val="467886" w:themeColor="hyperlink"/>
      <w:u w:val="single"/>
    </w:rPr>
  </w:style>
  <w:style w:type="character" w:styleId="UnresolvedMention">
    <w:name w:val="Unresolved Mention"/>
    <w:basedOn w:val="DefaultParagraphFont"/>
    <w:uiPriority w:val="99"/>
    <w:semiHidden/>
    <w:unhideWhenUsed/>
    <w:rsid w:val="002810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63">
      <w:bodyDiv w:val="1"/>
      <w:marLeft w:val="0"/>
      <w:marRight w:val="0"/>
      <w:marTop w:val="0"/>
      <w:marBottom w:val="0"/>
      <w:divBdr>
        <w:top w:val="none" w:sz="0" w:space="0" w:color="auto"/>
        <w:left w:val="none" w:sz="0" w:space="0" w:color="auto"/>
        <w:bottom w:val="none" w:sz="0" w:space="0" w:color="auto"/>
        <w:right w:val="none" w:sz="0" w:space="0" w:color="auto"/>
      </w:divBdr>
    </w:div>
    <w:div w:id="24182877">
      <w:bodyDiv w:val="1"/>
      <w:marLeft w:val="0"/>
      <w:marRight w:val="0"/>
      <w:marTop w:val="0"/>
      <w:marBottom w:val="0"/>
      <w:divBdr>
        <w:top w:val="none" w:sz="0" w:space="0" w:color="auto"/>
        <w:left w:val="none" w:sz="0" w:space="0" w:color="auto"/>
        <w:bottom w:val="none" w:sz="0" w:space="0" w:color="auto"/>
        <w:right w:val="none" w:sz="0" w:space="0" w:color="auto"/>
      </w:divBdr>
      <w:divsChild>
        <w:div w:id="336228529">
          <w:marLeft w:val="0"/>
          <w:marRight w:val="0"/>
          <w:marTop w:val="0"/>
          <w:marBottom w:val="0"/>
          <w:divBdr>
            <w:top w:val="none" w:sz="0" w:space="0" w:color="auto"/>
            <w:left w:val="none" w:sz="0" w:space="0" w:color="auto"/>
            <w:bottom w:val="none" w:sz="0" w:space="0" w:color="auto"/>
            <w:right w:val="none" w:sz="0" w:space="0" w:color="auto"/>
          </w:divBdr>
        </w:div>
        <w:div w:id="546335368">
          <w:marLeft w:val="0"/>
          <w:marRight w:val="0"/>
          <w:marTop w:val="0"/>
          <w:marBottom w:val="0"/>
          <w:divBdr>
            <w:top w:val="none" w:sz="0" w:space="0" w:color="auto"/>
            <w:left w:val="none" w:sz="0" w:space="0" w:color="auto"/>
            <w:bottom w:val="none" w:sz="0" w:space="0" w:color="auto"/>
            <w:right w:val="none" w:sz="0" w:space="0" w:color="auto"/>
          </w:divBdr>
        </w:div>
        <w:div w:id="1318874974">
          <w:marLeft w:val="0"/>
          <w:marRight w:val="0"/>
          <w:marTop w:val="0"/>
          <w:marBottom w:val="0"/>
          <w:divBdr>
            <w:top w:val="none" w:sz="0" w:space="0" w:color="auto"/>
            <w:left w:val="none" w:sz="0" w:space="0" w:color="auto"/>
            <w:bottom w:val="none" w:sz="0" w:space="0" w:color="auto"/>
            <w:right w:val="none" w:sz="0" w:space="0" w:color="auto"/>
          </w:divBdr>
        </w:div>
      </w:divsChild>
    </w:div>
    <w:div w:id="29571618">
      <w:bodyDiv w:val="1"/>
      <w:marLeft w:val="0"/>
      <w:marRight w:val="0"/>
      <w:marTop w:val="0"/>
      <w:marBottom w:val="0"/>
      <w:divBdr>
        <w:top w:val="none" w:sz="0" w:space="0" w:color="auto"/>
        <w:left w:val="none" w:sz="0" w:space="0" w:color="auto"/>
        <w:bottom w:val="none" w:sz="0" w:space="0" w:color="auto"/>
        <w:right w:val="none" w:sz="0" w:space="0" w:color="auto"/>
      </w:divBdr>
      <w:divsChild>
        <w:div w:id="1356073981">
          <w:marLeft w:val="0"/>
          <w:marRight w:val="0"/>
          <w:marTop w:val="0"/>
          <w:marBottom w:val="0"/>
          <w:divBdr>
            <w:top w:val="none" w:sz="0" w:space="0" w:color="auto"/>
            <w:left w:val="none" w:sz="0" w:space="0" w:color="auto"/>
            <w:bottom w:val="none" w:sz="0" w:space="0" w:color="auto"/>
            <w:right w:val="none" w:sz="0" w:space="0" w:color="auto"/>
          </w:divBdr>
          <w:divsChild>
            <w:div w:id="943415899">
              <w:marLeft w:val="0"/>
              <w:marRight w:val="0"/>
              <w:marTop w:val="0"/>
              <w:marBottom w:val="0"/>
              <w:divBdr>
                <w:top w:val="none" w:sz="0" w:space="0" w:color="auto"/>
                <w:left w:val="none" w:sz="0" w:space="0" w:color="auto"/>
                <w:bottom w:val="none" w:sz="0" w:space="0" w:color="auto"/>
                <w:right w:val="none" w:sz="0" w:space="0" w:color="auto"/>
              </w:divBdr>
              <w:divsChild>
                <w:div w:id="620301201">
                  <w:marLeft w:val="0"/>
                  <w:marRight w:val="0"/>
                  <w:marTop w:val="0"/>
                  <w:marBottom w:val="0"/>
                  <w:divBdr>
                    <w:top w:val="none" w:sz="0" w:space="0" w:color="auto"/>
                    <w:left w:val="none" w:sz="0" w:space="0" w:color="auto"/>
                    <w:bottom w:val="none" w:sz="0" w:space="0" w:color="auto"/>
                    <w:right w:val="none" w:sz="0" w:space="0" w:color="auto"/>
                  </w:divBdr>
                  <w:divsChild>
                    <w:div w:id="4946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7404">
              <w:marLeft w:val="0"/>
              <w:marRight w:val="0"/>
              <w:marTop w:val="0"/>
              <w:marBottom w:val="0"/>
              <w:divBdr>
                <w:top w:val="none" w:sz="0" w:space="0" w:color="auto"/>
                <w:left w:val="none" w:sz="0" w:space="0" w:color="auto"/>
                <w:bottom w:val="none" w:sz="0" w:space="0" w:color="auto"/>
                <w:right w:val="none" w:sz="0" w:space="0" w:color="auto"/>
              </w:divBdr>
              <w:divsChild>
                <w:div w:id="971446476">
                  <w:marLeft w:val="0"/>
                  <w:marRight w:val="0"/>
                  <w:marTop w:val="0"/>
                  <w:marBottom w:val="0"/>
                  <w:divBdr>
                    <w:top w:val="none" w:sz="0" w:space="0" w:color="auto"/>
                    <w:left w:val="none" w:sz="0" w:space="0" w:color="auto"/>
                    <w:bottom w:val="none" w:sz="0" w:space="0" w:color="auto"/>
                    <w:right w:val="none" w:sz="0" w:space="0" w:color="auto"/>
                  </w:divBdr>
                  <w:divsChild>
                    <w:div w:id="986738917">
                      <w:marLeft w:val="0"/>
                      <w:marRight w:val="0"/>
                      <w:marTop w:val="0"/>
                      <w:marBottom w:val="0"/>
                      <w:divBdr>
                        <w:top w:val="none" w:sz="0" w:space="0" w:color="auto"/>
                        <w:left w:val="none" w:sz="0" w:space="0" w:color="auto"/>
                        <w:bottom w:val="none" w:sz="0" w:space="0" w:color="auto"/>
                        <w:right w:val="none" w:sz="0" w:space="0" w:color="auto"/>
                      </w:divBdr>
                      <w:divsChild>
                        <w:div w:id="1869834796">
                          <w:marLeft w:val="0"/>
                          <w:marRight w:val="0"/>
                          <w:marTop w:val="0"/>
                          <w:marBottom w:val="0"/>
                          <w:divBdr>
                            <w:top w:val="none" w:sz="0" w:space="0" w:color="auto"/>
                            <w:left w:val="none" w:sz="0" w:space="0" w:color="auto"/>
                            <w:bottom w:val="none" w:sz="0" w:space="0" w:color="auto"/>
                            <w:right w:val="none" w:sz="0" w:space="0" w:color="auto"/>
                          </w:divBdr>
                        </w:div>
                      </w:divsChild>
                    </w:div>
                    <w:div w:id="996810780">
                      <w:marLeft w:val="0"/>
                      <w:marRight w:val="0"/>
                      <w:marTop w:val="0"/>
                      <w:marBottom w:val="0"/>
                      <w:divBdr>
                        <w:top w:val="none" w:sz="0" w:space="0" w:color="auto"/>
                        <w:left w:val="none" w:sz="0" w:space="0" w:color="auto"/>
                        <w:bottom w:val="none" w:sz="0" w:space="0" w:color="auto"/>
                        <w:right w:val="none" w:sz="0" w:space="0" w:color="auto"/>
                      </w:divBdr>
                      <w:divsChild>
                        <w:div w:id="191235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67744">
      <w:bodyDiv w:val="1"/>
      <w:marLeft w:val="0"/>
      <w:marRight w:val="0"/>
      <w:marTop w:val="0"/>
      <w:marBottom w:val="0"/>
      <w:divBdr>
        <w:top w:val="none" w:sz="0" w:space="0" w:color="auto"/>
        <w:left w:val="none" w:sz="0" w:space="0" w:color="auto"/>
        <w:bottom w:val="none" w:sz="0" w:space="0" w:color="auto"/>
        <w:right w:val="none" w:sz="0" w:space="0" w:color="auto"/>
      </w:divBdr>
      <w:divsChild>
        <w:div w:id="202668814">
          <w:marLeft w:val="0"/>
          <w:marRight w:val="0"/>
          <w:marTop w:val="0"/>
          <w:marBottom w:val="0"/>
          <w:divBdr>
            <w:top w:val="none" w:sz="0" w:space="0" w:color="auto"/>
            <w:left w:val="none" w:sz="0" w:space="0" w:color="auto"/>
            <w:bottom w:val="none" w:sz="0" w:space="0" w:color="auto"/>
            <w:right w:val="none" w:sz="0" w:space="0" w:color="auto"/>
          </w:divBdr>
        </w:div>
        <w:div w:id="1182233929">
          <w:marLeft w:val="0"/>
          <w:marRight w:val="0"/>
          <w:marTop w:val="0"/>
          <w:marBottom w:val="0"/>
          <w:divBdr>
            <w:top w:val="none" w:sz="0" w:space="0" w:color="auto"/>
            <w:left w:val="none" w:sz="0" w:space="0" w:color="auto"/>
            <w:bottom w:val="none" w:sz="0" w:space="0" w:color="auto"/>
            <w:right w:val="none" w:sz="0" w:space="0" w:color="auto"/>
          </w:divBdr>
        </w:div>
      </w:divsChild>
    </w:div>
    <w:div w:id="100807815">
      <w:bodyDiv w:val="1"/>
      <w:marLeft w:val="0"/>
      <w:marRight w:val="0"/>
      <w:marTop w:val="0"/>
      <w:marBottom w:val="0"/>
      <w:divBdr>
        <w:top w:val="none" w:sz="0" w:space="0" w:color="auto"/>
        <w:left w:val="none" w:sz="0" w:space="0" w:color="auto"/>
        <w:bottom w:val="none" w:sz="0" w:space="0" w:color="auto"/>
        <w:right w:val="none" w:sz="0" w:space="0" w:color="auto"/>
      </w:divBdr>
    </w:div>
    <w:div w:id="352415349">
      <w:bodyDiv w:val="1"/>
      <w:marLeft w:val="0"/>
      <w:marRight w:val="0"/>
      <w:marTop w:val="0"/>
      <w:marBottom w:val="0"/>
      <w:divBdr>
        <w:top w:val="none" w:sz="0" w:space="0" w:color="auto"/>
        <w:left w:val="none" w:sz="0" w:space="0" w:color="auto"/>
        <w:bottom w:val="none" w:sz="0" w:space="0" w:color="auto"/>
        <w:right w:val="none" w:sz="0" w:space="0" w:color="auto"/>
      </w:divBdr>
    </w:div>
    <w:div w:id="391344364">
      <w:bodyDiv w:val="1"/>
      <w:marLeft w:val="0"/>
      <w:marRight w:val="0"/>
      <w:marTop w:val="0"/>
      <w:marBottom w:val="0"/>
      <w:divBdr>
        <w:top w:val="none" w:sz="0" w:space="0" w:color="auto"/>
        <w:left w:val="none" w:sz="0" w:space="0" w:color="auto"/>
        <w:bottom w:val="none" w:sz="0" w:space="0" w:color="auto"/>
        <w:right w:val="none" w:sz="0" w:space="0" w:color="auto"/>
      </w:divBdr>
    </w:div>
    <w:div w:id="490878692">
      <w:bodyDiv w:val="1"/>
      <w:marLeft w:val="0"/>
      <w:marRight w:val="0"/>
      <w:marTop w:val="0"/>
      <w:marBottom w:val="0"/>
      <w:divBdr>
        <w:top w:val="none" w:sz="0" w:space="0" w:color="auto"/>
        <w:left w:val="none" w:sz="0" w:space="0" w:color="auto"/>
        <w:bottom w:val="none" w:sz="0" w:space="0" w:color="auto"/>
        <w:right w:val="none" w:sz="0" w:space="0" w:color="auto"/>
      </w:divBdr>
    </w:div>
    <w:div w:id="514345910">
      <w:bodyDiv w:val="1"/>
      <w:marLeft w:val="0"/>
      <w:marRight w:val="0"/>
      <w:marTop w:val="0"/>
      <w:marBottom w:val="0"/>
      <w:divBdr>
        <w:top w:val="none" w:sz="0" w:space="0" w:color="auto"/>
        <w:left w:val="none" w:sz="0" w:space="0" w:color="auto"/>
        <w:bottom w:val="none" w:sz="0" w:space="0" w:color="auto"/>
        <w:right w:val="none" w:sz="0" w:space="0" w:color="auto"/>
      </w:divBdr>
    </w:div>
    <w:div w:id="540166348">
      <w:bodyDiv w:val="1"/>
      <w:marLeft w:val="0"/>
      <w:marRight w:val="0"/>
      <w:marTop w:val="0"/>
      <w:marBottom w:val="0"/>
      <w:divBdr>
        <w:top w:val="none" w:sz="0" w:space="0" w:color="auto"/>
        <w:left w:val="none" w:sz="0" w:space="0" w:color="auto"/>
        <w:bottom w:val="none" w:sz="0" w:space="0" w:color="auto"/>
        <w:right w:val="none" w:sz="0" w:space="0" w:color="auto"/>
      </w:divBdr>
    </w:div>
    <w:div w:id="657685346">
      <w:bodyDiv w:val="1"/>
      <w:marLeft w:val="0"/>
      <w:marRight w:val="0"/>
      <w:marTop w:val="0"/>
      <w:marBottom w:val="0"/>
      <w:divBdr>
        <w:top w:val="none" w:sz="0" w:space="0" w:color="auto"/>
        <w:left w:val="none" w:sz="0" w:space="0" w:color="auto"/>
        <w:bottom w:val="none" w:sz="0" w:space="0" w:color="auto"/>
        <w:right w:val="none" w:sz="0" w:space="0" w:color="auto"/>
      </w:divBdr>
      <w:divsChild>
        <w:div w:id="564031967">
          <w:marLeft w:val="0"/>
          <w:marRight w:val="0"/>
          <w:marTop w:val="0"/>
          <w:marBottom w:val="0"/>
          <w:divBdr>
            <w:top w:val="none" w:sz="0" w:space="0" w:color="auto"/>
            <w:left w:val="none" w:sz="0" w:space="0" w:color="auto"/>
            <w:bottom w:val="none" w:sz="0" w:space="0" w:color="auto"/>
            <w:right w:val="none" w:sz="0" w:space="0" w:color="auto"/>
          </w:divBdr>
        </w:div>
        <w:div w:id="1742022416">
          <w:marLeft w:val="0"/>
          <w:marRight w:val="0"/>
          <w:marTop w:val="0"/>
          <w:marBottom w:val="0"/>
          <w:divBdr>
            <w:top w:val="none" w:sz="0" w:space="0" w:color="auto"/>
            <w:left w:val="none" w:sz="0" w:space="0" w:color="auto"/>
            <w:bottom w:val="none" w:sz="0" w:space="0" w:color="auto"/>
            <w:right w:val="none" w:sz="0" w:space="0" w:color="auto"/>
          </w:divBdr>
        </w:div>
      </w:divsChild>
    </w:div>
    <w:div w:id="663627217">
      <w:bodyDiv w:val="1"/>
      <w:marLeft w:val="0"/>
      <w:marRight w:val="0"/>
      <w:marTop w:val="0"/>
      <w:marBottom w:val="0"/>
      <w:divBdr>
        <w:top w:val="none" w:sz="0" w:space="0" w:color="auto"/>
        <w:left w:val="none" w:sz="0" w:space="0" w:color="auto"/>
        <w:bottom w:val="none" w:sz="0" w:space="0" w:color="auto"/>
        <w:right w:val="none" w:sz="0" w:space="0" w:color="auto"/>
      </w:divBdr>
    </w:div>
    <w:div w:id="686442532">
      <w:bodyDiv w:val="1"/>
      <w:marLeft w:val="0"/>
      <w:marRight w:val="0"/>
      <w:marTop w:val="0"/>
      <w:marBottom w:val="0"/>
      <w:divBdr>
        <w:top w:val="none" w:sz="0" w:space="0" w:color="auto"/>
        <w:left w:val="none" w:sz="0" w:space="0" w:color="auto"/>
        <w:bottom w:val="none" w:sz="0" w:space="0" w:color="auto"/>
        <w:right w:val="none" w:sz="0" w:space="0" w:color="auto"/>
      </w:divBdr>
    </w:div>
    <w:div w:id="766923564">
      <w:bodyDiv w:val="1"/>
      <w:marLeft w:val="0"/>
      <w:marRight w:val="0"/>
      <w:marTop w:val="0"/>
      <w:marBottom w:val="0"/>
      <w:divBdr>
        <w:top w:val="none" w:sz="0" w:space="0" w:color="auto"/>
        <w:left w:val="none" w:sz="0" w:space="0" w:color="auto"/>
        <w:bottom w:val="none" w:sz="0" w:space="0" w:color="auto"/>
        <w:right w:val="none" w:sz="0" w:space="0" w:color="auto"/>
      </w:divBdr>
    </w:div>
    <w:div w:id="894314569">
      <w:bodyDiv w:val="1"/>
      <w:marLeft w:val="0"/>
      <w:marRight w:val="0"/>
      <w:marTop w:val="0"/>
      <w:marBottom w:val="0"/>
      <w:divBdr>
        <w:top w:val="none" w:sz="0" w:space="0" w:color="auto"/>
        <w:left w:val="none" w:sz="0" w:space="0" w:color="auto"/>
        <w:bottom w:val="none" w:sz="0" w:space="0" w:color="auto"/>
        <w:right w:val="none" w:sz="0" w:space="0" w:color="auto"/>
      </w:divBdr>
    </w:div>
    <w:div w:id="1007365804">
      <w:bodyDiv w:val="1"/>
      <w:marLeft w:val="0"/>
      <w:marRight w:val="0"/>
      <w:marTop w:val="0"/>
      <w:marBottom w:val="0"/>
      <w:divBdr>
        <w:top w:val="none" w:sz="0" w:space="0" w:color="auto"/>
        <w:left w:val="none" w:sz="0" w:space="0" w:color="auto"/>
        <w:bottom w:val="none" w:sz="0" w:space="0" w:color="auto"/>
        <w:right w:val="none" w:sz="0" w:space="0" w:color="auto"/>
      </w:divBdr>
    </w:div>
    <w:div w:id="1027559852">
      <w:bodyDiv w:val="1"/>
      <w:marLeft w:val="0"/>
      <w:marRight w:val="0"/>
      <w:marTop w:val="0"/>
      <w:marBottom w:val="0"/>
      <w:divBdr>
        <w:top w:val="none" w:sz="0" w:space="0" w:color="auto"/>
        <w:left w:val="none" w:sz="0" w:space="0" w:color="auto"/>
        <w:bottom w:val="none" w:sz="0" w:space="0" w:color="auto"/>
        <w:right w:val="none" w:sz="0" w:space="0" w:color="auto"/>
      </w:divBdr>
      <w:divsChild>
        <w:div w:id="714738747">
          <w:marLeft w:val="0"/>
          <w:marRight w:val="0"/>
          <w:marTop w:val="0"/>
          <w:marBottom w:val="0"/>
          <w:divBdr>
            <w:top w:val="none" w:sz="0" w:space="0" w:color="auto"/>
            <w:left w:val="none" w:sz="0" w:space="0" w:color="auto"/>
            <w:bottom w:val="none" w:sz="0" w:space="0" w:color="auto"/>
            <w:right w:val="none" w:sz="0" w:space="0" w:color="auto"/>
          </w:divBdr>
          <w:divsChild>
            <w:div w:id="25837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20882">
      <w:bodyDiv w:val="1"/>
      <w:marLeft w:val="0"/>
      <w:marRight w:val="0"/>
      <w:marTop w:val="0"/>
      <w:marBottom w:val="0"/>
      <w:divBdr>
        <w:top w:val="none" w:sz="0" w:space="0" w:color="auto"/>
        <w:left w:val="none" w:sz="0" w:space="0" w:color="auto"/>
        <w:bottom w:val="none" w:sz="0" w:space="0" w:color="auto"/>
        <w:right w:val="none" w:sz="0" w:space="0" w:color="auto"/>
      </w:divBdr>
    </w:div>
    <w:div w:id="1217551617">
      <w:bodyDiv w:val="1"/>
      <w:marLeft w:val="0"/>
      <w:marRight w:val="0"/>
      <w:marTop w:val="0"/>
      <w:marBottom w:val="0"/>
      <w:divBdr>
        <w:top w:val="none" w:sz="0" w:space="0" w:color="auto"/>
        <w:left w:val="none" w:sz="0" w:space="0" w:color="auto"/>
        <w:bottom w:val="none" w:sz="0" w:space="0" w:color="auto"/>
        <w:right w:val="none" w:sz="0" w:space="0" w:color="auto"/>
      </w:divBdr>
    </w:div>
    <w:div w:id="1249463421">
      <w:bodyDiv w:val="1"/>
      <w:marLeft w:val="0"/>
      <w:marRight w:val="0"/>
      <w:marTop w:val="0"/>
      <w:marBottom w:val="0"/>
      <w:divBdr>
        <w:top w:val="none" w:sz="0" w:space="0" w:color="auto"/>
        <w:left w:val="none" w:sz="0" w:space="0" w:color="auto"/>
        <w:bottom w:val="none" w:sz="0" w:space="0" w:color="auto"/>
        <w:right w:val="none" w:sz="0" w:space="0" w:color="auto"/>
      </w:divBdr>
      <w:divsChild>
        <w:div w:id="958337881">
          <w:marLeft w:val="0"/>
          <w:marRight w:val="0"/>
          <w:marTop w:val="0"/>
          <w:marBottom w:val="0"/>
          <w:divBdr>
            <w:top w:val="none" w:sz="0" w:space="0" w:color="auto"/>
            <w:left w:val="none" w:sz="0" w:space="0" w:color="auto"/>
            <w:bottom w:val="none" w:sz="0" w:space="0" w:color="auto"/>
            <w:right w:val="none" w:sz="0" w:space="0" w:color="auto"/>
          </w:divBdr>
          <w:divsChild>
            <w:div w:id="130870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768268">
      <w:bodyDiv w:val="1"/>
      <w:marLeft w:val="0"/>
      <w:marRight w:val="0"/>
      <w:marTop w:val="0"/>
      <w:marBottom w:val="0"/>
      <w:divBdr>
        <w:top w:val="none" w:sz="0" w:space="0" w:color="auto"/>
        <w:left w:val="none" w:sz="0" w:space="0" w:color="auto"/>
        <w:bottom w:val="none" w:sz="0" w:space="0" w:color="auto"/>
        <w:right w:val="none" w:sz="0" w:space="0" w:color="auto"/>
      </w:divBdr>
    </w:div>
    <w:div w:id="1263610779">
      <w:bodyDiv w:val="1"/>
      <w:marLeft w:val="0"/>
      <w:marRight w:val="0"/>
      <w:marTop w:val="0"/>
      <w:marBottom w:val="0"/>
      <w:divBdr>
        <w:top w:val="none" w:sz="0" w:space="0" w:color="auto"/>
        <w:left w:val="none" w:sz="0" w:space="0" w:color="auto"/>
        <w:bottom w:val="none" w:sz="0" w:space="0" w:color="auto"/>
        <w:right w:val="none" w:sz="0" w:space="0" w:color="auto"/>
      </w:divBdr>
      <w:divsChild>
        <w:div w:id="1950549706">
          <w:marLeft w:val="0"/>
          <w:marRight w:val="0"/>
          <w:marTop w:val="0"/>
          <w:marBottom w:val="0"/>
          <w:divBdr>
            <w:top w:val="none" w:sz="0" w:space="0" w:color="auto"/>
            <w:left w:val="none" w:sz="0" w:space="0" w:color="auto"/>
            <w:bottom w:val="none" w:sz="0" w:space="0" w:color="auto"/>
            <w:right w:val="none" w:sz="0" w:space="0" w:color="auto"/>
          </w:divBdr>
          <w:divsChild>
            <w:div w:id="2297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56661">
      <w:bodyDiv w:val="1"/>
      <w:marLeft w:val="0"/>
      <w:marRight w:val="0"/>
      <w:marTop w:val="0"/>
      <w:marBottom w:val="0"/>
      <w:divBdr>
        <w:top w:val="none" w:sz="0" w:space="0" w:color="auto"/>
        <w:left w:val="none" w:sz="0" w:space="0" w:color="auto"/>
        <w:bottom w:val="none" w:sz="0" w:space="0" w:color="auto"/>
        <w:right w:val="none" w:sz="0" w:space="0" w:color="auto"/>
      </w:divBdr>
    </w:div>
    <w:div w:id="1302417591">
      <w:bodyDiv w:val="1"/>
      <w:marLeft w:val="0"/>
      <w:marRight w:val="0"/>
      <w:marTop w:val="0"/>
      <w:marBottom w:val="0"/>
      <w:divBdr>
        <w:top w:val="none" w:sz="0" w:space="0" w:color="auto"/>
        <w:left w:val="none" w:sz="0" w:space="0" w:color="auto"/>
        <w:bottom w:val="none" w:sz="0" w:space="0" w:color="auto"/>
        <w:right w:val="none" w:sz="0" w:space="0" w:color="auto"/>
      </w:divBdr>
    </w:div>
    <w:div w:id="1304888430">
      <w:bodyDiv w:val="1"/>
      <w:marLeft w:val="0"/>
      <w:marRight w:val="0"/>
      <w:marTop w:val="0"/>
      <w:marBottom w:val="0"/>
      <w:divBdr>
        <w:top w:val="none" w:sz="0" w:space="0" w:color="auto"/>
        <w:left w:val="none" w:sz="0" w:space="0" w:color="auto"/>
        <w:bottom w:val="none" w:sz="0" w:space="0" w:color="auto"/>
        <w:right w:val="none" w:sz="0" w:space="0" w:color="auto"/>
      </w:divBdr>
    </w:div>
    <w:div w:id="1322930470">
      <w:bodyDiv w:val="1"/>
      <w:marLeft w:val="0"/>
      <w:marRight w:val="0"/>
      <w:marTop w:val="0"/>
      <w:marBottom w:val="0"/>
      <w:divBdr>
        <w:top w:val="none" w:sz="0" w:space="0" w:color="auto"/>
        <w:left w:val="none" w:sz="0" w:space="0" w:color="auto"/>
        <w:bottom w:val="none" w:sz="0" w:space="0" w:color="auto"/>
        <w:right w:val="none" w:sz="0" w:space="0" w:color="auto"/>
      </w:divBdr>
      <w:divsChild>
        <w:div w:id="98764052">
          <w:marLeft w:val="0"/>
          <w:marRight w:val="0"/>
          <w:marTop w:val="0"/>
          <w:marBottom w:val="0"/>
          <w:divBdr>
            <w:top w:val="none" w:sz="0" w:space="0" w:color="auto"/>
            <w:left w:val="none" w:sz="0" w:space="0" w:color="auto"/>
            <w:bottom w:val="none" w:sz="0" w:space="0" w:color="auto"/>
            <w:right w:val="none" w:sz="0" w:space="0" w:color="auto"/>
          </w:divBdr>
          <w:divsChild>
            <w:div w:id="1388915655">
              <w:marLeft w:val="0"/>
              <w:marRight w:val="0"/>
              <w:marTop w:val="0"/>
              <w:marBottom w:val="0"/>
              <w:divBdr>
                <w:top w:val="none" w:sz="0" w:space="0" w:color="auto"/>
                <w:left w:val="none" w:sz="0" w:space="0" w:color="auto"/>
                <w:bottom w:val="none" w:sz="0" w:space="0" w:color="auto"/>
                <w:right w:val="none" w:sz="0" w:space="0" w:color="auto"/>
              </w:divBdr>
              <w:divsChild>
                <w:div w:id="272716534">
                  <w:marLeft w:val="0"/>
                  <w:marRight w:val="0"/>
                  <w:marTop w:val="0"/>
                  <w:marBottom w:val="0"/>
                  <w:divBdr>
                    <w:top w:val="none" w:sz="0" w:space="0" w:color="auto"/>
                    <w:left w:val="none" w:sz="0" w:space="0" w:color="auto"/>
                    <w:bottom w:val="none" w:sz="0" w:space="0" w:color="auto"/>
                    <w:right w:val="none" w:sz="0" w:space="0" w:color="auto"/>
                  </w:divBdr>
                  <w:divsChild>
                    <w:div w:id="828524553">
                      <w:marLeft w:val="0"/>
                      <w:marRight w:val="0"/>
                      <w:marTop w:val="0"/>
                      <w:marBottom w:val="0"/>
                      <w:divBdr>
                        <w:top w:val="none" w:sz="0" w:space="0" w:color="auto"/>
                        <w:left w:val="none" w:sz="0" w:space="0" w:color="auto"/>
                        <w:bottom w:val="none" w:sz="0" w:space="0" w:color="auto"/>
                        <w:right w:val="none" w:sz="0" w:space="0" w:color="auto"/>
                      </w:divBdr>
                    </w:div>
                  </w:divsChild>
                </w:div>
                <w:div w:id="2057660716">
                  <w:marLeft w:val="0"/>
                  <w:marRight w:val="0"/>
                  <w:marTop w:val="0"/>
                  <w:marBottom w:val="0"/>
                  <w:divBdr>
                    <w:top w:val="none" w:sz="0" w:space="0" w:color="auto"/>
                    <w:left w:val="none" w:sz="0" w:space="0" w:color="auto"/>
                    <w:bottom w:val="none" w:sz="0" w:space="0" w:color="auto"/>
                    <w:right w:val="none" w:sz="0" w:space="0" w:color="auto"/>
                  </w:divBdr>
                  <w:divsChild>
                    <w:div w:id="68448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734328">
      <w:bodyDiv w:val="1"/>
      <w:marLeft w:val="0"/>
      <w:marRight w:val="0"/>
      <w:marTop w:val="0"/>
      <w:marBottom w:val="0"/>
      <w:divBdr>
        <w:top w:val="none" w:sz="0" w:space="0" w:color="auto"/>
        <w:left w:val="none" w:sz="0" w:space="0" w:color="auto"/>
        <w:bottom w:val="none" w:sz="0" w:space="0" w:color="auto"/>
        <w:right w:val="none" w:sz="0" w:space="0" w:color="auto"/>
      </w:divBdr>
    </w:div>
    <w:div w:id="1434469521">
      <w:bodyDiv w:val="1"/>
      <w:marLeft w:val="0"/>
      <w:marRight w:val="0"/>
      <w:marTop w:val="0"/>
      <w:marBottom w:val="0"/>
      <w:divBdr>
        <w:top w:val="none" w:sz="0" w:space="0" w:color="auto"/>
        <w:left w:val="none" w:sz="0" w:space="0" w:color="auto"/>
        <w:bottom w:val="none" w:sz="0" w:space="0" w:color="auto"/>
        <w:right w:val="none" w:sz="0" w:space="0" w:color="auto"/>
      </w:divBdr>
      <w:divsChild>
        <w:div w:id="215436531">
          <w:marLeft w:val="0"/>
          <w:marRight w:val="0"/>
          <w:marTop w:val="0"/>
          <w:marBottom w:val="0"/>
          <w:divBdr>
            <w:top w:val="none" w:sz="0" w:space="0" w:color="auto"/>
            <w:left w:val="none" w:sz="0" w:space="0" w:color="auto"/>
            <w:bottom w:val="none" w:sz="0" w:space="0" w:color="auto"/>
            <w:right w:val="none" w:sz="0" w:space="0" w:color="auto"/>
          </w:divBdr>
          <w:divsChild>
            <w:div w:id="930160509">
              <w:marLeft w:val="0"/>
              <w:marRight w:val="0"/>
              <w:marTop w:val="0"/>
              <w:marBottom w:val="0"/>
              <w:divBdr>
                <w:top w:val="none" w:sz="0" w:space="0" w:color="auto"/>
                <w:left w:val="none" w:sz="0" w:space="0" w:color="auto"/>
                <w:bottom w:val="none" w:sz="0" w:space="0" w:color="auto"/>
                <w:right w:val="none" w:sz="0" w:space="0" w:color="auto"/>
              </w:divBdr>
              <w:divsChild>
                <w:div w:id="693844480">
                  <w:marLeft w:val="0"/>
                  <w:marRight w:val="0"/>
                  <w:marTop w:val="0"/>
                  <w:marBottom w:val="0"/>
                  <w:divBdr>
                    <w:top w:val="none" w:sz="0" w:space="0" w:color="auto"/>
                    <w:left w:val="none" w:sz="0" w:space="0" w:color="auto"/>
                    <w:bottom w:val="none" w:sz="0" w:space="0" w:color="auto"/>
                    <w:right w:val="none" w:sz="0" w:space="0" w:color="auto"/>
                  </w:divBdr>
                  <w:divsChild>
                    <w:div w:id="61251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21010">
              <w:marLeft w:val="0"/>
              <w:marRight w:val="0"/>
              <w:marTop w:val="0"/>
              <w:marBottom w:val="0"/>
              <w:divBdr>
                <w:top w:val="none" w:sz="0" w:space="0" w:color="auto"/>
                <w:left w:val="none" w:sz="0" w:space="0" w:color="auto"/>
                <w:bottom w:val="none" w:sz="0" w:space="0" w:color="auto"/>
                <w:right w:val="none" w:sz="0" w:space="0" w:color="auto"/>
              </w:divBdr>
              <w:divsChild>
                <w:div w:id="1643150955">
                  <w:marLeft w:val="0"/>
                  <w:marRight w:val="0"/>
                  <w:marTop w:val="0"/>
                  <w:marBottom w:val="0"/>
                  <w:divBdr>
                    <w:top w:val="none" w:sz="0" w:space="0" w:color="auto"/>
                    <w:left w:val="none" w:sz="0" w:space="0" w:color="auto"/>
                    <w:bottom w:val="none" w:sz="0" w:space="0" w:color="auto"/>
                    <w:right w:val="none" w:sz="0" w:space="0" w:color="auto"/>
                  </w:divBdr>
                  <w:divsChild>
                    <w:div w:id="576742444">
                      <w:marLeft w:val="0"/>
                      <w:marRight w:val="0"/>
                      <w:marTop w:val="0"/>
                      <w:marBottom w:val="0"/>
                      <w:divBdr>
                        <w:top w:val="none" w:sz="0" w:space="0" w:color="auto"/>
                        <w:left w:val="none" w:sz="0" w:space="0" w:color="auto"/>
                        <w:bottom w:val="none" w:sz="0" w:space="0" w:color="auto"/>
                        <w:right w:val="none" w:sz="0" w:space="0" w:color="auto"/>
                      </w:divBdr>
                      <w:divsChild>
                        <w:div w:id="2110078658">
                          <w:marLeft w:val="0"/>
                          <w:marRight w:val="0"/>
                          <w:marTop w:val="0"/>
                          <w:marBottom w:val="0"/>
                          <w:divBdr>
                            <w:top w:val="none" w:sz="0" w:space="0" w:color="auto"/>
                            <w:left w:val="none" w:sz="0" w:space="0" w:color="auto"/>
                            <w:bottom w:val="none" w:sz="0" w:space="0" w:color="auto"/>
                            <w:right w:val="none" w:sz="0" w:space="0" w:color="auto"/>
                          </w:divBdr>
                        </w:div>
                      </w:divsChild>
                    </w:div>
                    <w:div w:id="815679415">
                      <w:marLeft w:val="0"/>
                      <w:marRight w:val="0"/>
                      <w:marTop w:val="0"/>
                      <w:marBottom w:val="0"/>
                      <w:divBdr>
                        <w:top w:val="none" w:sz="0" w:space="0" w:color="auto"/>
                        <w:left w:val="none" w:sz="0" w:space="0" w:color="auto"/>
                        <w:bottom w:val="none" w:sz="0" w:space="0" w:color="auto"/>
                        <w:right w:val="none" w:sz="0" w:space="0" w:color="auto"/>
                      </w:divBdr>
                      <w:divsChild>
                        <w:div w:id="38013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129016">
      <w:bodyDiv w:val="1"/>
      <w:marLeft w:val="0"/>
      <w:marRight w:val="0"/>
      <w:marTop w:val="0"/>
      <w:marBottom w:val="0"/>
      <w:divBdr>
        <w:top w:val="none" w:sz="0" w:space="0" w:color="auto"/>
        <w:left w:val="none" w:sz="0" w:space="0" w:color="auto"/>
        <w:bottom w:val="none" w:sz="0" w:space="0" w:color="auto"/>
        <w:right w:val="none" w:sz="0" w:space="0" w:color="auto"/>
      </w:divBdr>
    </w:div>
    <w:div w:id="1663847127">
      <w:bodyDiv w:val="1"/>
      <w:marLeft w:val="0"/>
      <w:marRight w:val="0"/>
      <w:marTop w:val="0"/>
      <w:marBottom w:val="0"/>
      <w:divBdr>
        <w:top w:val="none" w:sz="0" w:space="0" w:color="auto"/>
        <w:left w:val="none" w:sz="0" w:space="0" w:color="auto"/>
        <w:bottom w:val="none" w:sz="0" w:space="0" w:color="auto"/>
        <w:right w:val="none" w:sz="0" w:space="0" w:color="auto"/>
      </w:divBdr>
    </w:div>
    <w:div w:id="1728915440">
      <w:bodyDiv w:val="1"/>
      <w:marLeft w:val="0"/>
      <w:marRight w:val="0"/>
      <w:marTop w:val="0"/>
      <w:marBottom w:val="0"/>
      <w:divBdr>
        <w:top w:val="none" w:sz="0" w:space="0" w:color="auto"/>
        <w:left w:val="none" w:sz="0" w:space="0" w:color="auto"/>
        <w:bottom w:val="none" w:sz="0" w:space="0" w:color="auto"/>
        <w:right w:val="none" w:sz="0" w:space="0" w:color="auto"/>
      </w:divBdr>
    </w:div>
    <w:div w:id="1741170509">
      <w:bodyDiv w:val="1"/>
      <w:marLeft w:val="0"/>
      <w:marRight w:val="0"/>
      <w:marTop w:val="0"/>
      <w:marBottom w:val="0"/>
      <w:divBdr>
        <w:top w:val="none" w:sz="0" w:space="0" w:color="auto"/>
        <w:left w:val="none" w:sz="0" w:space="0" w:color="auto"/>
        <w:bottom w:val="none" w:sz="0" w:space="0" w:color="auto"/>
        <w:right w:val="none" w:sz="0" w:space="0" w:color="auto"/>
      </w:divBdr>
    </w:div>
    <w:div w:id="1809280392">
      <w:bodyDiv w:val="1"/>
      <w:marLeft w:val="0"/>
      <w:marRight w:val="0"/>
      <w:marTop w:val="0"/>
      <w:marBottom w:val="0"/>
      <w:divBdr>
        <w:top w:val="none" w:sz="0" w:space="0" w:color="auto"/>
        <w:left w:val="none" w:sz="0" w:space="0" w:color="auto"/>
        <w:bottom w:val="none" w:sz="0" w:space="0" w:color="auto"/>
        <w:right w:val="none" w:sz="0" w:space="0" w:color="auto"/>
      </w:divBdr>
      <w:divsChild>
        <w:div w:id="209264391">
          <w:marLeft w:val="0"/>
          <w:marRight w:val="0"/>
          <w:marTop w:val="0"/>
          <w:marBottom w:val="0"/>
          <w:divBdr>
            <w:top w:val="none" w:sz="0" w:space="0" w:color="auto"/>
            <w:left w:val="none" w:sz="0" w:space="0" w:color="auto"/>
            <w:bottom w:val="none" w:sz="0" w:space="0" w:color="auto"/>
            <w:right w:val="none" w:sz="0" w:space="0" w:color="auto"/>
          </w:divBdr>
          <w:divsChild>
            <w:div w:id="744886944">
              <w:marLeft w:val="0"/>
              <w:marRight w:val="0"/>
              <w:marTop w:val="0"/>
              <w:marBottom w:val="0"/>
              <w:divBdr>
                <w:top w:val="none" w:sz="0" w:space="0" w:color="auto"/>
                <w:left w:val="none" w:sz="0" w:space="0" w:color="auto"/>
                <w:bottom w:val="none" w:sz="0" w:space="0" w:color="auto"/>
                <w:right w:val="none" w:sz="0" w:space="0" w:color="auto"/>
              </w:divBdr>
              <w:divsChild>
                <w:div w:id="198595709">
                  <w:marLeft w:val="0"/>
                  <w:marRight w:val="0"/>
                  <w:marTop w:val="0"/>
                  <w:marBottom w:val="0"/>
                  <w:divBdr>
                    <w:top w:val="none" w:sz="0" w:space="0" w:color="auto"/>
                    <w:left w:val="none" w:sz="0" w:space="0" w:color="auto"/>
                    <w:bottom w:val="none" w:sz="0" w:space="0" w:color="auto"/>
                    <w:right w:val="none" w:sz="0" w:space="0" w:color="auto"/>
                  </w:divBdr>
                  <w:divsChild>
                    <w:div w:id="945693916">
                      <w:marLeft w:val="0"/>
                      <w:marRight w:val="0"/>
                      <w:marTop w:val="0"/>
                      <w:marBottom w:val="0"/>
                      <w:divBdr>
                        <w:top w:val="none" w:sz="0" w:space="0" w:color="auto"/>
                        <w:left w:val="none" w:sz="0" w:space="0" w:color="auto"/>
                        <w:bottom w:val="none" w:sz="0" w:space="0" w:color="auto"/>
                        <w:right w:val="none" w:sz="0" w:space="0" w:color="auto"/>
                      </w:divBdr>
                    </w:div>
                  </w:divsChild>
                </w:div>
                <w:div w:id="888566817">
                  <w:marLeft w:val="0"/>
                  <w:marRight w:val="0"/>
                  <w:marTop w:val="0"/>
                  <w:marBottom w:val="0"/>
                  <w:divBdr>
                    <w:top w:val="none" w:sz="0" w:space="0" w:color="auto"/>
                    <w:left w:val="none" w:sz="0" w:space="0" w:color="auto"/>
                    <w:bottom w:val="none" w:sz="0" w:space="0" w:color="auto"/>
                    <w:right w:val="none" w:sz="0" w:space="0" w:color="auto"/>
                  </w:divBdr>
                  <w:divsChild>
                    <w:div w:id="12999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245813">
      <w:bodyDiv w:val="1"/>
      <w:marLeft w:val="0"/>
      <w:marRight w:val="0"/>
      <w:marTop w:val="0"/>
      <w:marBottom w:val="0"/>
      <w:divBdr>
        <w:top w:val="none" w:sz="0" w:space="0" w:color="auto"/>
        <w:left w:val="none" w:sz="0" w:space="0" w:color="auto"/>
        <w:bottom w:val="none" w:sz="0" w:space="0" w:color="auto"/>
        <w:right w:val="none" w:sz="0" w:space="0" w:color="auto"/>
      </w:divBdr>
    </w:div>
    <w:div w:id="1924484408">
      <w:bodyDiv w:val="1"/>
      <w:marLeft w:val="0"/>
      <w:marRight w:val="0"/>
      <w:marTop w:val="0"/>
      <w:marBottom w:val="0"/>
      <w:divBdr>
        <w:top w:val="none" w:sz="0" w:space="0" w:color="auto"/>
        <w:left w:val="none" w:sz="0" w:space="0" w:color="auto"/>
        <w:bottom w:val="none" w:sz="0" w:space="0" w:color="auto"/>
        <w:right w:val="none" w:sz="0" w:space="0" w:color="auto"/>
      </w:divBdr>
    </w:div>
    <w:div w:id="2008362270">
      <w:bodyDiv w:val="1"/>
      <w:marLeft w:val="0"/>
      <w:marRight w:val="0"/>
      <w:marTop w:val="0"/>
      <w:marBottom w:val="0"/>
      <w:divBdr>
        <w:top w:val="none" w:sz="0" w:space="0" w:color="auto"/>
        <w:left w:val="none" w:sz="0" w:space="0" w:color="auto"/>
        <w:bottom w:val="none" w:sz="0" w:space="0" w:color="auto"/>
        <w:right w:val="none" w:sz="0" w:space="0" w:color="auto"/>
      </w:divBdr>
    </w:div>
    <w:div w:id="2013750268">
      <w:bodyDiv w:val="1"/>
      <w:marLeft w:val="0"/>
      <w:marRight w:val="0"/>
      <w:marTop w:val="0"/>
      <w:marBottom w:val="0"/>
      <w:divBdr>
        <w:top w:val="none" w:sz="0" w:space="0" w:color="auto"/>
        <w:left w:val="none" w:sz="0" w:space="0" w:color="auto"/>
        <w:bottom w:val="none" w:sz="0" w:space="0" w:color="auto"/>
        <w:right w:val="none" w:sz="0" w:space="0" w:color="auto"/>
      </w:divBdr>
    </w:div>
    <w:div w:id="2049524309">
      <w:bodyDiv w:val="1"/>
      <w:marLeft w:val="0"/>
      <w:marRight w:val="0"/>
      <w:marTop w:val="0"/>
      <w:marBottom w:val="0"/>
      <w:divBdr>
        <w:top w:val="none" w:sz="0" w:space="0" w:color="auto"/>
        <w:left w:val="none" w:sz="0" w:space="0" w:color="auto"/>
        <w:bottom w:val="none" w:sz="0" w:space="0" w:color="auto"/>
        <w:right w:val="none" w:sz="0" w:space="0" w:color="auto"/>
      </w:divBdr>
    </w:div>
    <w:div w:id="2082672560">
      <w:bodyDiv w:val="1"/>
      <w:marLeft w:val="0"/>
      <w:marRight w:val="0"/>
      <w:marTop w:val="0"/>
      <w:marBottom w:val="0"/>
      <w:divBdr>
        <w:top w:val="none" w:sz="0" w:space="0" w:color="auto"/>
        <w:left w:val="none" w:sz="0" w:space="0" w:color="auto"/>
        <w:bottom w:val="none" w:sz="0" w:space="0" w:color="auto"/>
        <w:right w:val="none" w:sz="0" w:space="0" w:color="auto"/>
      </w:divBdr>
    </w:div>
    <w:div w:id="2140485797">
      <w:bodyDiv w:val="1"/>
      <w:marLeft w:val="0"/>
      <w:marRight w:val="0"/>
      <w:marTop w:val="0"/>
      <w:marBottom w:val="0"/>
      <w:divBdr>
        <w:top w:val="none" w:sz="0" w:space="0" w:color="auto"/>
        <w:left w:val="none" w:sz="0" w:space="0" w:color="auto"/>
        <w:bottom w:val="none" w:sz="0" w:space="0" w:color="auto"/>
        <w:right w:val="none" w:sz="0" w:space="0" w:color="auto"/>
      </w:divBdr>
      <w:divsChild>
        <w:div w:id="2127577087">
          <w:marLeft w:val="0"/>
          <w:marRight w:val="0"/>
          <w:marTop w:val="0"/>
          <w:marBottom w:val="0"/>
          <w:divBdr>
            <w:top w:val="none" w:sz="0" w:space="0" w:color="auto"/>
            <w:left w:val="none" w:sz="0" w:space="0" w:color="auto"/>
            <w:bottom w:val="none" w:sz="0" w:space="0" w:color="auto"/>
            <w:right w:val="none" w:sz="0" w:space="0" w:color="auto"/>
          </w:divBdr>
          <w:divsChild>
            <w:div w:id="30535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1ea0030-cd08-4d65-89ca-3ea93a73ad2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B53B57E8814894AA1506BB9C6838E40" ma:contentTypeVersion="15" ma:contentTypeDescription="Create a new document." ma:contentTypeScope="" ma:versionID="aed66aa28f243f6bcaa9a527022bfbde">
  <xsd:schema xmlns:xsd="http://www.w3.org/2001/XMLSchema" xmlns:xs="http://www.w3.org/2001/XMLSchema" xmlns:p="http://schemas.microsoft.com/office/2006/metadata/properties" xmlns:ns2="b1ea0030-cd08-4d65-89ca-3ea93a73ad23" xmlns:ns3="7f713ea1-dd2f-4761-9844-42c972d853ab" targetNamespace="http://schemas.microsoft.com/office/2006/metadata/properties" ma:root="true" ma:fieldsID="6b0a9844217647640c7f1fbe0fd2587f" ns2:_="" ns3:_="">
    <xsd:import namespace="b1ea0030-cd08-4d65-89ca-3ea93a73ad23"/>
    <xsd:import namespace="7f713ea1-dd2f-4761-9844-42c972d853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lcf76f155ced4ddcb4097134ff3c332f"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ea0030-cd08-4d65-89ca-3ea93a73ad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3ca4942c-11ac-4517-940b-edb28b8a329b"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713ea1-dd2f-4761-9844-42c972d853a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A7B2A7-B06F-42E7-896C-8F2EAE1F4D7E}">
  <ds:schemaRefs>
    <ds:schemaRef ds:uri="http://schemas.microsoft.com/office/2006/metadata/properties"/>
    <ds:schemaRef ds:uri="http://www.w3.org/2000/xmlns/"/>
    <ds:schemaRef ds:uri="b1ea0030-cd08-4d65-89ca-3ea93a73ad23"/>
    <ds:schemaRef ds:uri="http://schemas.microsoft.com/office/infopath/2007/PartnerControls"/>
  </ds:schemaRefs>
</ds:datastoreItem>
</file>

<file path=customXml/itemProps2.xml><?xml version="1.0" encoding="utf-8"?>
<ds:datastoreItem xmlns:ds="http://schemas.openxmlformats.org/officeDocument/2006/customXml" ds:itemID="{3F654F86-DE44-47F9-ADE8-E18DA225739D}">
  <ds:schemaRefs>
    <ds:schemaRef ds:uri="http://schemas.microsoft.com/sharepoint/v3/contenttype/forms"/>
  </ds:schemaRefs>
</ds:datastoreItem>
</file>

<file path=customXml/itemProps3.xml><?xml version="1.0" encoding="utf-8"?>
<ds:datastoreItem xmlns:ds="http://schemas.openxmlformats.org/officeDocument/2006/customXml" ds:itemID="{FDCD7B51-6FC7-4A21-BB90-E9C5D19993AD}">
  <ds:schemaRefs>
    <ds:schemaRef ds:uri="http://schemas.microsoft.com/office/2006/metadata/contentType"/>
    <ds:schemaRef ds:uri="http://schemas.microsoft.com/office/2006/metadata/properties/metaAttributes"/>
    <ds:schemaRef ds:uri="http://www.w3.org/2000/xmlns/"/>
    <ds:schemaRef ds:uri="http://www.w3.org/2001/XMLSchema"/>
    <ds:schemaRef ds:uri="b1ea0030-cd08-4d65-89ca-3ea93a73ad23"/>
    <ds:schemaRef ds:uri="7f713ea1-dd2f-4761-9844-42c972d853ab"/>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2545</Words>
  <Characters>14511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Stacy Fox</dc:creator>
  <cp:keywords/>
  <dc:description/>
  <cp:lastModifiedBy>Stacy Fox</cp:lastModifiedBy>
  <cp:revision>38</cp:revision>
  <dcterms:created xsi:type="dcterms:W3CDTF">2025-05-31T16:17:00Z</dcterms:created>
  <dcterms:modified xsi:type="dcterms:W3CDTF">2025-06-10T17:45:00Z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0x010100CB53B57E8814894AA1506BB9C6838E40</vt:lpwstr>
  </property>
  <property fmtid="{D5CDD505-2E9C-101B-9397-08002B2CF9AE}" pid="3" name="MediaServiceImageTags">
    <vt:lpwstr/>
  </property>
</Properties>
</file>