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7392" w14:textId="7E4839E5" w:rsidR="0049408B" w:rsidRPr="00AC3307" w:rsidRDefault="0049408B" w:rsidP="0049408B">
      <w:pPr>
        <w:spacing w:after="240" w:line="240" w:lineRule="auto"/>
        <w:ind w:right="-270"/>
        <w:rPr>
          <w:rFonts w:ascii="Arial" w:eastAsia="Times New Roman" w:hAnsi="Arial" w:cs="Arial"/>
          <w:kern w:val="0"/>
          <w:sz w:val="22"/>
          <w:szCs w:val="22"/>
          <w14:ligatures w14:val="none"/>
        </w:rPr>
      </w:pPr>
      <w:r w:rsidRPr="00AC3307">
        <w:rPr>
          <w:rFonts w:ascii="Arial" w:eastAsia="Times New Roman" w:hAnsi="Arial" w:cs="Arial"/>
          <w:color w:val="000000"/>
          <w:kern w:val="0"/>
          <w:sz w:val="22"/>
          <w:szCs w:val="22"/>
          <w14:ligatures w14:val="none"/>
        </w:rPr>
        <w:t>June 16, 2025</w:t>
      </w:r>
    </w:p>
    <w:p w14:paraId="4B95864C" w14:textId="77777777" w:rsidR="0049408B" w:rsidRPr="00AC3307" w:rsidRDefault="0049408B" w:rsidP="0049408B">
      <w:pPr>
        <w:spacing w:after="0" w:line="240" w:lineRule="auto"/>
        <w:ind w:right="-270"/>
        <w:rPr>
          <w:rFonts w:ascii="Arial" w:eastAsia="Times New Roman" w:hAnsi="Arial" w:cs="Arial"/>
          <w:kern w:val="0"/>
          <w:sz w:val="22"/>
          <w:szCs w:val="22"/>
          <w14:ligatures w14:val="none"/>
        </w:rPr>
      </w:pPr>
      <w:r w:rsidRPr="00AC3307">
        <w:rPr>
          <w:rFonts w:ascii="Arial" w:eastAsia="Times New Roman" w:hAnsi="Arial" w:cs="Arial"/>
          <w:color w:val="000000"/>
          <w:kern w:val="0"/>
          <w:sz w:val="22"/>
          <w:szCs w:val="22"/>
          <w14:ligatures w14:val="none"/>
        </w:rPr>
        <w:t>Mehmet Oz, M.D.</w:t>
      </w:r>
    </w:p>
    <w:p w14:paraId="424DFEC8" w14:textId="77777777" w:rsidR="0049408B" w:rsidRPr="00AC3307" w:rsidRDefault="0049408B" w:rsidP="0049408B">
      <w:pPr>
        <w:spacing w:after="0" w:line="240" w:lineRule="auto"/>
        <w:ind w:right="-270"/>
        <w:rPr>
          <w:rFonts w:ascii="Arial" w:eastAsia="Times New Roman" w:hAnsi="Arial" w:cs="Arial"/>
          <w:kern w:val="0"/>
          <w:sz w:val="22"/>
          <w:szCs w:val="22"/>
          <w14:ligatures w14:val="none"/>
        </w:rPr>
      </w:pPr>
      <w:r w:rsidRPr="00AC3307">
        <w:rPr>
          <w:rFonts w:ascii="Arial" w:eastAsia="Times New Roman" w:hAnsi="Arial" w:cs="Arial"/>
          <w:color w:val="000000"/>
          <w:kern w:val="0"/>
          <w:sz w:val="22"/>
          <w:szCs w:val="22"/>
          <w14:ligatures w14:val="none"/>
        </w:rPr>
        <w:t>Administrator, Centers for Medicare &amp; Medicaid Services</w:t>
      </w:r>
    </w:p>
    <w:p w14:paraId="45340B15" w14:textId="77777777" w:rsidR="0049408B" w:rsidRPr="00AC3307" w:rsidRDefault="0049408B" w:rsidP="0049408B">
      <w:pPr>
        <w:spacing w:after="0" w:line="240" w:lineRule="auto"/>
        <w:ind w:right="-270"/>
        <w:rPr>
          <w:rFonts w:ascii="Arial" w:eastAsia="Times New Roman" w:hAnsi="Arial" w:cs="Arial"/>
          <w:kern w:val="0"/>
          <w:sz w:val="22"/>
          <w:szCs w:val="22"/>
          <w14:ligatures w14:val="none"/>
        </w:rPr>
      </w:pPr>
      <w:r w:rsidRPr="00AC3307">
        <w:rPr>
          <w:rFonts w:ascii="Arial" w:eastAsia="Times New Roman" w:hAnsi="Arial" w:cs="Arial"/>
          <w:color w:val="000000"/>
          <w:kern w:val="0"/>
          <w:sz w:val="22"/>
          <w:szCs w:val="22"/>
          <w14:ligatures w14:val="none"/>
        </w:rPr>
        <w:t>U.S. Department of Health and Human Services</w:t>
      </w:r>
    </w:p>
    <w:p w14:paraId="789A08F4" w14:textId="77777777" w:rsidR="0049408B" w:rsidRPr="00AC3307" w:rsidRDefault="0049408B" w:rsidP="0049408B">
      <w:pPr>
        <w:spacing w:after="0" w:line="240" w:lineRule="auto"/>
        <w:ind w:right="-270"/>
        <w:rPr>
          <w:rFonts w:ascii="Arial" w:eastAsia="Times New Roman" w:hAnsi="Arial" w:cs="Arial"/>
          <w:kern w:val="0"/>
          <w:sz w:val="22"/>
          <w:szCs w:val="22"/>
          <w14:ligatures w14:val="none"/>
        </w:rPr>
      </w:pPr>
      <w:r w:rsidRPr="00AC3307">
        <w:rPr>
          <w:rFonts w:ascii="Arial" w:eastAsia="Times New Roman" w:hAnsi="Arial" w:cs="Arial"/>
          <w:color w:val="000000"/>
          <w:kern w:val="0"/>
          <w:sz w:val="22"/>
          <w:szCs w:val="22"/>
          <w14:ligatures w14:val="none"/>
        </w:rPr>
        <w:t>7500 Security Boulevard</w:t>
      </w:r>
    </w:p>
    <w:p w14:paraId="48568129" w14:textId="77777777" w:rsidR="0049408B" w:rsidRPr="00AC3307" w:rsidRDefault="0049408B" w:rsidP="0049408B">
      <w:pPr>
        <w:spacing w:after="0" w:line="240" w:lineRule="auto"/>
        <w:ind w:right="-270"/>
        <w:rPr>
          <w:rFonts w:ascii="Arial" w:eastAsia="Times New Roman" w:hAnsi="Arial" w:cs="Arial"/>
          <w:kern w:val="0"/>
          <w:sz w:val="22"/>
          <w:szCs w:val="22"/>
          <w14:ligatures w14:val="none"/>
        </w:rPr>
      </w:pPr>
      <w:r w:rsidRPr="00AC3307">
        <w:rPr>
          <w:rFonts w:ascii="Arial" w:eastAsia="Times New Roman" w:hAnsi="Arial" w:cs="Arial"/>
          <w:color w:val="000000"/>
          <w:kern w:val="0"/>
          <w:sz w:val="22"/>
          <w:szCs w:val="22"/>
          <w14:ligatures w14:val="none"/>
        </w:rPr>
        <w:t>Baltimore, MD 21244</w:t>
      </w:r>
    </w:p>
    <w:p w14:paraId="39A5D9F0" w14:textId="77777777" w:rsidR="0049408B" w:rsidRPr="00AC3307" w:rsidRDefault="0049408B" w:rsidP="0049408B">
      <w:pPr>
        <w:spacing w:after="0" w:line="240" w:lineRule="auto"/>
        <w:rPr>
          <w:rFonts w:ascii="Arial" w:eastAsia="Times New Roman" w:hAnsi="Arial" w:cs="Arial"/>
          <w:kern w:val="0"/>
          <w:sz w:val="22"/>
          <w:szCs w:val="22"/>
          <w14:ligatures w14:val="none"/>
        </w:rPr>
      </w:pPr>
    </w:p>
    <w:p w14:paraId="2AA69013" w14:textId="77777777" w:rsidR="0049408B" w:rsidRPr="00AC3307" w:rsidRDefault="0049408B" w:rsidP="0049408B">
      <w:pPr>
        <w:spacing w:after="240" w:line="240" w:lineRule="auto"/>
        <w:ind w:right="-270"/>
        <w:rPr>
          <w:rFonts w:ascii="Arial" w:eastAsia="Times New Roman" w:hAnsi="Arial" w:cs="Arial"/>
          <w:color w:val="000000"/>
          <w:kern w:val="0"/>
          <w:sz w:val="22"/>
          <w:szCs w:val="22"/>
          <w14:ligatures w14:val="none"/>
        </w:rPr>
      </w:pPr>
      <w:r w:rsidRPr="00AC3307">
        <w:rPr>
          <w:rFonts w:ascii="Arial" w:eastAsia="Times New Roman" w:hAnsi="Arial" w:cs="Arial"/>
          <w:color w:val="000000"/>
          <w:kern w:val="0"/>
          <w:sz w:val="22"/>
          <w:szCs w:val="22"/>
          <w14:ligatures w14:val="none"/>
        </w:rPr>
        <w:t>Dear Administrator Oz,</w:t>
      </w:r>
    </w:p>
    <w:p w14:paraId="488CCD68" w14:textId="7ADB36B9" w:rsidR="00ED6E27" w:rsidRPr="00AC3307" w:rsidRDefault="00ED6E27" w:rsidP="00ED6E27">
      <w:pPr>
        <w:pStyle w:val="NoSpacing"/>
        <w:rPr>
          <w:rFonts w:ascii="Arial" w:eastAsia="Arial" w:hAnsi="Arial" w:cs="Arial"/>
        </w:rPr>
      </w:pPr>
      <w:r w:rsidRPr="00AC3307">
        <w:rPr>
          <w:rFonts w:ascii="Arial" w:eastAsia="Arial" w:hAnsi="Arial" w:cs="Arial"/>
        </w:rPr>
        <w:t xml:space="preserve">On behalf of Greenway Health, LLC (“Greenway”), we appreciate the opportunity to respond to consideration by the Centers for Medicare &amp; Medicaid Services (“CMS”) on its </w:t>
      </w:r>
      <w:hyperlink r:id="rId7" w:history="1">
        <w:r w:rsidR="00566B3E" w:rsidRPr="00AC3307">
          <w:rPr>
            <w:rStyle w:val="Hyperlink"/>
            <w:rFonts w:ascii="Arial" w:hAnsi="Arial" w:cs="Arial"/>
          </w:rPr>
          <w:t>Request for Information; Health Technology Ecosystem</w:t>
        </w:r>
      </w:hyperlink>
      <w:r w:rsidR="00566B3E" w:rsidRPr="00AC3307">
        <w:rPr>
          <w:rFonts w:ascii="Arial" w:hAnsi="Arial" w:cs="Arial"/>
        </w:rPr>
        <w:t xml:space="preserve">, published in the Federal Register </w:t>
      </w:r>
      <w:r w:rsidR="002741B7" w:rsidRPr="00AC3307">
        <w:rPr>
          <w:rFonts w:ascii="Arial" w:hAnsi="Arial" w:cs="Arial"/>
        </w:rPr>
        <w:t>May 16, 2025.</w:t>
      </w:r>
      <w:r w:rsidRPr="00AC3307">
        <w:rPr>
          <w:rFonts w:ascii="Arial" w:eastAsia="Arial" w:hAnsi="Arial" w:cs="Arial"/>
        </w:rPr>
        <w:t xml:space="preserve"> </w:t>
      </w:r>
    </w:p>
    <w:p w14:paraId="5CB0E792" w14:textId="77777777" w:rsidR="00ED6E27" w:rsidRPr="00AC3307" w:rsidRDefault="00ED6E27" w:rsidP="00ED6E27">
      <w:pPr>
        <w:pStyle w:val="NoSpacing"/>
        <w:rPr>
          <w:rFonts w:ascii="Arial" w:eastAsia="Arial" w:hAnsi="Arial" w:cs="Arial"/>
        </w:rPr>
      </w:pPr>
    </w:p>
    <w:p w14:paraId="09B0AF3F" w14:textId="1FDBAEC1" w:rsidR="00ED6E27" w:rsidRPr="00AC3307" w:rsidRDefault="00ED6E27" w:rsidP="00ED6E27">
      <w:pPr>
        <w:rPr>
          <w:rFonts w:ascii="Arial" w:eastAsia="Arial" w:hAnsi="Arial" w:cs="Arial"/>
          <w:sz w:val="22"/>
          <w:szCs w:val="22"/>
        </w:rPr>
      </w:pPr>
      <w:r w:rsidRPr="00AC3307">
        <w:rPr>
          <w:rFonts w:ascii="Arial" w:eastAsia="Arial" w:hAnsi="Arial" w:cs="Arial"/>
          <w:sz w:val="22"/>
          <w:szCs w:val="22"/>
        </w:rPr>
        <w:t xml:space="preserve">Greenway’s </w:t>
      </w:r>
      <w:r w:rsidR="002741B7" w:rsidRPr="00AC3307">
        <w:rPr>
          <w:rFonts w:ascii="Arial" w:eastAsia="Arial" w:hAnsi="Arial" w:cs="Arial"/>
          <w:sz w:val="22"/>
          <w:szCs w:val="22"/>
        </w:rPr>
        <w:t>electronic health record (“EHR”)</w:t>
      </w:r>
      <w:r w:rsidRPr="00AC3307">
        <w:rPr>
          <w:rFonts w:ascii="Arial" w:eastAsia="Arial" w:hAnsi="Arial" w:cs="Arial"/>
          <w:sz w:val="22"/>
          <w:szCs w:val="22"/>
        </w:rPr>
        <w:t xml:space="preserve"> software and services connect providers to the right information and insights so they can make patient-driven care a reality. Our team of trusted clinical, financial and technology experts is committed to keeping people healthier and happier. Greenway partners with organizations and progressive providers across multiple specialties, which translates into millions of lives touched daily by our solutions. </w:t>
      </w:r>
    </w:p>
    <w:p w14:paraId="60F6F6CF" w14:textId="0B90A2D3" w:rsidR="00587067" w:rsidRPr="00AC3307" w:rsidRDefault="002741B7" w:rsidP="008017A7">
      <w:pPr>
        <w:rPr>
          <w:rFonts w:ascii="Arial" w:eastAsia="Arial" w:hAnsi="Arial" w:cs="Arial"/>
          <w:sz w:val="22"/>
          <w:szCs w:val="22"/>
        </w:rPr>
      </w:pPr>
      <w:r w:rsidRPr="00AC3307">
        <w:rPr>
          <w:rFonts w:ascii="Arial" w:eastAsia="Arial" w:hAnsi="Arial" w:cs="Arial"/>
          <w:sz w:val="22"/>
          <w:szCs w:val="22"/>
        </w:rPr>
        <w:t xml:space="preserve">As a vendor </w:t>
      </w:r>
      <w:r w:rsidR="00C9209B" w:rsidRPr="00AC3307">
        <w:rPr>
          <w:rFonts w:ascii="Arial" w:eastAsia="Arial" w:hAnsi="Arial" w:cs="Arial"/>
          <w:sz w:val="22"/>
          <w:szCs w:val="22"/>
        </w:rPr>
        <w:t>to</w:t>
      </w:r>
      <w:r w:rsidRPr="00AC3307">
        <w:rPr>
          <w:rFonts w:ascii="Arial" w:eastAsia="Arial" w:hAnsi="Arial" w:cs="Arial"/>
          <w:sz w:val="22"/>
          <w:szCs w:val="22"/>
        </w:rPr>
        <w:t xml:space="preserve"> predominantly small to medium ambulatory provider practices, as well as Federally Qualified Health Centers and Rural Health Centers, we appreciate CMS’ diligence in ensuring that these organizations </w:t>
      </w:r>
      <w:r w:rsidR="008017A7" w:rsidRPr="00AC3307">
        <w:rPr>
          <w:rFonts w:ascii="Arial" w:eastAsia="Arial" w:hAnsi="Arial" w:cs="Arial"/>
          <w:sz w:val="22"/>
          <w:szCs w:val="22"/>
        </w:rPr>
        <w:t>are represented in the broader discussions regarding the health technology landscape.</w:t>
      </w:r>
    </w:p>
    <w:p w14:paraId="12DC25CA" w14:textId="739526F5" w:rsidR="008017A7" w:rsidRPr="00AC3307" w:rsidRDefault="00B0269A" w:rsidP="008017A7">
      <w:pPr>
        <w:rPr>
          <w:rFonts w:ascii="Arial" w:eastAsia="Arial" w:hAnsi="Arial" w:cs="Arial"/>
          <w:sz w:val="22"/>
          <w:szCs w:val="22"/>
        </w:rPr>
      </w:pPr>
      <w:r w:rsidRPr="00AC3307">
        <w:rPr>
          <w:rFonts w:ascii="Arial" w:eastAsia="Arial" w:hAnsi="Arial" w:cs="Arial"/>
          <w:sz w:val="22"/>
          <w:szCs w:val="22"/>
        </w:rPr>
        <w:t xml:space="preserve">As a regulated EHR, </w:t>
      </w:r>
      <w:r w:rsidR="008017A7" w:rsidRPr="00AC3307">
        <w:rPr>
          <w:rFonts w:ascii="Arial" w:eastAsia="Arial" w:hAnsi="Arial" w:cs="Arial"/>
          <w:sz w:val="22"/>
          <w:szCs w:val="22"/>
        </w:rPr>
        <w:t>Greenway Health</w:t>
      </w:r>
      <w:r w:rsidRPr="00AC3307">
        <w:rPr>
          <w:rFonts w:ascii="Arial" w:eastAsia="Arial" w:hAnsi="Arial" w:cs="Arial"/>
          <w:sz w:val="22"/>
          <w:szCs w:val="22"/>
        </w:rPr>
        <w:t xml:space="preserve"> is regulated by and adheres to the certification requirements </w:t>
      </w:r>
      <w:r w:rsidR="00A36A58" w:rsidRPr="00AC3307">
        <w:rPr>
          <w:rFonts w:ascii="Arial" w:eastAsia="Arial" w:hAnsi="Arial" w:cs="Arial"/>
          <w:sz w:val="22"/>
          <w:szCs w:val="22"/>
        </w:rPr>
        <w:t xml:space="preserve">developed by the Assistant Secretary for Technology Policy/Office of the National Coordinator for Health IT. We appreciate CMS and ASTP/ONC’s combined efforts in developing this RFI and the ongoing collaboration and cooperation between the two agencies to strike the balance between the vendor and provider community needs and </w:t>
      </w:r>
      <w:r w:rsidR="00BF7105" w:rsidRPr="00AC3307">
        <w:rPr>
          <w:rFonts w:ascii="Arial" w:eastAsia="Arial" w:hAnsi="Arial" w:cs="Arial"/>
          <w:sz w:val="22"/>
          <w:szCs w:val="22"/>
        </w:rPr>
        <w:t>requirements.</w:t>
      </w:r>
    </w:p>
    <w:p w14:paraId="40B1E549" w14:textId="10DDD5FE" w:rsidR="00BF7105" w:rsidRPr="00AC3307" w:rsidRDefault="00BF7105" w:rsidP="008017A7">
      <w:pPr>
        <w:rPr>
          <w:rFonts w:ascii="Arial" w:eastAsia="Arial" w:hAnsi="Arial" w:cs="Arial"/>
          <w:sz w:val="22"/>
          <w:szCs w:val="22"/>
        </w:rPr>
      </w:pPr>
      <w:r w:rsidRPr="00AC3307">
        <w:rPr>
          <w:rFonts w:ascii="Arial" w:eastAsia="Arial" w:hAnsi="Arial" w:cs="Arial"/>
          <w:sz w:val="22"/>
          <w:szCs w:val="22"/>
        </w:rPr>
        <w:t xml:space="preserve">Our comments to this RFI </w:t>
      </w:r>
      <w:r w:rsidR="007A22EB" w:rsidRPr="00AC3307">
        <w:rPr>
          <w:rFonts w:ascii="Arial" w:eastAsia="Arial" w:hAnsi="Arial" w:cs="Arial"/>
          <w:sz w:val="22"/>
          <w:szCs w:val="22"/>
        </w:rPr>
        <w:t>encompass three buckets of areas that impact Greenway and its customers, as well as impact</w:t>
      </w:r>
      <w:r w:rsidR="00631D34" w:rsidRPr="00AC3307">
        <w:rPr>
          <w:rFonts w:ascii="Arial" w:eastAsia="Arial" w:hAnsi="Arial" w:cs="Arial"/>
          <w:sz w:val="22"/>
          <w:szCs w:val="22"/>
        </w:rPr>
        <w:t xml:space="preserve"> the future of the health IT ecosystem as a whole: </w:t>
      </w:r>
      <w:r w:rsidR="00B61B99" w:rsidRPr="00AC3307">
        <w:rPr>
          <w:rFonts w:ascii="Arial" w:eastAsia="Arial" w:hAnsi="Arial" w:cs="Arial"/>
          <w:sz w:val="22"/>
          <w:szCs w:val="22"/>
        </w:rPr>
        <w:t>q</w:t>
      </w:r>
      <w:r w:rsidR="00631D34" w:rsidRPr="00AC3307">
        <w:rPr>
          <w:rFonts w:ascii="Arial" w:eastAsia="Arial" w:hAnsi="Arial" w:cs="Arial"/>
          <w:sz w:val="22"/>
          <w:szCs w:val="22"/>
        </w:rPr>
        <w:t xml:space="preserve">uality </w:t>
      </w:r>
      <w:r w:rsidR="00B61B99" w:rsidRPr="00AC3307">
        <w:rPr>
          <w:rFonts w:ascii="Arial" w:eastAsia="Arial" w:hAnsi="Arial" w:cs="Arial"/>
          <w:sz w:val="22"/>
          <w:szCs w:val="22"/>
        </w:rPr>
        <w:t>m</w:t>
      </w:r>
      <w:r w:rsidR="00631D34" w:rsidRPr="00AC3307">
        <w:rPr>
          <w:rFonts w:ascii="Arial" w:eastAsia="Arial" w:hAnsi="Arial" w:cs="Arial"/>
          <w:sz w:val="22"/>
          <w:szCs w:val="22"/>
        </w:rPr>
        <w:t xml:space="preserve">easurement, </w:t>
      </w:r>
      <w:r w:rsidR="00B61B99" w:rsidRPr="00AC3307">
        <w:rPr>
          <w:rFonts w:ascii="Arial" w:eastAsia="Arial" w:hAnsi="Arial" w:cs="Arial"/>
          <w:sz w:val="22"/>
          <w:szCs w:val="22"/>
        </w:rPr>
        <w:t>s</w:t>
      </w:r>
      <w:r w:rsidR="002C1B22" w:rsidRPr="00AC3307">
        <w:rPr>
          <w:rFonts w:ascii="Arial" w:eastAsia="Arial" w:hAnsi="Arial" w:cs="Arial"/>
          <w:sz w:val="22"/>
          <w:szCs w:val="22"/>
        </w:rPr>
        <w:t>tandards</w:t>
      </w:r>
      <w:r w:rsidR="00B61B99" w:rsidRPr="00AC3307">
        <w:rPr>
          <w:rFonts w:ascii="Arial" w:eastAsia="Arial" w:hAnsi="Arial" w:cs="Arial"/>
          <w:sz w:val="22"/>
          <w:szCs w:val="22"/>
        </w:rPr>
        <w:t xml:space="preserve"> &amp; i</w:t>
      </w:r>
      <w:r w:rsidR="00093648" w:rsidRPr="00AC3307">
        <w:rPr>
          <w:rFonts w:ascii="Arial" w:eastAsia="Arial" w:hAnsi="Arial" w:cs="Arial"/>
          <w:sz w:val="22"/>
          <w:szCs w:val="22"/>
        </w:rPr>
        <w:t>nteroperability</w:t>
      </w:r>
      <w:r w:rsidR="00B61B99" w:rsidRPr="00AC3307">
        <w:rPr>
          <w:rFonts w:ascii="Arial" w:eastAsia="Arial" w:hAnsi="Arial" w:cs="Arial"/>
          <w:sz w:val="22"/>
          <w:szCs w:val="22"/>
        </w:rPr>
        <w:t>, and health IT capabilities for value-based care.</w:t>
      </w:r>
    </w:p>
    <w:p w14:paraId="29E62566" w14:textId="23EFCE3F" w:rsidR="00093648" w:rsidRPr="00AC3307" w:rsidRDefault="00093648" w:rsidP="008017A7">
      <w:pPr>
        <w:rPr>
          <w:rFonts w:ascii="Arial" w:eastAsia="Times New Roman" w:hAnsi="Arial" w:cs="Arial"/>
          <w:b/>
          <w:bCs/>
          <w:kern w:val="0"/>
          <w:sz w:val="22"/>
          <w:szCs w:val="22"/>
          <w14:ligatures w14:val="none"/>
        </w:rPr>
      </w:pPr>
      <w:r w:rsidRPr="00AC3307">
        <w:rPr>
          <w:rFonts w:ascii="Arial" w:eastAsia="Arial" w:hAnsi="Arial" w:cs="Arial"/>
          <w:b/>
          <w:bCs/>
          <w:sz w:val="22"/>
          <w:szCs w:val="22"/>
        </w:rPr>
        <w:t>Quality Measurement</w:t>
      </w:r>
    </w:p>
    <w:p w14:paraId="5AEE5C8D" w14:textId="77777777" w:rsidR="000D41F8" w:rsidRPr="00AC3307" w:rsidRDefault="000D41F8" w:rsidP="000D41F8">
      <w:pPr>
        <w:rPr>
          <w:rFonts w:ascii="Arial" w:hAnsi="Arial" w:cs="Arial"/>
          <w:sz w:val="22"/>
          <w:szCs w:val="22"/>
        </w:rPr>
      </w:pPr>
      <w:r w:rsidRPr="00AC3307">
        <w:rPr>
          <w:rFonts w:ascii="Arial" w:hAnsi="Arial" w:cs="Arial"/>
          <w:sz w:val="22"/>
          <w:szCs w:val="22"/>
        </w:rPr>
        <w:t>From a health IT perspective, frequent updates to quality measures and workflow expectations, often with limited implementation timelines, create challenges for development and adoption. More predictable schedules and alignment across programs would help vendors build sustainable, usable solutions that providers can effectively integrate into care delivery.</w:t>
      </w:r>
    </w:p>
    <w:p w14:paraId="3CA93C2C" w14:textId="77777777" w:rsidR="002C1B22" w:rsidRPr="00AC3307" w:rsidRDefault="002C1B22" w:rsidP="002C1B22">
      <w:pPr>
        <w:rPr>
          <w:rFonts w:ascii="Arial" w:hAnsi="Arial" w:cs="Arial"/>
          <w:i/>
          <w:iCs/>
          <w:sz w:val="22"/>
          <w:szCs w:val="22"/>
        </w:rPr>
      </w:pPr>
      <w:r w:rsidRPr="00AC3307">
        <w:rPr>
          <w:rFonts w:ascii="Arial" w:hAnsi="Arial" w:cs="Arial"/>
          <w:i/>
          <w:iCs/>
          <w:sz w:val="22"/>
          <w:szCs w:val="22"/>
        </w:rPr>
        <w:t>PR-8. What are ways CMS or partners can help with simplifying clinical quality data responsibilities of providers?</w:t>
      </w:r>
    </w:p>
    <w:p w14:paraId="4376295E" w14:textId="5C96518C" w:rsidR="002C1B22" w:rsidRPr="00AC3307" w:rsidRDefault="00895378" w:rsidP="002C1B22">
      <w:pPr>
        <w:rPr>
          <w:rFonts w:ascii="Arial" w:hAnsi="Arial" w:cs="Arial"/>
          <w:sz w:val="22"/>
          <w:szCs w:val="22"/>
        </w:rPr>
      </w:pPr>
      <w:r w:rsidRPr="00AC3307">
        <w:rPr>
          <w:rFonts w:ascii="Arial" w:hAnsi="Arial" w:cs="Arial"/>
          <w:sz w:val="22"/>
          <w:szCs w:val="22"/>
        </w:rPr>
        <w:t xml:space="preserve">As Greenway has long advocated, simplifying </w:t>
      </w:r>
      <w:r w:rsidR="002C1B22" w:rsidRPr="00AC3307">
        <w:rPr>
          <w:rFonts w:ascii="Arial" w:hAnsi="Arial" w:cs="Arial"/>
          <w:sz w:val="22"/>
          <w:szCs w:val="22"/>
        </w:rPr>
        <w:t xml:space="preserve">clinical quality reporting </w:t>
      </w:r>
      <w:r w:rsidR="00CA43FE" w:rsidRPr="00AC3307">
        <w:rPr>
          <w:rFonts w:ascii="Arial" w:hAnsi="Arial" w:cs="Arial"/>
          <w:sz w:val="22"/>
          <w:szCs w:val="22"/>
        </w:rPr>
        <w:t xml:space="preserve">by </w:t>
      </w:r>
      <w:r w:rsidR="002C1B22" w:rsidRPr="00AC3307">
        <w:rPr>
          <w:rFonts w:ascii="Arial" w:hAnsi="Arial" w:cs="Arial"/>
          <w:sz w:val="22"/>
          <w:szCs w:val="22"/>
        </w:rPr>
        <w:t>reducing duplication across programs</w:t>
      </w:r>
      <w:r w:rsidR="00CA43FE" w:rsidRPr="00AC3307">
        <w:rPr>
          <w:rFonts w:ascii="Arial" w:hAnsi="Arial" w:cs="Arial"/>
          <w:sz w:val="22"/>
          <w:szCs w:val="22"/>
        </w:rPr>
        <w:t xml:space="preserve"> would be a long-awaited development for providers and developers</w:t>
      </w:r>
      <w:r w:rsidR="002C1B22" w:rsidRPr="00AC3307">
        <w:rPr>
          <w:rFonts w:ascii="Arial" w:hAnsi="Arial" w:cs="Arial"/>
          <w:sz w:val="22"/>
          <w:szCs w:val="22"/>
        </w:rPr>
        <w:t xml:space="preserve">. Alignment </w:t>
      </w:r>
      <w:r w:rsidR="001E04AB" w:rsidRPr="00AC3307">
        <w:rPr>
          <w:rFonts w:ascii="Arial" w:hAnsi="Arial" w:cs="Arial"/>
          <w:sz w:val="22"/>
          <w:szCs w:val="22"/>
        </w:rPr>
        <w:lastRenderedPageBreak/>
        <w:t xml:space="preserve">and consolidation </w:t>
      </w:r>
      <w:r w:rsidR="002C1B22" w:rsidRPr="00AC3307">
        <w:rPr>
          <w:rFonts w:ascii="Arial" w:hAnsi="Arial" w:cs="Arial"/>
          <w:sz w:val="22"/>
          <w:szCs w:val="22"/>
        </w:rPr>
        <w:t>across programs on specifications, data requirements, and submission methods will reduce burden and enable shared infrastructure investments.</w:t>
      </w:r>
    </w:p>
    <w:p w14:paraId="21FBAB37" w14:textId="76CDDC8F" w:rsidR="003B427E" w:rsidRPr="00AC3307" w:rsidRDefault="003B427E" w:rsidP="003B427E">
      <w:pPr>
        <w:rPr>
          <w:rFonts w:ascii="Arial" w:hAnsi="Arial" w:cs="Arial"/>
          <w:sz w:val="22"/>
          <w:szCs w:val="22"/>
        </w:rPr>
      </w:pPr>
      <w:r w:rsidRPr="00AC3307">
        <w:rPr>
          <w:rFonts w:ascii="Arial" w:hAnsi="Arial" w:cs="Arial"/>
          <w:sz w:val="22"/>
          <w:szCs w:val="22"/>
        </w:rPr>
        <w:t>Greenway recommends focusing on a smaller set of core quality measures so stakeholders can more effectively test and refine the standards that support them. Aligning value sets, data collection methods, submission processes, and how measures are calculated would reduce unnecessary variation across programs and make reporting more efficient and reliable.</w:t>
      </w:r>
    </w:p>
    <w:p w14:paraId="34196CFC" w14:textId="1730013A" w:rsidR="002C1B22" w:rsidRPr="00AC3307" w:rsidRDefault="002C1B22" w:rsidP="000D41F8">
      <w:pPr>
        <w:rPr>
          <w:rFonts w:ascii="Arial" w:hAnsi="Arial" w:cs="Arial"/>
          <w:b/>
          <w:bCs/>
          <w:sz w:val="22"/>
          <w:szCs w:val="22"/>
        </w:rPr>
      </w:pPr>
      <w:r w:rsidRPr="00AC3307">
        <w:rPr>
          <w:rFonts w:ascii="Arial" w:hAnsi="Arial" w:cs="Arial"/>
          <w:b/>
          <w:bCs/>
          <w:sz w:val="22"/>
          <w:szCs w:val="22"/>
        </w:rPr>
        <w:t>Standards</w:t>
      </w:r>
      <w:r w:rsidR="00DE0BF1" w:rsidRPr="00AC3307">
        <w:rPr>
          <w:rFonts w:ascii="Arial" w:hAnsi="Arial" w:cs="Arial"/>
          <w:b/>
          <w:bCs/>
          <w:sz w:val="22"/>
          <w:szCs w:val="22"/>
        </w:rPr>
        <w:t xml:space="preserve"> and </w:t>
      </w:r>
      <w:r w:rsidRPr="00AC3307">
        <w:rPr>
          <w:rFonts w:ascii="Arial" w:hAnsi="Arial" w:cs="Arial"/>
          <w:b/>
          <w:bCs/>
          <w:sz w:val="22"/>
          <w:szCs w:val="22"/>
        </w:rPr>
        <w:t xml:space="preserve">Interoperability </w:t>
      </w:r>
    </w:p>
    <w:p w14:paraId="2272DB0B" w14:textId="78B126C9" w:rsidR="00352D8D" w:rsidRPr="00AC3307" w:rsidRDefault="00EA2B62" w:rsidP="002C1B22">
      <w:pPr>
        <w:rPr>
          <w:rFonts w:ascii="Arial" w:hAnsi="Arial" w:cs="Arial"/>
          <w:sz w:val="22"/>
          <w:szCs w:val="22"/>
        </w:rPr>
      </w:pPr>
      <w:r w:rsidRPr="00AC3307">
        <w:rPr>
          <w:rFonts w:ascii="Arial" w:hAnsi="Arial" w:cs="Arial"/>
          <w:sz w:val="22"/>
          <w:szCs w:val="22"/>
        </w:rPr>
        <w:t xml:space="preserve">CMS posits questions about technical barriers for exchanging health data across stakeholders. As the EHR Association notes in their comments, when considering the full </w:t>
      </w:r>
      <w:r w:rsidR="00051D46" w:rsidRPr="00AC3307">
        <w:rPr>
          <w:rFonts w:ascii="Arial" w:hAnsi="Arial" w:cs="Arial"/>
          <w:sz w:val="22"/>
          <w:szCs w:val="22"/>
        </w:rPr>
        <w:t>scope of Electronic Health Information (EHI), including externally referenced content, the technical barriers are significant. Much data in EHRs is unstructured or lacks standard mappings, limiting its usefulness in exchange. This is a universal challenge across care settings. Patient matching and identity resolution also remain persistent obstacles, even within standardized exchange frameworks.</w:t>
      </w:r>
    </w:p>
    <w:p w14:paraId="15314FAD" w14:textId="77777777" w:rsidR="00DE0BF1" w:rsidRPr="00AC3307" w:rsidRDefault="00DE0BF1" w:rsidP="00DE0BF1">
      <w:pPr>
        <w:rPr>
          <w:rFonts w:ascii="Arial" w:hAnsi="Arial" w:cs="Arial"/>
          <w:i/>
          <w:iCs/>
          <w:sz w:val="22"/>
          <w:szCs w:val="22"/>
        </w:rPr>
      </w:pPr>
      <w:r w:rsidRPr="00AC3307">
        <w:rPr>
          <w:rFonts w:ascii="Arial" w:hAnsi="Arial" w:cs="Arial"/>
          <w:i/>
          <w:iCs/>
          <w:sz w:val="22"/>
          <w:szCs w:val="22"/>
        </w:rPr>
        <w:t>PR-8a. What would be the benefits and downsides of using Bulk FHIR data exports from EHRs to CMS to simplify clinical quality data submissions? Can CMS reduce the burden on providers by performing quality metrics calculations leveraging Bulk FHIR data exports?</w:t>
      </w:r>
    </w:p>
    <w:p w14:paraId="1FCA6B27" w14:textId="5D0B3700" w:rsidR="00DE0BF1" w:rsidRPr="00AC3307" w:rsidRDefault="00AC742C" w:rsidP="00DE0BF1">
      <w:pPr>
        <w:rPr>
          <w:rFonts w:ascii="Arial" w:hAnsi="Arial" w:cs="Arial"/>
          <w:sz w:val="22"/>
          <w:szCs w:val="22"/>
        </w:rPr>
      </w:pPr>
      <w:r w:rsidRPr="00AC3307">
        <w:rPr>
          <w:rFonts w:ascii="Arial" w:hAnsi="Arial" w:cs="Arial"/>
          <w:sz w:val="22"/>
          <w:szCs w:val="22"/>
        </w:rPr>
        <w:t xml:space="preserve">EHRA notes that </w:t>
      </w:r>
      <w:r w:rsidR="00DE0BF1" w:rsidRPr="00AC3307">
        <w:rPr>
          <w:rFonts w:ascii="Arial" w:hAnsi="Arial" w:cs="Arial"/>
          <w:sz w:val="22"/>
          <w:szCs w:val="22"/>
        </w:rPr>
        <w:t>Bulk FHIR exports have the potential to shift reporting burdens away from providers, but deployment is still limited. While EHRs are certified to support Bulk FHIR, the lack of industry-wide use, incentives, and operational experience means that uptake remains low. CMS should focus on creating real-world use cases and policy drivers that compel adoption before expecting it to be a primary mechanism for quality reporting.</w:t>
      </w:r>
      <w:r w:rsidRPr="00AC3307">
        <w:rPr>
          <w:rFonts w:ascii="Arial" w:hAnsi="Arial" w:cs="Arial"/>
          <w:sz w:val="22"/>
          <w:szCs w:val="22"/>
        </w:rPr>
        <w:t xml:space="preserve"> Greenway would agree with this assessment.</w:t>
      </w:r>
    </w:p>
    <w:p w14:paraId="6FAC5FE3" w14:textId="78C8D4FE" w:rsidR="00C21231" w:rsidRPr="00AC3307" w:rsidRDefault="00C21231" w:rsidP="00C21231">
      <w:pPr>
        <w:rPr>
          <w:rFonts w:ascii="Arial" w:hAnsi="Arial" w:cs="Arial"/>
          <w:i/>
          <w:iCs/>
          <w:sz w:val="22"/>
          <w:szCs w:val="22"/>
        </w:rPr>
      </w:pPr>
      <w:r w:rsidRPr="00AC3307">
        <w:rPr>
          <w:rFonts w:ascii="Arial" w:hAnsi="Arial" w:cs="Arial"/>
          <w:i/>
          <w:iCs/>
          <w:sz w:val="22"/>
          <w:szCs w:val="22"/>
        </w:rPr>
        <w:t>PR-6. Is TEFCA currently helping to advance provider access to health information</w:t>
      </w:r>
      <w:r w:rsidR="00AC5932" w:rsidRPr="00AC3307">
        <w:rPr>
          <w:rFonts w:ascii="Arial" w:hAnsi="Arial" w:cs="Arial"/>
          <w:i/>
          <w:iCs/>
          <w:sz w:val="22"/>
          <w:szCs w:val="22"/>
        </w:rPr>
        <w:t>?</w:t>
      </w:r>
    </w:p>
    <w:p w14:paraId="07145FDE" w14:textId="606AB33B" w:rsidR="00C24705" w:rsidRPr="00AC3307" w:rsidRDefault="00C24705" w:rsidP="00C24705">
      <w:pPr>
        <w:rPr>
          <w:rFonts w:ascii="Arial" w:hAnsi="Arial" w:cs="Arial"/>
          <w:sz w:val="22"/>
          <w:szCs w:val="22"/>
        </w:rPr>
      </w:pPr>
      <w:r w:rsidRPr="00AC3307">
        <w:rPr>
          <w:rFonts w:ascii="Arial" w:hAnsi="Arial" w:cs="Arial"/>
          <w:sz w:val="22"/>
          <w:szCs w:val="22"/>
        </w:rPr>
        <w:t>Greenway believes that TEFCA marks a major advancement in facilitating provider access to health information by establishing a scalable and standardized framework. It holds the promise of bringing together stakeholders from healthcare, public health, research, and technology, fostering greater consistency and minimizing fragmentation.</w:t>
      </w:r>
    </w:p>
    <w:p w14:paraId="68AC2BBC" w14:textId="77777777" w:rsidR="00DE0BF1" w:rsidRPr="00AC3307" w:rsidRDefault="00DE0BF1" w:rsidP="00DE0BF1">
      <w:pPr>
        <w:rPr>
          <w:rFonts w:ascii="Arial" w:hAnsi="Arial" w:cs="Arial"/>
          <w:i/>
          <w:iCs/>
          <w:sz w:val="22"/>
          <w:szCs w:val="22"/>
        </w:rPr>
      </w:pPr>
      <w:r w:rsidRPr="00AC3307">
        <w:rPr>
          <w:rFonts w:ascii="Arial" w:hAnsi="Arial" w:cs="Arial"/>
          <w:i/>
          <w:iCs/>
          <w:sz w:val="22"/>
          <w:szCs w:val="22"/>
        </w:rPr>
        <w:t>TD-8. What are the most effective certification criteria and standards under the ONC Health IT Certification Program?</w:t>
      </w:r>
    </w:p>
    <w:p w14:paraId="3016AB35" w14:textId="7A5E6274" w:rsidR="00DE0BF1" w:rsidRPr="00AC3307" w:rsidRDefault="00AC742C" w:rsidP="00DE0BF1">
      <w:pPr>
        <w:rPr>
          <w:rFonts w:ascii="Arial" w:hAnsi="Arial" w:cs="Arial"/>
          <w:sz w:val="22"/>
          <w:szCs w:val="22"/>
        </w:rPr>
      </w:pPr>
      <w:r w:rsidRPr="00AC3307">
        <w:rPr>
          <w:rFonts w:ascii="Arial" w:hAnsi="Arial" w:cs="Arial"/>
          <w:sz w:val="22"/>
          <w:szCs w:val="22"/>
        </w:rPr>
        <w:t xml:space="preserve">Greenway points to several areas that the EHRA cited as effective </w:t>
      </w:r>
      <w:r w:rsidR="00171ABB" w:rsidRPr="00AC3307">
        <w:rPr>
          <w:rFonts w:ascii="Arial" w:hAnsi="Arial" w:cs="Arial"/>
          <w:sz w:val="22"/>
          <w:szCs w:val="22"/>
        </w:rPr>
        <w:t xml:space="preserve">standards and certification criteria below – this is representative of the health IT development community at large. </w:t>
      </w:r>
    </w:p>
    <w:p w14:paraId="70B2D6E9" w14:textId="36A19B7C" w:rsidR="00DE0BF1" w:rsidRPr="00AC3307" w:rsidRDefault="00171ABB" w:rsidP="00DE0BF1">
      <w:pPr>
        <w:numPr>
          <w:ilvl w:val="0"/>
          <w:numId w:val="1"/>
        </w:numPr>
        <w:rPr>
          <w:rFonts w:ascii="Arial" w:hAnsi="Arial" w:cs="Arial"/>
          <w:sz w:val="22"/>
          <w:szCs w:val="22"/>
        </w:rPr>
      </w:pPr>
      <w:r w:rsidRPr="00AC3307">
        <w:rPr>
          <w:rFonts w:ascii="Arial" w:hAnsi="Arial" w:cs="Arial"/>
          <w:sz w:val="22"/>
          <w:szCs w:val="22"/>
        </w:rPr>
        <w:t>“</w:t>
      </w:r>
      <w:r w:rsidR="00DE0BF1" w:rsidRPr="00AC3307">
        <w:rPr>
          <w:rFonts w:ascii="Arial" w:hAnsi="Arial" w:cs="Arial"/>
          <w:sz w:val="22"/>
          <w:szCs w:val="22"/>
        </w:rPr>
        <w:t>Privacy and Security (P&amp;S) criteria have been foundational, providing a consistent baseline for safeguarding health information and serving as the closest operational proxy to HIPAA Security Rule certification.</w:t>
      </w:r>
    </w:p>
    <w:p w14:paraId="17EB8D80" w14:textId="77777777" w:rsidR="00DE0BF1" w:rsidRPr="00AC3307" w:rsidRDefault="00DE0BF1" w:rsidP="00DE0BF1">
      <w:pPr>
        <w:numPr>
          <w:ilvl w:val="0"/>
          <w:numId w:val="1"/>
        </w:numPr>
        <w:rPr>
          <w:rFonts w:ascii="Arial" w:hAnsi="Arial" w:cs="Arial"/>
          <w:sz w:val="22"/>
          <w:szCs w:val="22"/>
        </w:rPr>
      </w:pPr>
      <w:r w:rsidRPr="00AC3307">
        <w:rPr>
          <w:rFonts w:ascii="Arial" w:hAnsi="Arial" w:cs="Arial"/>
          <w:sz w:val="22"/>
          <w:szCs w:val="22"/>
        </w:rPr>
        <w:t xml:space="preserve">C-CDA-based criteria and Direct messaging played a critical role in advancing early interoperability. However, as the industry shifts away from document-based exchange, </w:t>
      </w:r>
      <w:r w:rsidRPr="00AC3307">
        <w:rPr>
          <w:rFonts w:ascii="Arial" w:hAnsi="Arial" w:cs="Arial"/>
          <w:sz w:val="22"/>
          <w:szCs w:val="22"/>
        </w:rPr>
        <w:lastRenderedPageBreak/>
        <w:t>the program should focus on modernizing these criteria toward RESTful API-based exchange, particularly HL7 FHIR.</w:t>
      </w:r>
    </w:p>
    <w:p w14:paraId="42A02DDC" w14:textId="77777777" w:rsidR="00DE0BF1" w:rsidRPr="00AC3307" w:rsidRDefault="00DE0BF1" w:rsidP="00DE0BF1">
      <w:pPr>
        <w:numPr>
          <w:ilvl w:val="0"/>
          <w:numId w:val="1"/>
        </w:numPr>
        <w:rPr>
          <w:rFonts w:ascii="Arial" w:hAnsi="Arial" w:cs="Arial"/>
          <w:sz w:val="22"/>
          <w:szCs w:val="22"/>
        </w:rPr>
      </w:pPr>
      <w:r w:rsidRPr="00AC3307">
        <w:rPr>
          <w:rFonts w:ascii="Arial" w:hAnsi="Arial" w:cs="Arial"/>
          <w:sz w:val="22"/>
          <w:szCs w:val="22"/>
        </w:rPr>
        <w:t>Public health criteria, especially for immunization and electronic laboratory reporting, have supported scalable reporting infrastructure. However, their effectiveness is limited by the lack of reciprocal obligations on public health agencies (PHAs) to adhere to the same standards, which leads to fragmentation.</w:t>
      </w:r>
    </w:p>
    <w:p w14:paraId="25843DA2" w14:textId="77777777" w:rsidR="00DE0BF1" w:rsidRPr="00AC3307" w:rsidRDefault="00DE0BF1" w:rsidP="004B43F2">
      <w:pPr>
        <w:numPr>
          <w:ilvl w:val="0"/>
          <w:numId w:val="1"/>
        </w:numPr>
        <w:rPr>
          <w:rFonts w:ascii="Arial" w:hAnsi="Arial" w:cs="Arial"/>
          <w:sz w:val="22"/>
          <w:szCs w:val="22"/>
        </w:rPr>
      </w:pPr>
      <w:r w:rsidRPr="00AC3307">
        <w:rPr>
          <w:rFonts w:ascii="Arial" w:hAnsi="Arial" w:cs="Arial"/>
          <w:sz w:val="22"/>
          <w:szCs w:val="22"/>
        </w:rPr>
        <w:t>In recent years, FHIR API criteria, including patient and population services, have been among the most impactful, supporting ecosystem-wide data access, app development, and alignment with CMS programs.</w:t>
      </w:r>
    </w:p>
    <w:p w14:paraId="694A899C" w14:textId="62028D0D" w:rsidR="00DE0BF1" w:rsidRPr="00AC3307" w:rsidRDefault="00DE0BF1" w:rsidP="00DE0BF1">
      <w:pPr>
        <w:rPr>
          <w:rFonts w:ascii="Arial" w:hAnsi="Arial" w:cs="Arial"/>
          <w:sz w:val="22"/>
          <w:szCs w:val="22"/>
        </w:rPr>
      </w:pPr>
      <w:r w:rsidRPr="00AC3307">
        <w:rPr>
          <w:rFonts w:ascii="Arial" w:hAnsi="Arial" w:cs="Arial"/>
          <w:sz w:val="22"/>
          <w:szCs w:val="22"/>
        </w:rPr>
        <w:t>The EHR Association encourages ONC to continue refining the certification program to support modern, scalable, and bidirectional interoperability, with increased accountability across all participants in the data exchange ecosystem.</w:t>
      </w:r>
      <w:r w:rsidR="00171ABB" w:rsidRPr="00AC3307">
        <w:rPr>
          <w:rFonts w:ascii="Arial" w:hAnsi="Arial" w:cs="Arial"/>
          <w:sz w:val="22"/>
          <w:szCs w:val="22"/>
        </w:rPr>
        <w:t>”</w:t>
      </w:r>
      <w:r w:rsidR="00C9209B" w:rsidRPr="00AC3307">
        <w:rPr>
          <w:rFonts w:ascii="Arial" w:hAnsi="Arial" w:cs="Arial"/>
          <w:sz w:val="22"/>
          <w:szCs w:val="22"/>
        </w:rPr>
        <w:t xml:space="preserve"> Greenway agrees with this.</w:t>
      </w:r>
    </w:p>
    <w:p w14:paraId="715EC2A5" w14:textId="11C02A21" w:rsidR="0049408B" w:rsidRPr="00AC3307" w:rsidRDefault="00DE0BF1" w:rsidP="0049408B">
      <w:pPr>
        <w:rPr>
          <w:rFonts w:ascii="Arial" w:hAnsi="Arial" w:cs="Arial"/>
          <w:b/>
          <w:bCs/>
          <w:sz w:val="22"/>
          <w:szCs w:val="22"/>
        </w:rPr>
      </w:pPr>
      <w:r w:rsidRPr="00AC3307">
        <w:rPr>
          <w:rFonts w:ascii="Arial" w:hAnsi="Arial" w:cs="Arial"/>
          <w:b/>
          <w:bCs/>
          <w:sz w:val="22"/>
          <w:szCs w:val="22"/>
        </w:rPr>
        <w:t>H</w:t>
      </w:r>
      <w:r w:rsidR="0049408B" w:rsidRPr="00AC3307">
        <w:rPr>
          <w:rFonts w:ascii="Arial" w:hAnsi="Arial" w:cs="Arial"/>
          <w:b/>
          <w:bCs/>
          <w:sz w:val="22"/>
          <w:szCs w:val="22"/>
        </w:rPr>
        <w:t>ealth IT capabilities for value-based care arrangements</w:t>
      </w:r>
    </w:p>
    <w:p w14:paraId="09514A7F" w14:textId="77777777" w:rsidR="002E3AAA" w:rsidRPr="00AC3307" w:rsidRDefault="002E3AAA" w:rsidP="0049408B">
      <w:pPr>
        <w:rPr>
          <w:rFonts w:ascii="Arial" w:hAnsi="Arial" w:cs="Arial"/>
          <w:sz w:val="22"/>
          <w:szCs w:val="22"/>
        </w:rPr>
      </w:pPr>
      <w:r w:rsidRPr="00AC3307">
        <w:rPr>
          <w:rFonts w:ascii="Arial" w:hAnsi="Arial" w:cs="Arial"/>
          <w:sz w:val="22"/>
          <w:szCs w:val="22"/>
        </w:rPr>
        <w:t>Effective health IT is essential to advancing value-based care. It must support care coordination, performance measurement, patient engagement, and data-driven decisions. A major barrier is the lack of standardization across CMS programs, particularly in quality measurement. Many value-based care organizations work with multiple EHR systems, making it difficult to normalize, map, and aggregate data. Inconsistent or overlapping reporting requirements add administrative burden and can compromise data quality. Accelerating the adoption of digital quality measurement (dQM), especially through standardized data elements and exchange formats like FHIR and USCDI, is critical to ensuring timely, accurate insights into care quality and driving system-wide improvement.</w:t>
      </w:r>
    </w:p>
    <w:p w14:paraId="59F5A3EE" w14:textId="000795D7" w:rsidR="0049408B" w:rsidRPr="00AC3307" w:rsidRDefault="004F354A" w:rsidP="0049408B">
      <w:pPr>
        <w:rPr>
          <w:rFonts w:ascii="Arial" w:hAnsi="Arial" w:cs="Arial"/>
          <w:sz w:val="22"/>
          <w:szCs w:val="22"/>
        </w:rPr>
      </w:pPr>
      <w:r w:rsidRPr="00AC3307">
        <w:rPr>
          <w:rFonts w:ascii="Arial" w:hAnsi="Arial" w:cs="Arial"/>
          <w:sz w:val="22"/>
          <w:szCs w:val="22"/>
        </w:rPr>
        <w:t xml:space="preserve">The EHRA cites that an </w:t>
      </w:r>
      <w:r w:rsidR="0049408B" w:rsidRPr="00AC3307">
        <w:rPr>
          <w:rFonts w:ascii="Arial" w:hAnsi="Arial" w:cs="Arial"/>
          <w:sz w:val="22"/>
          <w:szCs w:val="22"/>
        </w:rPr>
        <w:t>often overlooked capability is bidirectional feedback between CMS and provider systems, especially for quality performance data. As EHRs shift from being the calculation engine to the data source in dQM models, providers still expect real-time visibility into how they’re performing on quality measures. Establishing standardized APIs to display performance feedback from CMS or third-party aggregators within the EHR dashboard will be critical. </w:t>
      </w:r>
    </w:p>
    <w:p w14:paraId="117B86E4" w14:textId="6967226D" w:rsidR="00EB17F7" w:rsidRPr="00AC3307" w:rsidRDefault="0049408B" w:rsidP="00DE0BF1">
      <w:pPr>
        <w:rPr>
          <w:rFonts w:ascii="Arial" w:hAnsi="Arial" w:cs="Arial"/>
          <w:sz w:val="22"/>
          <w:szCs w:val="22"/>
        </w:rPr>
      </w:pPr>
      <w:r w:rsidRPr="00AC3307">
        <w:rPr>
          <w:rFonts w:ascii="Arial" w:hAnsi="Arial" w:cs="Arial"/>
          <w:sz w:val="22"/>
          <w:szCs w:val="22"/>
        </w:rPr>
        <w:t xml:space="preserve">We </w:t>
      </w:r>
      <w:r w:rsidR="00BD62C9" w:rsidRPr="00AC3307">
        <w:rPr>
          <w:rFonts w:ascii="Arial" w:hAnsi="Arial" w:cs="Arial"/>
          <w:sz w:val="22"/>
          <w:szCs w:val="22"/>
        </w:rPr>
        <w:t>strongly join with the EHRA in</w:t>
      </w:r>
      <w:r w:rsidRPr="00AC3307">
        <w:rPr>
          <w:rFonts w:ascii="Arial" w:hAnsi="Arial" w:cs="Arial"/>
          <w:sz w:val="22"/>
          <w:szCs w:val="22"/>
        </w:rPr>
        <w:t xml:space="preserve"> recommend</w:t>
      </w:r>
      <w:r w:rsidR="00BD62C9" w:rsidRPr="00AC3307">
        <w:rPr>
          <w:rFonts w:ascii="Arial" w:hAnsi="Arial" w:cs="Arial"/>
          <w:sz w:val="22"/>
          <w:szCs w:val="22"/>
        </w:rPr>
        <w:t>ing</w:t>
      </w:r>
      <w:r w:rsidRPr="00AC3307">
        <w:rPr>
          <w:rFonts w:ascii="Arial" w:hAnsi="Arial" w:cs="Arial"/>
          <w:sz w:val="22"/>
          <w:szCs w:val="22"/>
        </w:rPr>
        <w:t xml:space="preserve"> CMS and ONC actively solicit provider feedback to identify which capabilities they view as most valuable and actionable. Developer capabilities are only impactful when aligned with provider priorities, workflows, and the incentives that influence their behavior.</w:t>
      </w:r>
    </w:p>
    <w:p w14:paraId="62C6E997" w14:textId="1BEBC996" w:rsidR="000758B7" w:rsidRPr="00AC3307" w:rsidRDefault="000758B7" w:rsidP="00DE0BF1">
      <w:pPr>
        <w:rPr>
          <w:rFonts w:ascii="Arial" w:hAnsi="Arial" w:cs="Arial"/>
          <w:sz w:val="22"/>
          <w:szCs w:val="22"/>
        </w:rPr>
      </w:pPr>
      <w:r w:rsidRPr="00AC3307">
        <w:rPr>
          <w:rFonts w:ascii="Arial" w:hAnsi="Arial" w:cs="Arial"/>
          <w:sz w:val="22"/>
          <w:szCs w:val="22"/>
        </w:rPr>
        <w:t>Greenway appreciates this opportunity to provide public comments to CMS on this RFI. We welcome future co</w:t>
      </w:r>
      <w:r w:rsidR="001578CC" w:rsidRPr="00AC3307">
        <w:rPr>
          <w:rFonts w:ascii="Arial" w:hAnsi="Arial" w:cs="Arial"/>
          <w:sz w:val="22"/>
          <w:szCs w:val="22"/>
        </w:rPr>
        <w:t xml:space="preserve">llaboration with CMS, ASTP/ONC and across HHS as we all work to improve </w:t>
      </w:r>
      <w:r w:rsidR="00876E9D" w:rsidRPr="00AC3307">
        <w:rPr>
          <w:rFonts w:ascii="Arial" w:hAnsi="Arial" w:cs="Arial"/>
          <w:sz w:val="22"/>
          <w:szCs w:val="22"/>
        </w:rPr>
        <w:t>health care coordination.</w:t>
      </w:r>
    </w:p>
    <w:p w14:paraId="15C3994D" w14:textId="7B3E2BC1" w:rsidR="001578CC" w:rsidRPr="00AC3307" w:rsidRDefault="007226BD" w:rsidP="00DE0BF1">
      <w:pPr>
        <w:rPr>
          <w:rFonts w:ascii="Arial" w:hAnsi="Arial" w:cs="Arial"/>
          <w:sz w:val="22"/>
          <w:szCs w:val="22"/>
        </w:rPr>
      </w:pPr>
      <w:r w:rsidRPr="00AC3307">
        <w:rPr>
          <w:rFonts w:ascii="Arial" w:hAnsi="Arial" w:cs="Arial"/>
          <w:sz w:val="22"/>
          <w:szCs w:val="22"/>
        </w:rPr>
        <w:t>Sincerely,</w:t>
      </w:r>
    </w:p>
    <w:p w14:paraId="7088B891" w14:textId="079E9FDE" w:rsidR="007226BD" w:rsidRPr="00AC3307" w:rsidRDefault="007226BD" w:rsidP="00DE0BF1">
      <w:pPr>
        <w:rPr>
          <w:rFonts w:ascii="Arial" w:hAnsi="Arial" w:cs="Arial"/>
          <w:sz w:val="22"/>
          <w:szCs w:val="22"/>
        </w:rPr>
      </w:pPr>
      <w:r w:rsidRPr="00AC3307">
        <w:rPr>
          <w:rFonts w:ascii="Arial" w:hAnsi="Arial" w:cs="Arial"/>
          <w:sz w:val="22"/>
          <w:szCs w:val="22"/>
        </w:rPr>
        <w:t>Greenway Health</w:t>
      </w:r>
    </w:p>
    <w:p w14:paraId="4F298707" w14:textId="77777777" w:rsidR="00B06914" w:rsidRDefault="00B06914"/>
    <w:sectPr w:rsidR="00B0691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B86A" w14:textId="77777777" w:rsidR="00B441CA" w:rsidRDefault="00B441CA" w:rsidP="0049408B">
      <w:pPr>
        <w:spacing w:after="0" w:line="240" w:lineRule="auto"/>
      </w:pPr>
      <w:r>
        <w:separator/>
      </w:r>
    </w:p>
  </w:endnote>
  <w:endnote w:type="continuationSeparator" w:id="0">
    <w:p w14:paraId="53C3F668" w14:textId="77777777" w:rsidR="00B441CA" w:rsidRDefault="00B441CA" w:rsidP="00494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6AD9" w14:textId="77777777" w:rsidR="00B441CA" w:rsidRDefault="00B441CA" w:rsidP="0049408B">
      <w:pPr>
        <w:spacing w:after="0" w:line="240" w:lineRule="auto"/>
      </w:pPr>
      <w:r>
        <w:separator/>
      </w:r>
    </w:p>
  </w:footnote>
  <w:footnote w:type="continuationSeparator" w:id="0">
    <w:p w14:paraId="59F8BAF2" w14:textId="77777777" w:rsidR="00B441CA" w:rsidRDefault="00B441CA" w:rsidP="00494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55A3" w14:textId="30F83B6A" w:rsidR="0049408B" w:rsidRDefault="0049408B">
    <w:pPr>
      <w:pStyle w:val="Header"/>
    </w:pPr>
    <w:r>
      <w:rPr>
        <w:noProof/>
      </w:rPr>
      <w:drawing>
        <wp:inline distT="0" distB="0" distL="0" distR="0" wp14:anchorId="2D6E3960" wp14:editId="789BDA8F">
          <wp:extent cx="1965960" cy="434340"/>
          <wp:effectExtent l="0" t="0" r="0" b="0"/>
          <wp:docPr id="4"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eenway-Health-Logo-Single-Line-Color-for-Print.png"/>
                  <pic:cNvPicPr/>
                </pic:nvPicPr>
                <pic:blipFill rotWithShape="1">
                  <a:blip r:embed="rId1">
                    <a:extLst>
                      <a:ext uri="{28A0092B-C50C-407E-A947-70E740481C1C}">
                        <a14:useLocalDpi xmlns:a14="http://schemas.microsoft.com/office/drawing/2010/main" val="0"/>
                      </a:ext>
                    </a:extLst>
                  </a:blip>
                  <a:srcRect t="10464" b="23256"/>
                  <a:stretch/>
                </pic:blipFill>
                <pic:spPr bwMode="auto">
                  <a:xfrm>
                    <a:off x="0" y="0"/>
                    <a:ext cx="1965960" cy="434340"/>
                  </a:xfrm>
                  <a:prstGeom prst="rect">
                    <a:avLst/>
                  </a:prstGeom>
                  <a:ln>
                    <a:noFill/>
                  </a:ln>
                  <a:extLst>
                    <a:ext uri="{53640926-AAD7-44D8-BBD7-CCE9431645EC}">
                      <a14:shadowObscured xmlns:a14="http://schemas.microsoft.com/office/drawing/2010/main"/>
                    </a:ext>
                  </a:extLst>
                </pic:spPr>
              </pic:pic>
            </a:graphicData>
          </a:graphic>
        </wp:inline>
      </w:drawing>
    </w:r>
  </w:p>
  <w:p w14:paraId="1E90DD7A" w14:textId="77777777" w:rsidR="0049408B" w:rsidRDefault="00494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8E9"/>
    <w:multiLevelType w:val="multilevel"/>
    <w:tmpl w:val="BDBA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85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8B"/>
    <w:rsid w:val="00051D46"/>
    <w:rsid w:val="000758B7"/>
    <w:rsid w:val="00093648"/>
    <w:rsid w:val="000D41F8"/>
    <w:rsid w:val="001578CC"/>
    <w:rsid w:val="00171ABB"/>
    <w:rsid w:val="001C17D7"/>
    <w:rsid w:val="001E04AB"/>
    <w:rsid w:val="002741B7"/>
    <w:rsid w:val="002C1B22"/>
    <w:rsid w:val="002E3AAA"/>
    <w:rsid w:val="0032279E"/>
    <w:rsid w:val="00352D8D"/>
    <w:rsid w:val="003B427E"/>
    <w:rsid w:val="0049408B"/>
    <w:rsid w:val="004F354A"/>
    <w:rsid w:val="00566B3E"/>
    <w:rsid w:val="00587067"/>
    <w:rsid w:val="00631D34"/>
    <w:rsid w:val="00642029"/>
    <w:rsid w:val="007226BD"/>
    <w:rsid w:val="007A22EB"/>
    <w:rsid w:val="008017A7"/>
    <w:rsid w:val="00876E9D"/>
    <w:rsid w:val="00895378"/>
    <w:rsid w:val="008E7803"/>
    <w:rsid w:val="00914BD7"/>
    <w:rsid w:val="00961C9E"/>
    <w:rsid w:val="00A36A58"/>
    <w:rsid w:val="00A65661"/>
    <w:rsid w:val="00AC3307"/>
    <w:rsid w:val="00AC5932"/>
    <w:rsid w:val="00AC742C"/>
    <w:rsid w:val="00B0269A"/>
    <w:rsid w:val="00B06914"/>
    <w:rsid w:val="00B441CA"/>
    <w:rsid w:val="00B50D6F"/>
    <w:rsid w:val="00B61B99"/>
    <w:rsid w:val="00BA3166"/>
    <w:rsid w:val="00BD62C9"/>
    <w:rsid w:val="00BF7105"/>
    <w:rsid w:val="00C21231"/>
    <w:rsid w:val="00C24705"/>
    <w:rsid w:val="00C9209B"/>
    <w:rsid w:val="00C978D5"/>
    <w:rsid w:val="00CA43FE"/>
    <w:rsid w:val="00CF5E67"/>
    <w:rsid w:val="00DE0BF1"/>
    <w:rsid w:val="00EA2B62"/>
    <w:rsid w:val="00EB17F7"/>
    <w:rsid w:val="00ED6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33C6"/>
  <w15:chartTrackingRefBased/>
  <w15:docId w15:val="{8652C3FE-C66E-4130-88CE-87EF8B3D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08B"/>
    <w:rPr>
      <w:rFonts w:eastAsiaTheme="majorEastAsia" w:cstheme="majorBidi"/>
      <w:color w:val="272727" w:themeColor="text1" w:themeTint="D8"/>
    </w:rPr>
  </w:style>
  <w:style w:type="paragraph" w:styleId="Title">
    <w:name w:val="Title"/>
    <w:basedOn w:val="Normal"/>
    <w:next w:val="Normal"/>
    <w:link w:val="TitleChar"/>
    <w:uiPriority w:val="10"/>
    <w:qFormat/>
    <w:rsid w:val="00494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08B"/>
    <w:pPr>
      <w:spacing w:before="160"/>
      <w:jc w:val="center"/>
    </w:pPr>
    <w:rPr>
      <w:i/>
      <w:iCs/>
      <w:color w:val="404040" w:themeColor="text1" w:themeTint="BF"/>
    </w:rPr>
  </w:style>
  <w:style w:type="character" w:customStyle="1" w:styleId="QuoteChar">
    <w:name w:val="Quote Char"/>
    <w:basedOn w:val="DefaultParagraphFont"/>
    <w:link w:val="Quote"/>
    <w:uiPriority w:val="29"/>
    <w:rsid w:val="0049408B"/>
    <w:rPr>
      <w:i/>
      <w:iCs/>
      <w:color w:val="404040" w:themeColor="text1" w:themeTint="BF"/>
    </w:rPr>
  </w:style>
  <w:style w:type="paragraph" w:styleId="ListParagraph">
    <w:name w:val="List Paragraph"/>
    <w:basedOn w:val="Normal"/>
    <w:uiPriority w:val="34"/>
    <w:qFormat/>
    <w:rsid w:val="0049408B"/>
    <w:pPr>
      <w:ind w:left="720"/>
      <w:contextualSpacing/>
    </w:pPr>
  </w:style>
  <w:style w:type="character" w:styleId="IntenseEmphasis">
    <w:name w:val="Intense Emphasis"/>
    <w:basedOn w:val="DefaultParagraphFont"/>
    <w:uiPriority w:val="21"/>
    <w:qFormat/>
    <w:rsid w:val="0049408B"/>
    <w:rPr>
      <w:i/>
      <w:iCs/>
      <w:color w:val="0F4761" w:themeColor="accent1" w:themeShade="BF"/>
    </w:rPr>
  </w:style>
  <w:style w:type="paragraph" w:styleId="IntenseQuote">
    <w:name w:val="Intense Quote"/>
    <w:basedOn w:val="Normal"/>
    <w:next w:val="Normal"/>
    <w:link w:val="IntenseQuoteChar"/>
    <w:uiPriority w:val="30"/>
    <w:qFormat/>
    <w:rsid w:val="00494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08B"/>
    <w:rPr>
      <w:i/>
      <w:iCs/>
      <w:color w:val="0F4761" w:themeColor="accent1" w:themeShade="BF"/>
    </w:rPr>
  </w:style>
  <w:style w:type="character" w:styleId="IntenseReference">
    <w:name w:val="Intense Reference"/>
    <w:basedOn w:val="DefaultParagraphFont"/>
    <w:uiPriority w:val="32"/>
    <w:qFormat/>
    <w:rsid w:val="0049408B"/>
    <w:rPr>
      <w:b/>
      <w:bCs/>
      <w:smallCaps/>
      <w:color w:val="0F4761" w:themeColor="accent1" w:themeShade="BF"/>
      <w:spacing w:val="5"/>
    </w:rPr>
  </w:style>
  <w:style w:type="paragraph" w:styleId="Header">
    <w:name w:val="header"/>
    <w:basedOn w:val="Normal"/>
    <w:link w:val="HeaderChar"/>
    <w:uiPriority w:val="99"/>
    <w:unhideWhenUsed/>
    <w:rsid w:val="00494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08B"/>
  </w:style>
  <w:style w:type="paragraph" w:styleId="Footer">
    <w:name w:val="footer"/>
    <w:basedOn w:val="Normal"/>
    <w:link w:val="FooterChar"/>
    <w:uiPriority w:val="99"/>
    <w:unhideWhenUsed/>
    <w:rsid w:val="00494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08B"/>
  </w:style>
  <w:style w:type="paragraph" w:styleId="NoSpacing">
    <w:name w:val="No Spacing"/>
    <w:uiPriority w:val="1"/>
    <w:qFormat/>
    <w:rsid w:val="00ED6E27"/>
    <w:pPr>
      <w:spacing w:after="0" w:line="240" w:lineRule="auto"/>
    </w:pPr>
    <w:rPr>
      <w:kern w:val="0"/>
      <w:sz w:val="22"/>
      <w:szCs w:val="22"/>
      <w14:ligatures w14:val="none"/>
    </w:rPr>
  </w:style>
  <w:style w:type="character" w:styleId="Hyperlink">
    <w:name w:val="Hyperlink"/>
    <w:basedOn w:val="DefaultParagraphFont"/>
    <w:uiPriority w:val="99"/>
    <w:unhideWhenUsed/>
    <w:rsid w:val="00ED6E27"/>
    <w:rPr>
      <w:color w:val="0000FF"/>
      <w:u w:val="single"/>
    </w:rPr>
  </w:style>
  <w:style w:type="character" w:styleId="UnresolvedMention">
    <w:name w:val="Unresolved Mention"/>
    <w:basedOn w:val="DefaultParagraphFont"/>
    <w:uiPriority w:val="99"/>
    <w:semiHidden/>
    <w:unhideWhenUsed/>
    <w:rsid w:val="002741B7"/>
    <w:rPr>
      <w:color w:val="605E5C"/>
      <w:shd w:val="clear" w:color="auto" w:fill="E1DFDD"/>
    </w:rPr>
  </w:style>
  <w:style w:type="character" w:styleId="FollowedHyperlink">
    <w:name w:val="FollowedHyperlink"/>
    <w:basedOn w:val="DefaultParagraphFont"/>
    <w:uiPriority w:val="99"/>
    <w:semiHidden/>
    <w:unhideWhenUsed/>
    <w:rsid w:val="00C920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21194">
      <w:bodyDiv w:val="1"/>
      <w:marLeft w:val="0"/>
      <w:marRight w:val="0"/>
      <w:marTop w:val="0"/>
      <w:marBottom w:val="0"/>
      <w:divBdr>
        <w:top w:val="none" w:sz="0" w:space="0" w:color="auto"/>
        <w:left w:val="none" w:sz="0" w:space="0" w:color="auto"/>
        <w:bottom w:val="none" w:sz="0" w:space="0" w:color="auto"/>
        <w:right w:val="none" w:sz="0" w:space="0" w:color="auto"/>
      </w:divBdr>
    </w:div>
    <w:div w:id="297498039">
      <w:bodyDiv w:val="1"/>
      <w:marLeft w:val="0"/>
      <w:marRight w:val="0"/>
      <w:marTop w:val="0"/>
      <w:marBottom w:val="0"/>
      <w:divBdr>
        <w:top w:val="none" w:sz="0" w:space="0" w:color="auto"/>
        <w:left w:val="none" w:sz="0" w:space="0" w:color="auto"/>
        <w:bottom w:val="none" w:sz="0" w:space="0" w:color="auto"/>
        <w:right w:val="none" w:sz="0" w:space="0" w:color="auto"/>
      </w:divBdr>
    </w:div>
    <w:div w:id="318845590">
      <w:bodyDiv w:val="1"/>
      <w:marLeft w:val="0"/>
      <w:marRight w:val="0"/>
      <w:marTop w:val="0"/>
      <w:marBottom w:val="0"/>
      <w:divBdr>
        <w:top w:val="none" w:sz="0" w:space="0" w:color="auto"/>
        <w:left w:val="none" w:sz="0" w:space="0" w:color="auto"/>
        <w:bottom w:val="none" w:sz="0" w:space="0" w:color="auto"/>
        <w:right w:val="none" w:sz="0" w:space="0" w:color="auto"/>
      </w:divBdr>
    </w:div>
    <w:div w:id="401634918">
      <w:bodyDiv w:val="1"/>
      <w:marLeft w:val="0"/>
      <w:marRight w:val="0"/>
      <w:marTop w:val="0"/>
      <w:marBottom w:val="0"/>
      <w:divBdr>
        <w:top w:val="none" w:sz="0" w:space="0" w:color="auto"/>
        <w:left w:val="none" w:sz="0" w:space="0" w:color="auto"/>
        <w:bottom w:val="none" w:sz="0" w:space="0" w:color="auto"/>
        <w:right w:val="none" w:sz="0" w:space="0" w:color="auto"/>
      </w:divBdr>
    </w:div>
    <w:div w:id="431360983">
      <w:bodyDiv w:val="1"/>
      <w:marLeft w:val="0"/>
      <w:marRight w:val="0"/>
      <w:marTop w:val="0"/>
      <w:marBottom w:val="0"/>
      <w:divBdr>
        <w:top w:val="none" w:sz="0" w:space="0" w:color="auto"/>
        <w:left w:val="none" w:sz="0" w:space="0" w:color="auto"/>
        <w:bottom w:val="none" w:sz="0" w:space="0" w:color="auto"/>
        <w:right w:val="none" w:sz="0" w:space="0" w:color="auto"/>
      </w:divBdr>
    </w:div>
    <w:div w:id="509680467">
      <w:bodyDiv w:val="1"/>
      <w:marLeft w:val="0"/>
      <w:marRight w:val="0"/>
      <w:marTop w:val="0"/>
      <w:marBottom w:val="0"/>
      <w:divBdr>
        <w:top w:val="none" w:sz="0" w:space="0" w:color="auto"/>
        <w:left w:val="none" w:sz="0" w:space="0" w:color="auto"/>
        <w:bottom w:val="none" w:sz="0" w:space="0" w:color="auto"/>
        <w:right w:val="none" w:sz="0" w:space="0" w:color="auto"/>
      </w:divBdr>
    </w:div>
    <w:div w:id="637026816">
      <w:bodyDiv w:val="1"/>
      <w:marLeft w:val="0"/>
      <w:marRight w:val="0"/>
      <w:marTop w:val="0"/>
      <w:marBottom w:val="0"/>
      <w:divBdr>
        <w:top w:val="none" w:sz="0" w:space="0" w:color="auto"/>
        <w:left w:val="none" w:sz="0" w:space="0" w:color="auto"/>
        <w:bottom w:val="none" w:sz="0" w:space="0" w:color="auto"/>
        <w:right w:val="none" w:sz="0" w:space="0" w:color="auto"/>
      </w:divBdr>
    </w:div>
    <w:div w:id="668218533">
      <w:bodyDiv w:val="1"/>
      <w:marLeft w:val="0"/>
      <w:marRight w:val="0"/>
      <w:marTop w:val="0"/>
      <w:marBottom w:val="0"/>
      <w:divBdr>
        <w:top w:val="none" w:sz="0" w:space="0" w:color="auto"/>
        <w:left w:val="none" w:sz="0" w:space="0" w:color="auto"/>
        <w:bottom w:val="none" w:sz="0" w:space="0" w:color="auto"/>
        <w:right w:val="none" w:sz="0" w:space="0" w:color="auto"/>
      </w:divBdr>
    </w:div>
    <w:div w:id="690374637">
      <w:bodyDiv w:val="1"/>
      <w:marLeft w:val="0"/>
      <w:marRight w:val="0"/>
      <w:marTop w:val="0"/>
      <w:marBottom w:val="0"/>
      <w:divBdr>
        <w:top w:val="none" w:sz="0" w:space="0" w:color="auto"/>
        <w:left w:val="none" w:sz="0" w:space="0" w:color="auto"/>
        <w:bottom w:val="none" w:sz="0" w:space="0" w:color="auto"/>
        <w:right w:val="none" w:sz="0" w:space="0" w:color="auto"/>
      </w:divBdr>
    </w:div>
    <w:div w:id="697780811">
      <w:bodyDiv w:val="1"/>
      <w:marLeft w:val="0"/>
      <w:marRight w:val="0"/>
      <w:marTop w:val="0"/>
      <w:marBottom w:val="0"/>
      <w:divBdr>
        <w:top w:val="none" w:sz="0" w:space="0" w:color="auto"/>
        <w:left w:val="none" w:sz="0" w:space="0" w:color="auto"/>
        <w:bottom w:val="none" w:sz="0" w:space="0" w:color="auto"/>
        <w:right w:val="none" w:sz="0" w:space="0" w:color="auto"/>
      </w:divBdr>
    </w:div>
    <w:div w:id="907685807">
      <w:bodyDiv w:val="1"/>
      <w:marLeft w:val="0"/>
      <w:marRight w:val="0"/>
      <w:marTop w:val="0"/>
      <w:marBottom w:val="0"/>
      <w:divBdr>
        <w:top w:val="none" w:sz="0" w:space="0" w:color="auto"/>
        <w:left w:val="none" w:sz="0" w:space="0" w:color="auto"/>
        <w:bottom w:val="none" w:sz="0" w:space="0" w:color="auto"/>
        <w:right w:val="none" w:sz="0" w:space="0" w:color="auto"/>
      </w:divBdr>
    </w:div>
    <w:div w:id="1077939583">
      <w:bodyDiv w:val="1"/>
      <w:marLeft w:val="0"/>
      <w:marRight w:val="0"/>
      <w:marTop w:val="0"/>
      <w:marBottom w:val="0"/>
      <w:divBdr>
        <w:top w:val="none" w:sz="0" w:space="0" w:color="auto"/>
        <w:left w:val="none" w:sz="0" w:space="0" w:color="auto"/>
        <w:bottom w:val="none" w:sz="0" w:space="0" w:color="auto"/>
        <w:right w:val="none" w:sz="0" w:space="0" w:color="auto"/>
      </w:divBdr>
    </w:div>
    <w:div w:id="1227954014">
      <w:bodyDiv w:val="1"/>
      <w:marLeft w:val="0"/>
      <w:marRight w:val="0"/>
      <w:marTop w:val="0"/>
      <w:marBottom w:val="0"/>
      <w:divBdr>
        <w:top w:val="none" w:sz="0" w:space="0" w:color="auto"/>
        <w:left w:val="none" w:sz="0" w:space="0" w:color="auto"/>
        <w:bottom w:val="none" w:sz="0" w:space="0" w:color="auto"/>
        <w:right w:val="none" w:sz="0" w:space="0" w:color="auto"/>
      </w:divBdr>
    </w:div>
    <w:div w:id="1230992472">
      <w:bodyDiv w:val="1"/>
      <w:marLeft w:val="0"/>
      <w:marRight w:val="0"/>
      <w:marTop w:val="0"/>
      <w:marBottom w:val="0"/>
      <w:divBdr>
        <w:top w:val="none" w:sz="0" w:space="0" w:color="auto"/>
        <w:left w:val="none" w:sz="0" w:space="0" w:color="auto"/>
        <w:bottom w:val="none" w:sz="0" w:space="0" w:color="auto"/>
        <w:right w:val="none" w:sz="0" w:space="0" w:color="auto"/>
      </w:divBdr>
    </w:div>
    <w:div w:id="1349017583">
      <w:bodyDiv w:val="1"/>
      <w:marLeft w:val="0"/>
      <w:marRight w:val="0"/>
      <w:marTop w:val="0"/>
      <w:marBottom w:val="0"/>
      <w:divBdr>
        <w:top w:val="none" w:sz="0" w:space="0" w:color="auto"/>
        <w:left w:val="none" w:sz="0" w:space="0" w:color="auto"/>
        <w:bottom w:val="none" w:sz="0" w:space="0" w:color="auto"/>
        <w:right w:val="none" w:sz="0" w:space="0" w:color="auto"/>
      </w:divBdr>
    </w:div>
    <w:div w:id="1569145920">
      <w:bodyDiv w:val="1"/>
      <w:marLeft w:val="0"/>
      <w:marRight w:val="0"/>
      <w:marTop w:val="0"/>
      <w:marBottom w:val="0"/>
      <w:divBdr>
        <w:top w:val="none" w:sz="0" w:space="0" w:color="auto"/>
        <w:left w:val="none" w:sz="0" w:space="0" w:color="auto"/>
        <w:bottom w:val="none" w:sz="0" w:space="0" w:color="auto"/>
        <w:right w:val="none" w:sz="0" w:space="0" w:color="auto"/>
      </w:divBdr>
    </w:div>
    <w:div w:id="1584295999">
      <w:bodyDiv w:val="1"/>
      <w:marLeft w:val="0"/>
      <w:marRight w:val="0"/>
      <w:marTop w:val="0"/>
      <w:marBottom w:val="0"/>
      <w:divBdr>
        <w:top w:val="none" w:sz="0" w:space="0" w:color="auto"/>
        <w:left w:val="none" w:sz="0" w:space="0" w:color="auto"/>
        <w:bottom w:val="none" w:sz="0" w:space="0" w:color="auto"/>
        <w:right w:val="none" w:sz="0" w:space="0" w:color="auto"/>
      </w:divBdr>
    </w:div>
    <w:div w:id="1600526786">
      <w:bodyDiv w:val="1"/>
      <w:marLeft w:val="0"/>
      <w:marRight w:val="0"/>
      <w:marTop w:val="0"/>
      <w:marBottom w:val="0"/>
      <w:divBdr>
        <w:top w:val="none" w:sz="0" w:space="0" w:color="auto"/>
        <w:left w:val="none" w:sz="0" w:space="0" w:color="auto"/>
        <w:bottom w:val="none" w:sz="0" w:space="0" w:color="auto"/>
        <w:right w:val="none" w:sz="0" w:space="0" w:color="auto"/>
      </w:divBdr>
    </w:div>
    <w:div w:id="1618561822">
      <w:bodyDiv w:val="1"/>
      <w:marLeft w:val="0"/>
      <w:marRight w:val="0"/>
      <w:marTop w:val="0"/>
      <w:marBottom w:val="0"/>
      <w:divBdr>
        <w:top w:val="none" w:sz="0" w:space="0" w:color="auto"/>
        <w:left w:val="none" w:sz="0" w:space="0" w:color="auto"/>
        <w:bottom w:val="none" w:sz="0" w:space="0" w:color="auto"/>
        <w:right w:val="none" w:sz="0" w:space="0" w:color="auto"/>
      </w:divBdr>
    </w:div>
    <w:div w:id="1820608551">
      <w:bodyDiv w:val="1"/>
      <w:marLeft w:val="0"/>
      <w:marRight w:val="0"/>
      <w:marTop w:val="0"/>
      <w:marBottom w:val="0"/>
      <w:divBdr>
        <w:top w:val="none" w:sz="0" w:space="0" w:color="auto"/>
        <w:left w:val="none" w:sz="0" w:space="0" w:color="auto"/>
        <w:bottom w:val="none" w:sz="0" w:space="0" w:color="auto"/>
        <w:right w:val="none" w:sz="0" w:space="0" w:color="auto"/>
      </w:divBdr>
    </w:div>
    <w:div w:id="1885678092">
      <w:bodyDiv w:val="1"/>
      <w:marLeft w:val="0"/>
      <w:marRight w:val="0"/>
      <w:marTop w:val="0"/>
      <w:marBottom w:val="0"/>
      <w:divBdr>
        <w:top w:val="none" w:sz="0" w:space="0" w:color="auto"/>
        <w:left w:val="none" w:sz="0" w:space="0" w:color="auto"/>
        <w:bottom w:val="none" w:sz="0" w:space="0" w:color="auto"/>
        <w:right w:val="none" w:sz="0" w:space="0" w:color="auto"/>
      </w:divBdr>
    </w:div>
    <w:div w:id="2042047567">
      <w:bodyDiv w:val="1"/>
      <w:marLeft w:val="0"/>
      <w:marRight w:val="0"/>
      <w:marTop w:val="0"/>
      <w:marBottom w:val="0"/>
      <w:divBdr>
        <w:top w:val="none" w:sz="0" w:space="0" w:color="auto"/>
        <w:left w:val="none" w:sz="0" w:space="0" w:color="auto"/>
        <w:bottom w:val="none" w:sz="0" w:space="0" w:color="auto"/>
        <w:right w:val="none" w:sz="0" w:space="0" w:color="auto"/>
      </w:divBdr>
    </w:div>
    <w:div w:id="2058236735">
      <w:bodyDiv w:val="1"/>
      <w:marLeft w:val="0"/>
      <w:marRight w:val="0"/>
      <w:marTop w:val="0"/>
      <w:marBottom w:val="0"/>
      <w:divBdr>
        <w:top w:val="none" w:sz="0" w:space="0" w:color="auto"/>
        <w:left w:val="none" w:sz="0" w:space="0" w:color="auto"/>
        <w:bottom w:val="none" w:sz="0" w:space="0" w:color="auto"/>
        <w:right w:val="none" w:sz="0" w:space="0" w:color="auto"/>
      </w:divBdr>
    </w:div>
    <w:div w:id="2066951566">
      <w:bodyDiv w:val="1"/>
      <w:marLeft w:val="0"/>
      <w:marRight w:val="0"/>
      <w:marTop w:val="0"/>
      <w:marBottom w:val="0"/>
      <w:divBdr>
        <w:top w:val="none" w:sz="0" w:space="0" w:color="auto"/>
        <w:left w:val="none" w:sz="0" w:space="0" w:color="auto"/>
        <w:bottom w:val="none" w:sz="0" w:space="0" w:color="auto"/>
        <w:right w:val="none" w:sz="0" w:space="0" w:color="auto"/>
      </w:divBdr>
    </w:div>
    <w:div w:id="212673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ederalregister.gov/documents/2025/05/16/2025-08701/request-for-information-health-technology-eco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Jamison</dc:creator>
  <cp:keywords/>
  <dc:description/>
  <cp:lastModifiedBy>Stephanie Jamison</cp:lastModifiedBy>
  <cp:revision>44</cp:revision>
  <dcterms:created xsi:type="dcterms:W3CDTF">2025-06-11T13:50:00Z</dcterms:created>
  <dcterms:modified xsi:type="dcterms:W3CDTF">2025-06-16T20:26:00Z</dcterms:modified>
</cp:coreProperties>
</file>