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99B487" w14:textId="77777777" w:rsidR="00DD7281" w:rsidRDefault="2AEA391E" w:rsidP="2AEA391E">
      <w:pPr>
        <w:pStyle w:val="paragraph"/>
        <w:spacing w:before="0" w:beforeAutospacing="0" w:after="0" w:afterAutospacing="0"/>
        <w:textAlignment w:val="baseline"/>
        <w:rPr>
          <w:rFonts w:ascii="Calibri" w:eastAsia="Calibri" w:hAnsi="Calibri" w:cs="Calibri"/>
          <w:sz w:val="18"/>
          <w:szCs w:val="18"/>
        </w:rPr>
      </w:pPr>
      <w:r w:rsidRPr="2AEA391E">
        <w:rPr>
          <w:rStyle w:val="normaltextrun"/>
          <w:rFonts w:ascii="Calibri" w:eastAsia="Calibri" w:hAnsi="Calibri" w:cs="Calibri"/>
          <w:sz w:val="22"/>
          <w:szCs w:val="22"/>
          <w:u w:val="single"/>
        </w:rPr>
        <w:t>Submitted via regulations.gov </w:t>
      </w:r>
      <w:r w:rsidRPr="2AEA391E">
        <w:rPr>
          <w:rStyle w:val="eop"/>
          <w:rFonts w:ascii="Calibri" w:eastAsia="Calibri" w:hAnsi="Calibri" w:cs="Calibri"/>
          <w:sz w:val="22"/>
          <w:szCs w:val="22"/>
        </w:rPr>
        <w:t> </w:t>
      </w:r>
    </w:p>
    <w:p w14:paraId="1CAF816D" w14:textId="77777777" w:rsidR="00DD7281" w:rsidRDefault="2AEA391E" w:rsidP="2AEA391E">
      <w:pPr>
        <w:pStyle w:val="paragraph"/>
        <w:spacing w:before="0" w:beforeAutospacing="0" w:after="0" w:afterAutospacing="0"/>
        <w:textAlignment w:val="baseline"/>
        <w:rPr>
          <w:rFonts w:ascii="Calibri" w:eastAsia="Calibri" w:hAnsi="Calibri" w:cs="Calibri"/>
          <w:sz w:val="18"/>
          <w:szCs w:val="18"/>
        </w:rPr>
      </w:pPr>
      <w:r w:rsidRPr="2AEA391E">
        <w:rPr>
          <w:rStyle w:val="normaltextrun"/>
          <w:rFonts w:ascii="Calibri" w:eastAsia="Calibri" w:hAnsi="Calibri" w:cs="Calibri"/>
          <w:sz w:val="22"/>
          <w:szCs w:val="22"/>
        </w:rPr>
        <w:t>Dr. Mehmet Oz</w:t>
      </w:r>
      <w:r w:rsidRPr="2AEA391E">
        <w:rPr>
          <w:rStyle w:val="eop"/>
          <w:rFonts w:ascii="Calibri" w:eastAsia="Calibri" w:hAnsi="Calibri" w:cs="Calibri"/>
          <w:sz w:val="22"/>
          <w:szCs w:val="22"/>
        </w:rPr>
        <w:t> </w:t>
      </w:r>
    </w:p>
    <w:p w14:paraId="1404F909" w14:textId="77777777" w:rsidR="00DD7281" w:rsidRDefault="2AEA391E" w:rsidP="2AEA391E">
      <w:pPr>
        <w:pStyle w:val="paragraph"/>
        <w:spacing w:before="0" w:beforeAutospacing="0" w:after="0" w:afterAutospacing="0"/>
        <w:textAlignment w:val="baseline"/>
        <w:rPr>
          <w:rFonts w:ascii="Calibri" w:eastAsia="Calibri" w:hAnsi="Calibri" w:cs="Calibri"/>
          <w:sz w:val="18"/>
          <w:szCs w:val="18"/>
        </w:rPr>
      </w:pPr>
      <w:r w:rsidRPr="2AEA391E">
        <w:rPr>
          <w:rStyle w:val="normaltextrun"/>
          <w:rFonts w:ascii="Calibri" w:eastAsia="Calibri" w:hAnsi="Calibri" w:cs="Calibri"/>
          <w:sz w:val="22"/>
          <w:szCs w:val="22"/>
        </w:rPr>
        <w:t>Administrator </w:t>
      </w:r>
      <w:r w:rsidRPr="2AEA391E">
        <w:rPr>
          <w:rStyle w:val="eop"/>
          <w:rFonts w:ascii="Calibri" w:eastAsia="Calibri" w:hAnsi="Calibri" w:cs="Calibri"/>
          <w:sz w:val="22"/>
          <w:szCs w:val="22"/>
        </w:rPr>
        <w:t> </w:t>
      </w:r>
    </w:p>
    <w:p w14:paraId="1DD277DB" w14:textId="77777777" w:rsidR="00DD7281" w:rsidRDefault="2AEA391E" w:rsidP="2AEA391E">
      <w:pPr>
        <w:pStyle w:val="paragraph"/>
        <w:spacing w:before="0" w:beforeAutospacing="0" w:after="0" w:afterAutospacing="0"/>
        <w:textAlignment w:val="baseline"/>
        <w:rPr>
          <w:rFonts w:ascii="Calibri" w:eastAsia="Calibri" w:hAnsi="Calibri" w:cs="Calibri"/>
          <w:sz w:val="18"/>
          <w:szCs w:val="18"/>
        </w:rPr>
      </w:pPr>
      <w:r w:rsidRPr="2AEA391E">
        <w:rPr>
          <w:rStyle w:val="normaltextrun"/>
          <w:rFonts w:ascii="Calibri" w:eastAsia="Calibri" w:hAnsi="Calibri" w:cs="Calibri"/>
          <w:sz w:val="22"/>
          <w:szCs w:val="22"/>
        </w:rPr>
        <w:t>Centers for Medicare &amp; Medicaid Services, Department of Health and Human Services,</w:t>
      </w:r>
      <w:r w:rsidRPr="2AEA391E">
        <w:rPr>
          <w:rStyle w:val="eop"/>
          <w:rFonts w:ascii="Calibri" w:eastAsia="Calibri" w:hAnsi="Calibri" w:cs="Calibri"/>
          <w:sz w:val="22"/>
          <w:szCs w:val="22"/>
        </w:rPr>
        <w:t> </w:t>
      </w:r>
    </w:p>
    <w:p w14:paraId="2E4CDF22" w14:textId="77D73BB5" w:rsidR="00DD7281" w:rsidRDefault="5C42192C" w:rsidP="5C42192C">
      <w:pPr>
        <w:pStyle w:val="paragraph"/>
        <w:spacing w:before="0" w:beforeAutospacing="0" w:after="0" w:afterAutospacing="0"/>
        <w:textAlignment w:val="baseline"/>
        <w:rPr>
          <w:rStyle w:val="normaltextrun"/>
          <w:rFonts w:ascii="Calibri" w:eastAsia="Calibri" w:hAnsi="Calibri" w:cs="Calibri"/>
          <w:sz w:val="22"/>
          <w:szCs w:val="22"/>
        </w:rPr>
      </w:pPr>
      <w:r w:rsidRPr="5C42192C">
        <w:rPr>
          <w:rStyle w:val="normaltextrun"/>
          <w:rFonts w:ascii="Calibri" w:eastAsia="Calibri" w:hAnsi="Calibri" w:cs="Calibri"/>
          <w:sz w:val="22"/>
          <w:szCs w:val="22"/>
        </w:rPr>
        <w:t>Attention: CMS-2025-0050-0031</w:t>
      </w:r>
    </w:p>
    <w:p w14:paraId="5618D545" w14:textId="77777777" w:rsidR="00DD7281" w:rsidRDefault="2AEA391E" w:rsidP="2AEA391E">
      <w:pPr>
        <w:pStyle w:val="paragraph"/>
        <w:spacing w:before="0" w:beforeAutospacing="0" w:after="0" w:afterAutospacing="0"/>
        <w:textAlignment w:val="baseline"/>
        <w:rPr>
          <w:rFonts w:ascii="Calibri" w:eastAsia="Calibri" w:hAnsi="Calibri" w:cs="Calibri"/>
          <w:sz w:val="18"/>
          <w:szCs w:val="18"/>
        </w:rPr>
      </w:pPr>
      <w:r w:rsidRPr="2AEA391E">
        <w:rPr>
          <w:rStyle w:val="normaltextrun"/>
          <w:rFonts w:ascii="Calibri" w:eastAsia="Calibri" w:hAnsi="Calibri" w:cs="Calibri"/>
          <w:sz w:val="22"/>
          <w:szCs w:val="22"/>
        </w:rPr>
        <w:t>P.O. Box 8016</w:t>
      </w:r>
      <w:r w:rsidRPr="2AEA391E">
        <w:rPr>
          <w:rStyle w:val="eop"/>
          <w:rFonts w:ascii="Calibri" w:eastAsia="Calibri" w:hAnsi="Calibri" w:cs="Calibri"/>
          <w:sz w:val="22"/>
          <w:szCs w:val="22"/>
        </w:rPr>
        <w:t> </w:t>
      </w:r>
    </w:p>
    <w:p w14:paraId="11BAA192" w14:textId="77777777" w:rsidR="00DD7281" w:rsidRDefault="2AEA391E" w:rsidP="2AEA391E">
      <w:pPr>
        <w:pStyle w:val="paragraph"/>
        <w:spacing w:before="0" w:beforeAutospacing="0" w:after="0" w:afterAutospacing="0"/>
        <w:textAlignment w:val="baseline"/>
        <w:rPr>
          <w:rFonts w:ascii="Calibri" w:eastAsia="Calibri" w:hAnsi="Calibri" w:cs="Calibri"/>
          <w:sz w:val="18"/>
          <w:szCs w:val="18"/>
        </w:rPr>
      </w:pPr>
      <w:r w:rsidRPr="2AEA391E">
        <w:rPr>
          <w:rStyle w:val="normaltextrun"/>
          <w:rFonts w:ascii="Calibri" w:eastAsia="Calibri" w:hAnsi="Calibri" w:cs="Calibri"/>
          <w:sz w:val="22"/>
          <w:szCs w:val="22"/>
        </w:rPr>
        <w:t>Baltimore, MD 21244-8016</w:t>
      </w:r>
      <w:r w:rsidRPr="2AEA391E">
        <w:rPr>
          <w:rStyle w:val="eop"/>
          <w:rFonts w:ascii="Calibri" w:eastAsia="Calibri" w:hAnsi="Calibri" w:cs="Calibri"/>
          <w:sz w:val="22"/>
          <w:szCs w:val="22"/>
        </w:rPr>
        <w:t> </w:t>
      </w:r>
    </w:p>
    <w:p w14:paraId="3FD507ED" w14:textId="77777777" w:rsidR="00DD7281" w:rsidRDefault="2AEA391E" w:rsidP="2AEA391E">
      <w:pPr>
        <w:pStyle w:val="paragraph"/>
        <w:spacing w:before="0" w:beforeAutospacing="0" w:after="0" w:afterAutospacing="0"/>
        <w:textAlignment w:val="baseline"/>
        <w:rPr>
          <w:rFonts w:ascii="Calibri" w:eastAsia="Calibri" w:hAnsi="Calibri" w:cs="Calibri"/>
          <w:sz w:val="18"/>
          <w:szCs w:val="18"/>
        </w:rPr>
      </w:pPr>
      <w:r w:rsidRPr="2AEA391E">
        <w:rPr>
          <w:rStyle w:val="eop"/>
          <w:rFonts w:ascii="Calibri" w:eastAsia="Calibri" w:hAnsi="Calibri" w:cs="Calibri"/>
          <w:sz w:val="22"/>
          <w:szCs w:val="22"/>
        </w:rPr>
        <w:t> </w:t>
      </w:r>
    </w:p>
    <w:p w14:paraId="6A9DD72D" w14:textId="338676EB" w:rsidR="00DD7281" w:rsidRDefault="2AEA391E" w:rsidP="2AEA391E">
      <w:pPr>
        <w:pStyle w:val="paragraph"/>
        <w:spacing w:before="0" w:beforeAutospacing="0" w:after="0" w:afterAutospacing="0"/>
        <w:textAlignment w:val="baseline"/>
        <w:rPr>
          <w:rFonts w:ascii="Calibri" w:eastAsia="Calibri" w:hAnsi="Calibri" w:cs="Calibri"/>
          <w:sz w:val="18"/>
          <w:szCs w:val="18"/>
        </w:rPr>
      </w:pPr>
      <w:r w:rsidRPr="2AEA391E">
        <w:rPr>
          <w:rStyle w:val="normaltextrun"/>
          <w:rFonts w:ascii="Calibri" w:eastAsia="Calibri" w:hAnsi="Calibri" w:cs="Calibri"/>
          <w:sz w:val="22"/>
          <w:szCs w:val="22"/>
        </w:rPr>
        <w:t>June 16, 2025</w:t>
      </w:r>
      <w:r w:rsidRPr="2AEA391E">
        <w:rPr>
          <w:rStyle w:val="eop"/>
          <w:rFonts w:ascii="Calibri" w:eastAsia="Calibri" w:hAnsi="Calibri" w:cs="Calibri"/>
          <w:sz w:val="22"/>
          <w:szCs w:val="22"/>
        </w:rPr>
        <w:t> </w:t>
      </w:r>
    </w:p>
    <w:p w14:paraId="4454CF82" w14:textId="77777777" w:rsidR="00DD7281" w:rsidRDefault="2AEA391E" w:rsidP="2AEA391E">
      <w:pPr>
        <w:pStyle w:val="paragraph"/>
        <w:spacing w:before="0" w:beforeAutospacing="0" w:after="0" w:afterAutospacing="0"/>
        <w:textAlignment w:val="baseline"/>
        <w:rPr>
          <w:rFonts w:ascii="Calibri" w:eastAsia="Calibri" w:hAnsi="Calibri" w:cs="Calibri"/>
          <w:sz w:val="18"/>
          <w:szCs w:val="18"/>
        </w:rPr>
      </w:pPr>
      <w:r w:rsidRPr="2AEA391E">
        <w:rPr>
          <w:rStyle w:val="eop"/>
          <w:rFonts w:ascii="Calibri" w:eastAsia="Calibri" w:hAnsi="Calibri" w:cs="Calibri"/>
          <w:sz w:val="22"/>
          <w:szCs w:val="22"/>
        </w:rPr>
        <w:t> </w:t>
      </w:r>
    </w:p>
    <w:p w14:paraId="04A9993A" w14:textId="759C7673" w:rsidR="00DD7281" w:rsidRDefault="2EDA4280" w:rsidP="2EDA4280">
      <w:pPr>
        <w:pStyle w:val="paragraph"/>
        <w:spacing w:before="0" w:beforeAutospacing="0" w:after="0" w:afterAutospacing="0"/>
        <w:textAlignment w:val="baseline"/>
        <w:rPr>
          <w:rFonts w:ascii="Calibri" w:eastAsia="Calibri" w:hAnsi="Calibri" w:cs="Calibri"/>
          <w:sz w:val="18"/>
          <w:szCs w:val="18"/>
        </w:rPr>
      </w:pPr>
      <w:r w:rsidRPr="2EDA4280">
        <w:rPr>
          <w:rStyle w:val="normaltextrun"/>
          <w:rFonts w:ascii="Calibri" w:eastAsia="Calibri" w:hAnsi="Calibri" w:cs="Calibri"/>
          <w:b/>
          <w:bCs/>
          <w:sz w:val="22"/>
          <w:szCs w:val="22"/>
        </w:rPr>
        <w:t>Re: Request for Information; Health Technology Ecosystem (CMS-2025-0050-0031)</w:t>
      </w:r>
    </w:p>
    <w:p w14:paraId="7968083B" w14:textId="77777777" w:rsidR="00DD7281" w:rsidRDefault="2AEA391E" w:rsidP="2AEA391E">
      <w:pPr>
        <w:pStyle w:val="paragraph"/>
        <w:spacing w:before="0" w:beforeAutospacing="0" w:after="0" w:afterAutospacing="0"/>
        <w:textAlignment w:val="baseline"/>
        <w:rPr>
          <w:rFonts w:ascii="Calibri" w:eastAsia="Calibri" w:hAnsi="Calibri" w:cs="Calibri"/>
          <w:sz w:val="18"/>
          <w:szCs w:val="18"/>
        </w:rPr>
      </w:pPr>
      <w:r w:rsidRPr="2AEA391E">
        <w:rPr>
          <w:rStyle w:val="eop"/>
          <w:rFonts w:ascii="Calibri" w:eastAsia="Calibri" w:hAnsi="Calibri" w:cs="Calibri"/>
          <w:sz w:val="22"/>
          <w:szCs w:val="22"/>
        </w:rPr>
        <w:t> </w:t>
      </w:r>
    </w:p>
    <w:p w14:paraId="01D2B4C8" w14:textId="24A1AA42" w:rsidR="00D1010D" w:rsidRPr="00DD7281" w:rsidRDefault="2AEA391E" w:rsidP="2AEA391E">
      <w:pPr>
        <w:pStyle w:val="paragraph"/>
        <w:spacing w:before="0" w:beforeAutospacing="0" w:after="0" w:afterAutospacing="0"/>
        <w:textAlignment w:val="baseline"/>
        <w:rPr>
          <w:rFonts w:ascii="Calibri" w:eastAsia="Calibri" w:hAnsi="Calibri" w:cs="Calibri"/>
          <w:sz w:val="18"/>
          <w:szCs w:val="18"/>
        </w:rPr>
      </w:pPr>
      <w:r w:rsidRPr="2AEA391E">
        <w:rPr>
          <w:rStyle w:val="eop"/>
          <w:rFonts w:ascii="Calibri" w:eastAsia="Calibri" w:hAnsi="Calibri" w:cs="Calibri"/>
          <w:sz w:val="22"/>
          <w:szCs w:val="22"/>
        </w:rPr>
        <w:t> Dear Administrator Oz,  </w:t>
      </w:r>
    </w:p>
    <w:p w14:paraId="5FC53A3D" w14:textId="77777777" w:rsidR="00DD7281" w:rsidRDefault="2AEA391E" w:rsidP="2AEA391E">
      <w:pPr>
        <w:pStyle w:val="paragraph"/>
        <w:spacing w:before="0" w:beforeAutospacing="0" w:after="0" w:afterAutospacing="0"/>
        <w:textAlignment w:val="baseline"/>
        <w:rPr>
          <w:rFonts w:ascii="Calibri" w:eastAsia="Calibri" w:hAnsi="Calibri" w:cs="Calibri"/>
          <w:sz w:val="18"/>
          <w:szCs w:val="18"/>
        </w:rPr>
      </w:pPr>
      <w:r w:rsidRPr="2AEA391E">
        <w:rPr>
          <w:rStyle w:val="eop"/>
          <w:rFonts w:ascii="Calibri" w:eastAsia="Calibri" w:hAnsi="Calibri" w:cs="Calibri"/>
          <w:sz w:val="22"/>
          <w:szCs w:val="22"/>
        </w:rPr>
        <w:t> </w:t>
      </w:r>
    </w:p>
    <w:p w14:paraId="2C5821AF" w14:textId="13E22440" w:rsidR="00DD7281" w:rsidRDefault="37D521A0" w:rsidP="5A7BE540">
      <w:pPr>
        <w:pStyle w:val="paragraph"/>
        <w:spacing w:before="0" w:beforeAutospacing="0" w:after="0" w:afterAutospacing="0"/>
        <w:textAlignment w:val="baseline"/>
        <w:rPr>
          <w:rFonts w:ascii="Calibri" w:eastAsia="Calibri" w:hAnsi="Calibri" w:cs="Calibri"/>
          <w:sz w:val="18"/>
          <w:szCs w:val="18"/>
        </w:rPr>
      </w:pPr>
      <w:r w:rsidRPr="37D521A0">
        <w:rPr>
          <w:rStyle w:val="normaltextrun"/>
          <w:rFonts w:ascii="Calibri" w:eastAsia="Calibri" w:hAnsi="Calibri" w:cs="Calibri"/>
          <w:sz w:val="22"/>
          <w:szCs w:val="22"/>
        </w:rPr>
        <w:t xml:space="preserve">The Robert J. Margolis, MD Institute for Health Policy at Duke University (Duke-Margolis Institute) appreciates this opportunity to comment on the Centers of Medicare and Medicaid Services’ Request for Information; Health Technology Ecosystem (CMS-2025-0050-0031), henceforth known as the </w:t>
      </w:r>
      <w:r w:rsidR="0023436F">
        <w:rPr>
          <w:rStyle w:val="normaltextrun"/>
          <w:rFonts w:ascii="Calibri" w:eastAsia="Calibri" w:hAnsi="Calibri" w:cs="Calibri"/>
          <w:sz w:val="22"/>
          <w:szCs w:val="22"/>
        </w:rPr>
        <w:t>RFI.</w:t>
      </w:r>
    </w:p>
    <w:p w14:paraId="4C110327" w14:textId="77777777" w:rsidR="00DD7281" w:rsidRDefault="2AEA391E" w:rsidP="2AEA391E">
      <w:pPr>
        <w:pStyle w:val="paragraph"/>
        <w:spacing w:before="0" w:beforeAutospacing="0" w:after="0" w:afterAutospacing="0"/>
        <w:textAlignment w:val="baseline"/>
        <w:rPr>
          <w:rFonts w:ascii="Calibri" w:eastAsia="Calibri" w:hAnsi="Calibri" w:cs="Calibri"/>
          <w:sz w:val="18"/>
          <w:szCs w:val="18"/>
        </w:rPr>
      </w:pPr>
      <w:r w:rsidRPr="2AEA391E">
        <w:rPr>
          <w:rStyle w:val="eop"/>
          <w:rFonts w:ascii="Calibri" w:eastAsia="Calibri" w:hAnsi="Calibri" w:cs="Calibri"/>
          <w:sz w:val="22"/>
          <w:szCs w:val="22"/>
        </w:rPr>
        <w:t> </w:t>
      </w:r>
    </w:p>
    <w:p w14:paraId="43B2BB12" w14:textId="77777777" w:rsidR="00DD7281" w:rsidRDefault="2AEA391E" w:rsidP="2AEA391E">
      <w:pPr>
        <w:pStyle w:val="paragraph"/>
        <w:spacing w:before="0" w:beforeAutospacing="0" w:after="0" w:afterAutospacing="0"/>
        <w:textAlignment w:val="baseline"/>
        <w:rPr>
          <w:rFonts w:ascii="Calibri" w:eastAsia="Calibri" w:hAnsi="Calibri" w:cs="Calibri"/>
          <w:sz w:val="18"/>
          <w:szCs w:val="18"/>
        </w:rPr>
      </w:pPr>
      <w:r w:rsidRPr="2AEA391E">
        <w:rPr>
          <w:rStyle w:val="normaltextrun"/>
          <w:rFonts w:ascii="Calibri" w:eastAsia="Calibri" w:hAnsi="Calibri" w:cs="Calibri"/>
          <w:b/>
          <w:bCs/>
          <w:sz w:val="22"/>
          <w:szCs w:val="22"/>
        </w:rPr>
        <w:t>About the Duke-Margolis Institute </w:t>
      </w:r>
      <w:r w:rsidRPr="2AEA391E">
        <w:rPr>
          <w:rStyle w:val="eop"/>
          <w:rFonts w:ascii="Calibri" w:eastAsia="Calibri" w:hAnsi="Calibri" w:cs="Calibri"/>
          <w:sz w:val="22"/>
          <w:szCs w:val="22"/>
        </w:rPr>
        <w:t> </w:t>
      </w:r>
    </w:p>
    <w:p w14:paraId="3ABF7B74" w14:textId="77777777" w:rsidR="00DD7281" w:rsidRDefault="2AEA391E" w:rsidP="2AEA391E">
      <w:pPr>
        <w:pStyle w:val="paragraph"/>
        <w:spacing w:before="0" w:beforeAutospacing="0" w:after="0" w:afterAutospacing="0"/>
        <w:textAlignment w:val="baseline"/>
        <w:rPr>
          <w:rFonts w:ascii="Calibri" w:eastAsia="Calibri" w:hAnsi="Calibri" w:cs="Calibri"/>
          <w:sz w:val="18"/>
          <w:szCs w:val="18"/>
        </w:rPr>
      </w:pPr>
      <w:r w:rsidRPr="2AEA391E">
        <w:rPr>
          <w:rStyle w:val="eop"/>
          <w:rFonts w:ascii="Calibri" w:eastAsia="Calibri" w:hAnsi="Calibri" w:cs="Calibri"/>
          <w:sz w:val="22"/>
          <w:szCs w:val="22"/>
        </w:rPr>
        <w:t> </w:t>
      </w:r>
    </w:p>
    <w:p w14:paraId="5EEFE9C7" w14:textId="1C0C8D03" w:rsidR="00DD7281" w:rsidRDefault="5A7BE540" w:rsidP="5A7BE540">
      <w:pPr>
        <w:pStyle w:val="paragraph"/>
        <w:spacing w:before="0" w:beforeAutospacing="0" w:after="0" w:afterAutospacing="0"/>
        <w:textAlignment w:val="baseline"/>
        <w:rPr>
          <w:rFonts w:ascii="Calibri" w:eastAsia="Calibri" w:hAnsi="Calibri" w:cs="Calibri"/>
          <w:sz w:val="18"/>
          <w:szCs w:val="18"/>
        </w:rPr>
      </w:pPr>
      <w:r w:rsidRPr="5A7BE540">
        <w:rPr>
          <w:rStyle w:val="normaltextrun"/>
          <w:rFonts w:ascii="Calibri" w:eastAsia="Calibri" w:hAnsi="Calibri" w:cs="Calibri"/>
          <w:sz w:val="22"/>
          <w:szCs w:val="22"/>
        </w:rPr>
        <w:t>Established with a founding gift through the Robert and Lisa Margolis Family Foundation, the Duke- Margolis Institute aims to generate and analyze evidence across health policy and practice to support the triple aim of health care–improving the experience of care, the health of populations, and reducing per capita cost. The Duke-Margolis Institute’s activities reflect its broad multidisciplinary capabilities, fueled by Duke University’s entrepreneurial culture. It is a university-wide program with staff and offices in both Durham, North Carolina, and Washington, DC, and collaborates with experts on health care policy and practice from across the country and around the world.  </w:t>
      </w:r>
    </w:p>
    <w:p w14:paraId="34E872ED" w14:textId="77777777" w:rsidR="00DD7281" w:rsidRDefault="2AEA391E" w:rsidP="2AEA391E">
      <w:pPr>
        <w:pStyle w:val="paragraph"/>
        <w:spacing w:before="0" w:beforeAutospacing="0" w:after="0" w:afterAutospacing="0"/>
        <w:textAlignment w:val="baseline"/>
        <w:rPr>
          <w:rFonts w:ascii="Calibri" w:eastAsia="Calibri" w:hAnsi="Calibri" w:cs="Calibri"/>
          <w:sz w:val="18"/>
          <w:szCs w:val="18"/>
        </w:rPr>
      </w:pPr>
      <w:r w:rsidRPr="2AEA391E">
        <w:rPr>
          <w:rStyle w:val="eop"/>
          <w:rFonts w:ascii="Calibri" w:eastAsia="Calibri" w:hAnsi="Calibri" w:cs="Calibri"/>
          <w:sz w:val="22"/>
          <w:szCs w:val="22"/>
        </w:rPr>
        <w:t> </w:t>
      </w:r>
    </w:p>
    <w:p w14:paraId="548DBCB2" w14:textId="77777777" w:rsidR="00DD7281" w:rsidRDefault="2AEA391E" w:rsidP="2AEA391E">
      <w:pPr>
        <w:pStyle w:val="paragraph"/>
        <w:spacing w:before="0" w:beforeAutospacing="0" w:after="0" w:afterAutospacing="0"/>
        <w:textAlignment w:val="baseline"/>
        <w:rPr>
          <w:rFonts w:ascii="Calibri" w:eastAsia="Calibri" w:hAnsi="Calibri" w:cs="Calibri"/>
          <w:sz w:val="18"/>
          <w:szCs w:val="18"/>
        </w:rPr>
      </w:pPr>
      <w:r w:rsidRPr="2AEA391E">
        <w:rPr>
          <w:rStyle w:val="normaltextrun"/>
          <w:rFonts w:ascii="Calibri" w:eastAsia="Calibri" w:hAnsi="Calibri" w:cs="Calibri"/>
          <w:sz w:val="22"/>
          <w:szCs w:val="22"/>
        </w:rPr>
        <w:t>The mission of the Duke-Margolis Institute is to improve health and the value of health care through practical, innovative, and evidence-based policy solutions. The Institute’s work includes identifying effective delivery and payment reform approaches that support the transition to value-based care and collaborating with expert stakeholders to identify pathways to increase the value of biomedical innovation to patients – both through better health outcomes and lower overall health care spending.</w:t>
      </w:r>
      <w:r w:rsidRPr="2AEA391E">
        <w:rPr>
          <w:rStyle w:val="eop"/>
          <w:rFonts w:ascii="Calibri" w:eastAsia="Calibri" w:hAnsi="Calibri" w:cs="Calibri"/>
          <w:sz w:val="22"/>
          <w:szCs w:val="22"/>
        </w:rPr>
        <w:t> </w:t>
      </w:r>
    </w:p>
    <w:p w14:paraId="5C8CE742" w14:textId="5150C712" w:rsidR="00DD7281" w:rsidRDefault="5A7BE540" w:rsidP="5A7BE540">
      <w:pPr>
        <w:pStyle w:val="paragraph"/>
        <w:spacing w:before="0" w:beforeAutospacing="0" w:after="0" w:afterAutospacing="0"/>
        <w:textAlignment w:val="baseline"/>
        <w:rPr>
          <w:rFonts w:ascii="Calibri" w:eastAsia="Calibri" w:hAnsi="Calibri" w:cs="Calibri"/>
          <w:sz w:val="18"/>
          <w:szCs w:val="18"/>
        </w:rPr>
      </w:pPr>
      <w:r w:rsidRPr="5A7BE540">
        <w:rPr>
          <w:rStyle w:val="normaltextrun"/>
          <w:rFonts w:ascii="Calibri" w:eastAsia="Calibri" w:hAnsi="Calibri" w:cs="Calibri"/>
          <w:sz w:val="22"/>
          <w:szCs w:val="22"/>
        </w:rPr>
        <w:t>Duke-Margolis and University-wide faculty and staff have extensive experience in analyzing data to develop practical policy solutions and insights into Centers for Medicare &amp; Medicaid Services’ programs.  </w:t>
      </w:r>
    </w:p>
    <w:p w14:paraId="2490ACB7" w14:textId="77777777" w:rsidR="00DD7281" w:rsidRDefault="2AEA391E" w:rsidP="2AEA391E">
      <w:pPr>
        <w:pStyle w:val="paragraph"/>
        <w:spacing w:before="0" w:beforeAutospacing="0" w:after="0" w:afterAutospacing="0"/>
        <w:textAlignment w:val="baseline"/>
        <w:rPr>
          <w:rFonts w:ascii="Calibri" w:eastAsia="Calibri" w:hAnsi="Calibri" w:cs="Calibri"/>
          <w:sz w:val="18"/>
          <w:szCs w:val="18"/>
        </w:rPr>
      </w:pPr>
      <w:r w:rsidRPr="2AEA391E">
        <w:rPr>
          <w:rStyle w:val="eop"/>
          <w:rFonts w:ascii="Calibri" w:eastAsia="Calibri" w:hAnsi="Calibri" w:cs="Calibri"/>
          <w:sz w:val="22"/>
          <w:szCs w:val="22"/>
        </w:rPr>
        <w:t> </w:t>
      </w:r>
    </w:p>
    <w:p w14:paraId="5D3EA4DF" w14:textId="77777777" w:rsidR="00DD7281" w:rsidRDefault="2AEA391E" w:rsidP="2AEA391E">
      <w:pPr>
        <w:pStyle w:val="Heading3"/>
        <w:rPr>
          <w:rFonts w:ascii="Calibri" w:eastAsia="Calibri" w:hAnsi="Calibri" w:cs="Calibri"/>
          <w:b/>
          <w:bCs/>
          <w:sz w:val="18"/>
          <w:szCs w:val="18"/>
        </w:rPr>
      </w:pPr>
      <w:r w:rsidRPr="2AEA391E">
        <w:rPr>
          <w:rFonts w:ascii="Calibri" w:eastAsia="Calibri" w:hAnsi="Calibri" w:cs="Calibri"/>
          <w:b/>
          <w:bCs/>
        </w:rPr>
        <w:t>Introduction </w:t>
      </w:r>
    </w:p>
    <w:p w14:paraId="5F46435D" w14:textId="73F71BEF" w:rsidR="6A8483A2" w:rsidRDefault="37D521A0" w:rsidP="3721B6B6">
      <w:pPr>
        <w:spacing w:after="20"/>
        <w:rPr>
          <w:rFonts w:ascii="Calibri" w:eastAsia="Calibri" w:hAnsi="Calibri" w:cs="Calibri"/>
          <w:sz w:val="22"/>
          <w:szCs w:val="22"/>
        </w:rPr>
      </w:pPr>
      <w:r w:rsidRPr="37D521A0">
        <w:rPr>
          <w:rFonts w:ascii="Calibri" w:eastAsia="Calibri" w:hAnsi="Calibri" w:cs="Calibri"/>
          <w:sz w:val="22"/>
          <w:szCs w:val="22"/>
        </w:rPr>
        <w:t xml:space="preserve">In this Request for Information (RFI) on the Health Technology Ecosystem (CMS-2025-0050-0031), CMS and ASTP/ONC show a commitment to advancing a patient-centered digital health ecosystem that empowers Medicare beneficiaries and improves current health technology infrastructure. The RFI focuses on enhancing functionality, reducing barriers to data access, and supporting value-based care. </w:t>
      </w:r>
    </w:p>
    <w:p w14:paraId="740CF132" w14:textId="503FB5C1" w:rsidR="6A8483A2" w:rsidRDefault="6A8483A2" w:rsidP="3721B6B6">
      <w:pPr>
        <w:spacing w:after="20"/>
        <w:rPr>
          <w:rFonts w:ascii="Calibri" w:eastAsia="Calibri" w:hAnsi="Calibri" w:cs="Calibri"/>
          <w:sz w:val="22"/>
          <w:szCs w:val="22"/>
        </w:rPr>
      </w:pPr>
    </w:p>
    <w:p w14:paraId="10B8A374" w14:textId="4B6330A5" w:rsidR="3721B6B6" w:rsidRDefault="0EDFD8F4" w:rsidP="0EDFD8F4">
      <w:pPr>
        <w:spacing w:after="20"/>
        <w:contextualSpacing/>
        <w:rPr>
          <w:rFonts w:eastAsiaTheme="minorEastAsia"/>
          <w:sz w:val="22"/>
          <w:szCs w:val="22"/>
        </w:rPr>
      </w:pPr>
      <w:r w:rsidRPr="0EDFD8F4">
        <w:rPr>
          <w:rFonts w:eastAsiaTheme="minorEastAsia"/>
          <w:sz w:val="22"/>
          <w:szCs w:val="22"/>
        </w:rPr>
        <w:t xml:space="preserve">Duke-Margolis believes that this RFI is an important strategic step for the agency. It aligns with the CMS Innovation Center’s </w:t>
      </w:r>
      <w:hyperlink r:id="rId10">
        <w:r w:rsidRPr="0EDFD8F4">
          <w:rPr>
            <w:rStyle w:val="Hyperlink"/>
            <w:rFonts w:eastAsiaTheme="minorEastAsia"/>
            <w:sz w:val="22"/>
            <w:szCs w:val="22"/>
          </w:rPr>
          <w:t>strategy</w:t>
        </w:r>
      </w:hyperlink>
      <w:r w:rsidRPr="0EDFD8F4">
        <w:rPr>
          <w:rFonts w:eastAsiaTheme="minorEastAsia"/>
          <w:sz w:val="22"/>
          <w:szCs w:val="22"/>
        </w:rPr>
        <w:t xml:space="preserve"> refresh, which highlighted a focus on unlocking data access through innovative technology that empowers patients to meet their health goals. Duke-Margolis hosted a </w:t>
      </w:r>
      <w:r w:rsidRPr="0EDFD8F4">
        <w:rPr>
          <w:rFonts w:eastAsiaTheme="minorEastAsia"/>
          <w:sz w:val="22"/>
          <w:szCs w:val="22"/>
        </w:rPr>
        <w:lastRenderedPageBreak/>
        <w:t>recent public CMMI strategy launch webinar, during which we received questions and comment related to the many important topics CMS raises in this RFI. Duke-Margolis's ongoing efforts to contribute to the health technology ecosystem include:</w:t>
      </w:r>
    </w:p>
    <w:p w14:paraId="0BDC4AE7" w14:textId="23ABA365" w:rsidR="3721B6B6" w:rsidRDefault="3721B6B6" w:rsidP="0EDFD8F4">
      <w:pPr>
        <w:spacing w:after="20"/>
        <w:contextualSpacing/>
        <w:rPr>
          <w:rFonts w:eastAsiaTheme="minorEastAsia"/>
          <w:sz w:val="22"/>
          <w:szCs w:val="22"/>
        </w:rPr>
      </w:pPr>
    </w:p>
    <w:p w14:paraId="27AE7FD0" w14:textId="42511FF9" w:rsidR="3721B6B6" w:rsidRDefault="0EDFD8F4" w:rsidP="0EDFD8F4">
      <w:pPr>
        <w:pStyle w:val="ListParagraph"/>
        <w:numPr>
          <w:ilvl w:val="0"/>
          <w:numId w:val="23"/>
        </w:numPr>
        <w:spacing w:after="20"/>
      </w:pPr>
      <w:r w:rsidRPr="0EDFD8F4">
        <w:rPr>
          <w:rFonts w:eastAsiaTheme="minorEastAsia"/>
          <w:sz w:val="22"/>
          <w:szCs w:val="22"/>
        </w:rPr>
        <w:t>Multistakeholder approach to modernizing risk adjustment and performance measurement through utilizing clinical and pharmacy data already within electronic health records to enhance payment accuracy, reduce administrative burden, and promote prevention-</w:t>
      </w:r>
      <w:r w:rsidRPr="0EDFD8F4">
        <w:rPr>
          <w:sz w:val="22"/>
          <w:szCs w:val="22"/>
        </w:rPr>
        <w:t>oriented care for Medicare beneficiaries.</w:t>
      </w:r>
    </w:p>
    <w:p w14:paraId="6DE10B9B" w14:textId="7CFA758B" w:rsidR="3721B6B6" w:rsidRDefault="0EDFD8F4" w:rsidP="0EDFD8F4">
      <w:pPr>
        <w:pStyle w:val="ListParagraph"/>
        <w:numPr>
          <w:ilvl w:val="0"/>
          <w:numId w:val="23"/>
        </w:numPr>
        <w:spacing w:after="20"/>
        <w:rPr>
          <w:rFonts w:eastAsiaTheme="minorEastAsia"/>
        </w:rPr>
      </w:pPr>
      <w:r w:rsidRPr="0EDFD8F4">
        <w:rPr>
          <w:rFonts w:eastAsiaTheme="minorEastAsia"/>
          <w:sz w:val="22"/>
          <w:szCs w:val="22"/>
        </w:rPr>
        <w:t>Supporting the Health Care Payment Learning and Action Network (HCP-LAN), including its new Technology-Enabled Health Care Workgroup that will focus on developing, incentivizing, and implementing use cases for consumer-facing health care applications and address barriers to interoperability. The HCPLAN is co-led by the Director of Duke-Margolis, Dr. Mark McClellan, to with a goal of creating a clear value proposition and implementation pathway for technology in health care.</w:t>
      </w:r>
    </w:p>
    <w:p w14:paraId="265D05A8" w14:textId="5DAF8B85" w:rsidR="3721B6B6" w:rsidRDefault="0EDFD8F4" w:rsidP="0EDFD8F4">
      <w:pPr>
        <w:pStyle w:val="ListParagraph"/>
        <w:numPr>
          <w:ilvl w:val="0"/>
          <w:numId w:val="23"/>
        </w:numPr>
        <w:spacing w:after="20"/>
        <w:rPr>
          <w:sz w:val="22"/>
          <w:szCs w:val="22"/>
        </w:rPr>
      </w:pPr>
      <w:r w:rsidRPr="0EDFD8F4">
        <w:rPr>
          <w:rFonts w:eastAsiaTheme="minorEastAsia"/>
          <w:sz w:val="22"/>
          <w:szCs w:val="22"/>
        </w:rPr>
        <w:t xml:space="preserve">Advancing the use of secure, anonymized data from CMS, and other payers and providers, to support rapid assessment and learning to accelerate health care reform. For example, in 2024, Duke-Margolis responded to CMS’s Request for Information on the </w:t>
      </w:r>
      <w:hyperlink r:id="rId11">
        <w:r w:rsidRPr="0EDFD8F4">
          <w:rPr>
            <w:rStyle w:val="Hyperlink"/>
            <w:rFonts w:eastAsiaTheme="minorEastAsia"/>
            <w:sz w:val="22"/>
            <w:szCs w:val="22"/>
          </w:rPr>
          <w:t>Medicare Advantage data (CMS-4207-NC),</w:t>
        </w:r>
      </w:hyperlink>
      <w:r w:rsidRPr="0EDFD8F4">
        <w:rPr>
          <w:rFonts w:eastAsiaTheme="minorEastAsia"/>
          <w:sz w:val="22"/>
          <w:szCs w:val="22"/>
        </w:rPr>
        <w:t xml:space="preserve"> recommending that CMS </w:t>
      </w:r>
      <w:r w:rsidRPr="0EDFD8F4">
        <w:rPr>
          <w:sz w:val="22"/>
          <w:szCs w:val="22"/>
        </w:rPr>
        <w:t>promote researcher access to data by implementing and supporting a collaborative process with researchers and other key stakeholders to identify a path forward to enhance data capabilities in MA and continue to strengthen the program.</w:t>
      </w:r>
    </w:p>
    <w:p w14:paraId="016D74B8" w14:textId="4A934781" w:rsidR="3721B6B6" w:rsidRDefault="3721B6B6" w:rsidP="0EDFD8F4">
      <w:pPr>
        <w:spacing w:after="20"/>
        <w:contextualSpacing/>
        <w:rPr>
          <w:rFonts w:eastAsiaTheme="minorEastAsia"/>
          <w:sz w:val="22"/>
          <w:szCs w:val="22"/>
        </w:rPr>
      </w:pPr>
    </w:p>
    <w:p w14:paraId="7D34225C" w14:textId="37A83ACE" w:rsidR="0EDFD8F4" w:rsidRDefault="4D770F80" w:rsidP="0EDFD8F4">
      <w:pPr>
        <w:spacing w:after="20"/>
        <w:contextualSpacing/>
        <w:rPr>
          <w:rFonts w:eastAsiaTheme="minorEastAsia"/>
          <w:sz w:val="22"/>
          <w:szCs w:val="22"/>
        </w:rPr>
      </w:pPr>
      <w:r w:rsidRPr="4D770F80">
        <w:rPr>
          <w:rFonts w:eastAsiaTheme="minorEastAsia"/>
          <w:sz w:val="22"/>
          <w:szCs w:val="22"/>
        </w:rPr>
        <w:t xml:space="preserve">Duke-Margolis is aligned with the broader vision of the </w:t>
      </w:r>
      <w:hyperlink r:id="rId12">
        <w:r w:rsidRPr="4D770F80">
          <w:rPr>
            <w:rStyle w:val="Hyperlink"/>
            <w:rFonts w:eastAsiaTheme="minorEastAsia"/>
            <w:sz w:val="22"/>
            <w:szCs w:val="22"/>
          </w:rPr>
          <w:t>21st Century Cures Act</w:t>
        </w:r>
      </w:hyperlink>
      <w:r w:rsidRPr="4D770F80">
        <w:rPr>
          <w:rFonts w:eastAsiaTheme="minorEastAsia"/>
          <w:sz w:val="22"/>
          <w:szCs w:val="22"/>
        </w:rPr>
        <w:t xml:space="preserve"> to enhance patient access to health information and remove barriers to data exchange and information blocking for both patients and providers. In order to unlock the potential of technology in healthcare that will positively influence patient outcomes, </w:t>
      </w:r>
      <w:r w:rsidRPr="4D770F80">
        <w:rPr>
          <w:rFonts w:eastAsiaTheme="minorEastAsia"/>
          <w:b/>
          <w:bCs/>
          <w:sz w:val="22"/>
          <w:szCs w:val="22"/>
        </w:rPr>
        <w:t xml:space="preserve">Duke-Margolis encourages CMS to leverage supporting policies, such as those in the Shared Savings Program and other payment systems, to incentivize provider, payer, and other stakeholder investment in strong data infrastructure to advance efficient, interoperable data exchange through policy levers that encourage the adoption of interoperable processes. </w:t>
      </w:r>
      <w:r w:rsidRPr="4D770F80">
        <w:rPr>
          <w:rFonts w:eastAsiaTheme="minorEastAsia"/>
          <w:sz w:val="22"/>
          <w:szCs w:val="22"/>
        </w:rPr>
        <w:t>We provide detailed responses to the RFI along the following themes:</w:t>
      </w:r>
    </w:p>
    <w:p w14:paraId="062B6387" w14:textId="1CBC4AD5" w:rsidR="787F6518" w:rsidRDefault="787F6518" w:rsidP="787F6518">
      <w:pPr>
        <w:spacing w:after="20"/>
        <w:contextualSpacing/>
        <w:rPr>
          <w:rFonts w:eastAsiaTheme="minorEastAsia"/>
          <w:sz w:val="22"/>
          <w:szCs w:val="22"/>
        </w:rPr>
      </w:pPr>
    </w:p>
    <w:p w14:paraId="3333F44A" w14:textId="1793929A" w:rsidR="4167EDE2" w:rsidRDefault="14628829" w:rsidP="4167EDE2">
      <w:pPr>
        <w:pStyle w:val="ListParagraph"/>
        <w:numPr>
          <w:ilvl w:val="0"/>
          <w:numId w:val="23"/>
        </w:numPr>
        <w:spacing w:after="20"/>
        <w:rPr>
          <w:rFonts w:ascii="Calibri" w:eastAsia="Calibri" w:hAnsi="Calibri" w:cs="Calibri"/>
          <w:sz w:val="22"/>
          <w:szCs w:val="22"/>
        </w:rPr>
      </w:pPr>
      <w:r w:rsidRPr="14628829">
        <w:rPr>
          <w:rFonts w:ascii="Calibri" w:eastAsia="Calibri" w:hAnsi="Calibri" w:cs="Calibri"/>
          <w:sz w:val="22"/>
          <w:szCs w:val="22"/>
        </w:rPr>
        <w:t>Proposing a Strategic Vision for Tech-Enabled Care</w:t>
      </w:r>
    </w:p>
    <w:p w14:paraId="78921211" w14:textId="126A0ADC" w:rsidR="2EE2D614" w:rsidRDefault="2EE2D614" w:rsidP="2EE2D614">
      <w:pPr>
        <w:pStyle w:val="ListParagraph"/>
        <w:numPr>
          <w:ilvl w:val="0"/>
          <w:numId w:val="23"/>
        </w:numPr>
        <w:spacing w:after="20"/>
        <w:rPr>
          <w:rFonts w:ascii="Calibri" w:eastAsia="Calibri" w:hAnsi="Calibri" w:cs="Calibri"/>
        </w:rPr>
      </w:pPr>
      <w:r w:rsidRPr="2EE2D614">
        <w:rPr>
          <w:rFonts w:ascii="Calibri" w:eastAsia="Calibri" w:hAnsi="Calibri" w:cs="Calibri"/>
          <w:sz w:val="22"/>
          <w:szCs w:val="22"/>
        </w:rPr>
        <w:t>Evaluating Efficacy of Digital Health Tools (DHTs)</w:t>
      </w:r>
    </w:p>
    <w:p w14:paraId="232EA73E" w14:textId="31536789" w:rsidR="2EE2D614" w:rsidRDefault="2EE2D614" w:rsidP="2EE2D614">
      <w:pPr>
        <w:pStyle w:val="ListParagraph"/>
        <w:numPr>
          <w:ilvl w:val="0"/>
          <w:numId w:val="23"/>
        </w:numPr>
        <w:rPr>
          <w:rFonts w:ascii="Calibri" w:eastAsia="Calibri" w:hAnsi="Calibri" w:cs="Calibri"/>
          <w:sz w:val="22"/>
          <w:szCs w:val="22"/>
        </w:rPr>
      </w:pPr>
      <w:r w:rsidRPr="2EE2D614">
        <w:rPr>
          <w:rFonts w:ascii="Calibri" w:eastAsia="Calibri" w:hAnsi="Calibri" w:cs="Calibri"/>
          <w:sz w:val="22"/>
          <w:szCs w:val="22"/>
        </w:rPr>
        <w:t>Encouraging Implementation and Scaling of Effective Digital Health Tools Through Meaningful Incentives</w:t>
      </w:r>
    </w:p>
    <w:p w14:paraId="6CC8C719" w14:textId="431C6FCD" w:rsidR="3721B6B6" w:rsidRDefault="713EC5B7" w:rsidP="4167EDE2">
      <w:pPr>
        <w:pStyle w:val="ListParagraph"/>
        <w:numPr>
          <w:ilvl w:val="0"/>
          <w:numId w:val="23"/>
        </w:numPr>
        <w:rPr>
          <w:rFonts w:ascii="Calibri" w:eastAsia="Calibri" w:hAnsi="Calibri" w:cs="Calibri"/>
          <w:sz w:val="22"/>
          <w:szCs w:val="22"/>
        </w:rPr>
      </w:pPr>
      <w:r w:rsidRPr="713EC5B7">
        <w:rPr>
          <w:rFonts w:ascii="Calibri" w:eastAsia="Calibri" w:hAnsi="Calibri" w:cs="Calibri"/>
          <w:sz w:val="22"/>
          <w:szCs w:val="22"/>
        </w:rPr>
        <w:t>Simplifying Data Exchange to Reduce Reporting and Measurement Burden</w:t>
      </w:r>
    </w:p>
    <w:p w14:paraId="468F8A97" w14:textId="29FE1612" w:rsidR="0EDFD8F4" w:rsidRDefault="0EDFD8F4" w:rsidP="0EDFD8F4">
      <w:pPr>
        <w:spacing w:line="259" w:lineRule="auto"/>
        <w:rPr>
          <w:rFonts w:ascii="Calibri" w:eastAsia="Calibri" w:hAnsi="Calibri" w:cs="Calibri"/>
          <w:sz w:val="22"/>
          <w:szCs w:val="22"/>
        </w:rPr>
      </w:pPr>
    </w:p>
    <w:p w14:paraId="6DFFD539" w14:textId="45E9E79B" w:rsidR="00DD7281" w:rsidRDefault="35651071" w:rsidP="591CD856">
      <w:pPr>
        <w:pStyle w:val="Heading3"/>
        <w:rPr>
          <w:rStyle w:val="normaltextrun"/>
          <w:rFonts w:ascii="Calibri" w:eastAsia="Calibri" w:hAnsi="Calibri" w:cs="Calibri"/>
          <w:b/>
          <w:bCs/>
          <w:color w:val="0070C0"/>
        </w:rPr>
      </w:pPr>
      <w:r w:rsidRPr="35651071">
        <w:rPr>
          <w:rFonts w:ascii="Calibri" w:eastAsia="Calibri" w:hAnsi="Calibri" w:cs="Calibri"/>
          <w:b/>
          <w:bCs/>
        </w:rPr>
        <w:t>A Strategic Vision for Tech-Enabled Care</w:t>
      </w:r>
    </w:p>
    <w:p w14:paraId="1501D98E" w14:textId="1A190050" w:rsidR="1846A498" w:rsidRDefault="1846A498" w:rsidP="1846A498">
      <w:pPr>
        <w:spacing w:line="259" w:lineRule="auto"/>
        <w:rPr>
          <w:rFonts w:ascii="Calibri" w:eastAsia="Calibri" w:hAnsi="Calibri" w:cs="Calibri"/>
          <w:color w:val="000000" w:themeColor="text1"/>
          <w:sz w:val="22"/>
          <w:szCs w:val="22"/>
        </w:rPr>
      </w:pPr>
    </w:p>
    <w:p w14:paraId="37DC018F" w14:textId="1347E212" w:rsidR="3721B6B6" w:rsidRDefault="4DA879A7" w:rsidP="24DDD0AE">
      <w:pPr>
        <w:spacing w:line="259" w:lineRule="auto"/>
        <w:rPr>
          <w:rFonts w:ascii="Calibri" w:eastAsia="Calibri" w:hAnsi="Calibri" w:cs="Calibri"/>
          <w:color w:val="000000" w:themeColor="text1"/>
          <w:sz w:val="22"/>
          <w:szCs w:val="22"/>
        </w:rPr>
      </w:pPr>
      <w:r w:rsidRPr="4DA879A7">
        <w:rPr>
          <w:rFonts w:ascii="Calibri" w:eastAsia="Calibri" w:hAnsi="Calibri" w:cs="Calibri"/>
          <w:color w:val="000000" w:themeColor="text1"/>
          <w:sz w:val="22"/>
          <w:szCs w:val="22"/>
        </w:rPr>
        <w:t xml:space="preserve">The current US health care delivery system has been challenged in availing itself of recent technological advancements that other industries have been able to due to a variety of legal, technical, administrative, and financial barriers. For example, technology vendors have obligations to promote interoperability of the data </w:t>
      </w:r>
      <w:r w:rsidR="00F55682">
        <w:rPr>
          <w:rFonts w:ascii="Calibri" w:eastAsia="Calibri" w:hAnsi="Calibri" w:cs="Calibri"/>
          <w:color w:val="000000" w:themeColor="text1"/>
          <w:sz w:val="22"/>
          <w:szCs w:val="22"/>
        </w:rPr>
        <w:t>and</w:t>
      </w:r>
      <w:r w:rsidRPr="4DA879A7">
        <w:rPr>
          <w:rFonts w:ascii="Calibri" w:eastAsia="Calibri" w:hAnsi="Calibri" w:cs="Calibri"/>
          <w:color w:val="000000" w:themeColor="text1"/>
          <w:sz w:val="22"/>
          <w:szCs w:val="22"/>
        </w:rPr>
        <w:t xml:space="preserve"> ensuring its security, while also obtaining a return on their investments. Providers collect, store, and analyze data for quality improvement activities and (usually fee-for-service) business purposes, while patients advocate for data rights, privacy, and support for using data and technology to improve their care.</w:t>
      </w:r>
    </w:p>
    <w:p w14:paraId="707BEC9F" w14:textId="55A2340E" w:rsidR="3721B6B6" w:rsidRDefault="3721B6B6" w:rsidP="24DDD0AE">
      <w:pPr>
        <w:spacing w:line="259" w:lineRule="auto"/>
        <w:rPr>
          <w:rFonts w:ascii="Calibri" w:eastAsia="Calibri" w:hAnsi="Calibri" w:cs="Calibri"/>
          <w:color w:val="000000" w:themeColor="text1"/>
          <w:sz w:val="22"/>
          <w:szCs w:val="22"/>
        </w:rPr>
      </w:pPr>
    </w:p>
    <w:p w14:paraId="5FB1179F" w14:textId="35967DB4" w:rsidR="368A1688" w:rsidRDefault="4DA879A7" w:rsidP="0651270A">
      <w:pPr>
        <w:spacing w:line="259" w:lineRule="auto"/>
        <w:rPr>
          <w:rFonts w:ascii="Calibri" w:eastAsia="Calibri" w:hAnsi="Calibri" w:cs="Calibri"/>
          <w:color w:val="000000" w:themeColor="text1"/>
          <w:sz w:val="22"/>
          <w:szCs w:val="22"/>
        </w:rPr>
      </w:pPr>
      <w:r w:rsidRPr="4DA879A7">
        <w:rPr>
          <w:rFonts w:ascii="Calibri" w:eastAsia="Calibri" w:hAnsi="Calibri" w:cs="Calibri"/>
          <w:color w:val="000000" w:themeColor="text1"/>
          <w:sz w:val="22"/>
          <w:szCs w:val="22"/>
        </w:rPr>
        <w:t>The health technology landscape for providers remains challenging to navigate; administrative burden associated with changing regulatory requirements and inconsistent policies across payers (especially non-FFS, “value-based” payers) is a large pain point. While implementing technology improvements can benefit clinical operations through some gains in efficiency, they can be difficult to integrate into clinical workflows and often lead to burden increases in the short run. Health systems are also interested in achieving increases in productivity and health value through applying AI, though there is not agreement on which tools to prioritize, for what purposes, and how to reliably measure impact. Finally, cost is a significant barrier. Implementing technology in health systems is resource-intensive, requiring providers to make tradeoffs in what they choose to invest in based on their population health needs, resulting in an increasing digital divide between larger, better-resourced health systems and smaller, less-resourced ones. Therefore, some issues are not technical but stem from misaligned business incentives and motives, and policy change is the mechanism to help foster alignment. Overall, as we describe below, clear business cases are needed to support sufficient data exchange and effective tech-enabled interventions, which are likely to be most effective when implemented through a stepwise approach.</w:t>
      </w:r>
    </w:p>
    <w:p w14:paraId="6C70AFD4" w14:textId="7CB65BFF" w:rsidR="525475B6" w:rsidRDefault="525475B6" w:rsidP="525475B6">
      <w:pPr>
        <w:spacing w:line="259" w:lineRule="auto"/>
        <w:rPr>
          <w:rFonts w:ascii="Calibri" w:eastAsia="Calibri" w:hAnsi="Calibri" w:cs="Calibri"/>
          <w:color w:val="000000" w:themeColor="text1"/>
          <w:sz w:val="22"/>
          <w:szCs w:val="22"/>
        </w:rPr>
      </w:pPr>
    </w:p>
    <w:p w14:paraId="3CBD0478" w14:textId="2FA34721" w:rsidR="1E911D49" w:rsidRDefault="525475B6" w:rsidP="619B7BF2">
      <w:pPr>
        <w:pStyle w:val="ListParagraph"/>
        <w:numPr>
          <w:ilvl w:val="0"/>
          <w:numId w:val="2"/>
        </w:numPr>
        <w:spacing w:line="259" w:lineRule="auto"/>
      </w:pPr>
      <w:r w:rsidRPr="525475B6">
        <w:rPr>
          <w:sz w:val="22"/>
          <w:szCs w:val="22"/>
        </w:rPr>
        <w:t xml:space="preserve">A foundational priority for enhancing tech-enabled care is </w:t>
      </w:r>
      <w:r w:rsidRPr="525475B6">
        <w:rPr>
          <w:b/>
          <w:bCs/>
          <w:sz w:val="22"/>
          <w:szCs w:val="22"/>
        </w:rPr>
        <w:t>strengthening the flows through existing building blocks of a common data infrastructure</w:t>
      </w:r>
      <w:r w:rsidRPr="525475B6">
        <w:rPr>
          <w:sz w:val="22"/>
          <w:szCs w:val="22"/>
        </w:rPr>
        <w:t>. This involves incentives and supports for advancing key data exchange and interoperability for multiple purposes, through leveraging the investment and burgeoning progress with existing interoperability projects, including normalizing bulk FHIR exchange (including provider-payer exchange), United States Core Data for Interoperability (USCDI) standards, and the Trusted Exchange Framework and Common Agreement (TEFCA) on a larger scale. By encouraging, requiring, and/or incentivizing more entities to participate in bulk fashion, CMS can help health care organizations succeed across multiple digital health initiatives</w:t>
      </w:r>
      <w:r w:rsidRPr="525475B6">
        <w:rPr>
          <w:rFonts w:ascii="Calibri" w:eastAsia="Calibri" w:hAnsi="Calibri" w:cs="Calibri"/>
          <w:color w:val="000000" w:themeColor="text1"/>
          <w:sz w:val="22"/>
          <w:szCs w:val="22"/>
        </w:rPr>
        <w:t>.</w:t>
      </w:r>
      <w:r>
        <w:t xml:space="preserve"> </w:t>
      </w:r>
      <w:r w:rsidRPr="525475B6">
        <w:rPr>
          <w:sz w:val="22"/>
          <w:szCs w:val="22"/>
        </w:rPr>
        <w:t>CMS has a unique position and ability to align and catalyze efforts in data and technology. Its strategy towards technology should aim for alignment and synergies in advancing multiple priorities based on a common interoperable foundation, while also considering consent, security, and privacy issues for patient data.</w:t>
      </w:r>
    </w:p>
    <w:p w14:paraId="279BD742" w14:textId="17E891C6" w:rsidR="0A04E638" w:rsidRDefault="0A04E638" w:rsidP="0A04E638">
      <w:pPr>
        <w:spacing w:line="259" w:lineRule="auto"/>
        <w:rPr>
          <w:rFonts w:eastAsiaTheme="minorEastAsia"/>
          <w:color w:val="000000" w:themeColor="text1"/>
          <w:sz w:val="22"/>
          <w:szCs w:val="22"/>
        </w:rPr>
      </w:pPr>
    </w:p>
    <w:p w14:paraId="46510682" w14:textId="5314D39A" w:rsidR="4E316792" w:rsidRPr="00DB1C28" w:rsidRDefault="45C6F1A0" w:rsidP="1FF9F8C2">
      <w:pPr>
        <w:pStyle w:val="ListParagraph"/>
        <w:numPr>
          <w:ilvl w:val="0"/>
          <w:numId w:val="2"/>
        </w:numPr>
        <w:spacing w:line="259" w:lineRule="auto"/>
        <w:rPr>
          <w:rFonts w:eastAsiaTheme="minorEastAsia"/>
        </w:rPr>
      </w:pPr>
      <w:r w:rsidRPr="45C6F1A0">
        <w:rPr>
          <w:sz w:val="22"/>
          <w:szCs w:val="22"/>
        </w:rPr>
        <w:t xml:space="preserve">Alongside a clearer path for a routine, functional common data infrastructure, CMS and industry can then </w:t>
      </w:r>
      <w:r w:rsidRPr="45C6F1A0">
        <w:rPr>
          <w:b/>
          <w:bCs/>
          <w:sz w:val="22"/>
          <w:szCs w:val="22"/>
        </w:rPr>
        <w:t xml:space="preserve">build, and scale health care delivery based on the foundational building blocks, </w:t>
      </w:r>
      <w:r w:rsidRPr="45C6F1A0">
        <w:rPr>
          <w:sz w:val="22"/>
          <w:szCs w:val="22"/>
        </w:rPr>
        <w:t xml:space="preserve">supported by a clear business case for demonstrating evidence of effectiveness of tech-enabled tools. For example, bulk FHIR currently supports the exchange of interoperable data, but it will require more support to enable valid, fit-for-purpose data in high priority opportunities, including data exchange for quality improvement and quality reporting. As CMS is aware, </w:t>
      </w:r>
      <w:hyperlink r:id="rId13">
        <w:r w:rsidRPr="00DB1C28">
          <w:rPr>
            <w:rStyle w:val="Hyperlink"/>
            <w:color w:val="auto"/>
            <w:sz w:val="22"/>
            <w:szCs w:val="22"/>
            <w:u w:val="none"/>
          </w:rPr>
          <w:t>p</w:t>
        </w:r>
      </w:hyperlink>
      <w:r w:rsidRPr="00DB1C28">
        <w:rPr>
          <w:rStyle w:val="Hyperlink"/>
          <w:color w:val="auto"/>
          <w:sz w:val="22"/>
          <w:szCs w:val="22"/>
          <w:u w:val="none"/>
        </w:rPr>
        <w:t>roviders have struggled</w:t>
      </w:r>
      <w:r w:rsidRPr="00DB1C28">
        <w:rPr>
          <w:sz w:val="22"/>
          <w:szCs w:val="22"/>
        </w:rPr>
        <w:t xml:space="preserve"> </w:t>
      </w:r>
      <w:r w:rsidRPr="45C6F1A0">
        <w:rPr>
          <w:sz w:val="22"/>
          <w:szCs w:val="22"/>
        </w:rPr>
        <w:t xml:space="preserve">implementing EHR-abstracted electronic Clinical Quality Measures (eCQMs) for a variety of issues, as a consequence the migration to FHIR has been challenged. Scaling FHIR capabilities more broadly would accelerate efforts to implement digital Quality Measures (dQMs), which alleviate admin burden by providing a mechanism for automated data exchange across multiple sources. </w:t>
      </w:r>
      <w:r w:rsidRPr="45C6F1A0">
        <w:rPr>
          <w:rFonts w:eastAsiaTheme="minorEastAsia"/>
          <w:sz w:val="22"/>
          <w:szCs w:val="22"/>
        </w:rPr>
        <w:t xml:space="preserve">Strong common data infrastructure can benefit other CMS programs and initiatives, such as the HCPLAN Technology-Enabled Health Care Workgroup and CMMI’s Rapid Cycle Innovation Program (RCIP). Such investments can also accelerate the adoption and uptake of transformative therapies, which will rely on efficient care delivery systems and a reliable capacity to track patients and their outcomes over time to realize the </w:t>
      </w:r>
      <w:r w:rsidRPr="45C6F1A0">
        <w:rPr>
          <w:rFonts w:eastAsiaTheme="minorEastAsia"/>
          <w:sz w:val="22"/>
          <w:szCs w:val="22"/>
        </w:rPr>
        <w:lastRenderedPageBreak/>
        <w:t>potential for better management and reduced burden of chronic diseases. Other key processes in healthcare delivery that stand to benefit from a strong data infrastructure include risk adjustment; care coordination involving mobile, satellite, and centralized provider systems; clinical decision support; quality measures; value-based payments; post-market product surveillance; learning health systems; real-world evidence studies; and standardizing AI and other software tools to achieve optimal patient outcomes.</w:t>
      </w:r>
    </w:p>
    <w:p w14:paraId="58078C57" w14:textId="77777777" w:rsidR="00DB1C28" w:rsidRPr="00DB1C28" w:rsidRDefault="00DB1C28" w:rsidP="00DB1C28">
      <w:pPr>
        <w:pStyle w:val="ListParagraph"/>
        <w:spacing w:line="259" w:lineRule="auto"/>
        <w:rPr>
          <w:rFonts w:eastAsiaTheme="minorEastAsia"/>
        </w:rPr>
      </w:pPr>
    </w:p>
    <w:p w14:paraId="48EE11F6" w14:textId="46230FC7" w:rsidR="47A63889" w:rsidRPr="00DB1C28" w:rsidRDefault="0CF78FCF" w:rsidP="55A5454D">
      <w:pPr>
        <w:pStyle w:val="ListParagraph"/>
        <w:numPr>
          <w:ilvl w:val="0"/>
          <w:numId w:val="2"/>
        </w:numPr>
        <w:spacing w:before="240" w:after="240" w:line="259" w:lineRule="auto"/>
        <w:rPr>
          <w:sz w:val="22"/>
          <w:szCs w:val="22"/>
        </w:rPr>
      </w:pPr>
      <w:r w:rsidRPr="0CF78FCF">
        <w:rPr>
          <w:sz w:val="22"/>
          <w:szCs w:val="22"/>
        </w:rPr>
        <w:t xml:space="preserve">CMS should concurrently support </w:t>
      </w:r>
      <w:r w:rsidRPr="0CF78FCF">
        <w:rPr>
          <w:b/>
          <w:bCs/>
          <w:sz w:val="22"/>
          <w:szCs w:val="22"/>
        </w:rPr>
        <w:t>policy reforms to increase alignment across different healthcare delivery models and payment programs</w:t>
      </w:r>
      <w:r w:rsidRPr="0CF78FCF">
        <w:rPr>
          <w:sz w:val="22"/>
          <w:szCs w:val="22"/>
        </w:rPr>
        <w:t xml:space="preserve">. By engaging health care organizations in priority use case and incentive alignment across Traditional Medicare, Medicare Advantage (MA), and state and commercial programs – while recognizing that challenges, priorities, and incentives differ across the programs – CMS can enable more successful digital health adoption and care reforms with broader impact, such as more access to mental health care and strategies and help controlling chronic disease like diabetes and hypertension. There are opportunities across both primary, secondary, and tertiary prevention. For example, </w:t>
      </w:r>
      <w:r w:rsidR="00DB1C28" w:rsidRPr="0CF78FCF">
        <w:rPr>
          <w:sz w:val="22"/>
          <w:szCs w:val="22"/>
        </w:rPr>
        <w:t>leveraging</w:t>
      </w:r>
      <w:r w:rsidRPr="0CF78FCF">
        <w:rPr>
          <w:sz w:val="22"/>
          <w:szCs w:val="22"/>
        </w:rPr>
        <w:t xml:space="preserve"> pharmacy apps that have been </w:t>
      </w:r>
      <w:r w:rsidR="00DB1C28" w:rsidRPr="0CF78FCF">
        <w:rPr>
          <w:sz w:val="22"/>
          <w:szCs w:val="22"/>
        </w:rPr>
        <w:t>shown</w:t>
      </w:r>
      <w:r w:rsidRPr="0CF78FCF">
        <w:rPr>
          <w:sz w:val="22"/>
          <w:szCs w:val="22"/>
        </w:rPr>
        <w:t xml:space="preserve"> to improve medication adherence and reduce exacerbations, but policies would be differentially implemented for an ACO verse an MA plan that may have an integrated pharmacy benefits manager. </w:t>
      </w:r>
    </w:p>
    <w:p w14:paraId="1F40BF9B" w14:textId="40692421" w:rsidR="47A63889" w:rsidRDefault="45C6F1A0" w:rsidP="55A5454D">
      <w:pPr>
        <w:spacing w:before="240" w:after="240" w:line="259" w:lineRule="auto"/>
        <w:rPr>
          <w:rFonts w:ascii="Calibri" w:eastAsia="Calibri" w:hAnsi="Calibri" w:cs="Calibri"/>
          <w:color w:val="000000" w:themeColor="text1"/>
          <w:sz w:val="22"/>
          <w:szCs w:val="22"/>
        </w:rPr>
      </w:pPr>
      <w:r w:rsidRPr="45C6F1A0">
        <w:rPr>
          <w:rFonts w:ascii="Calibri" w:eastAsia="Calibri" w:hAnsi="Calibri" w:cs="Calibri"/>
          <w:sz w:val="22"/>
          <w:szCs w:val="22"/>
        </w:rPr>
        <w:t>In conclusion, CMS should consider a pathway to achieve successes in tech-enabled care and digital health tools by strengthening existing initiatives towards a common data infrastructure, identifying applicable use cases and programs, and scaling and aligning these efforts across different programs and patient populations. To operationalize this approach, Duke-Margolis offers our responses and considerations to the CMS technology ecosystem RFI below</w:t>
      </w:r>
      <w:r w:rsidRPr="45C6F1A0">
        <w:rPr>
          <w:rFonts w:ascii="Calibri" w:eastAsia="Calibri" w:hAnsi="Calibri" w:cs="Calibri"/>
          <w:color w:val="000000" w:themeColor="text1"/>
          <w:sz w:val="22"/>
          <w:szCs w:val="22"/>
        </w:rPr>
        <w:t>, categorized across the following themes.</w:t>
      </w:r>
    </w:p>
    <w:p w14:paraId="6D03CB8F" w14:textId="3AE2409E" w:rsidR="56FF230C" w:rsidRDefault="45C6F1A0" w:rsidP="2AEA391E">
      <w:pPr>
        <w:pStyle w:val="Heading3"/>
        <w:rPr>
          <w:rStyle w:val="normaltextrun"/>
          <w:rFonts w:ascii="Calibri" w:eastAsia="Calibri" w:hAnsi="Calibri" w:cs="Calibri"/>
          <w:b/>
          <w:bCs/>
          <w:color w:val="0070C0"/>
        </w:rPr>
      </w:pPr>
      <w:r w:rsidRPr="45C6F1A0">
        <w:rPr>
          <w:rFonts w:ascii="Calibri" w:eastAsia="Calibri" w:hAnsi="Calibri" w:cs="Calibri"/>
          <w:b/>
          <w:bCs/>
        </w:rPr>
        <w:t>Evaluating Efficacy of Digital Health Tools (DHTs)</w:t>
      </w:r>
    </w:p>
    <w:p w14:paraId="467BB0B1" w14:textId="4A21122B" w:rsidR="525475B6" w:rsidRDefault="45C6F1A0" w:rsidP="525475B6">
      <w:pPr>
        <w:pStyle w:val="paragraph"/>
        <w:spacing w:line="259" w:lineRule="auto"/>
        <w:rPr>
          <w:rStyle w:val="normaltextrun"/>
          <w:rFonts w:ascii="Calibri" w:eastAsia="Calibri" w:hAnsi="Calibri" w:cs="Calibri"/>
          <w:sz w:val="22"/>
          <w:szCs w:val="22"/>
        </w:rPr>
      </w:pPr>
      <w:r w:rsidRPr="45C6F1A0">
        <w:rPr>
          <w:rStyle w:val="normaltextrun"/>
          <w:rFonts w:ascii="Calibri" w:eastAsia="Calibri" w:hAnsi="Calibri" w:cs="Calibri"/>
          <w:sz w:val="22"/>
          <w:szCs w:val="22"/>
        </w:rPr>
        <w:t>These comments refer primarily to PC-5a and PR-4, which focus on evaluating the efficacy of patient-facing DHTs and CMS’s potential role in reviewing or approving these products based on their efficacy, quality, or impact on health outcomes. Evaluations of DHTs’ ability to sustainably improve patient health outcomes, particularly patient-facing tools not under FDA authority, can be challenging for individual product developers to implement. They are often poorly controlled, short-term, and do not provide findings that clearly address the business needs of payers or providers (i.e., confident return on effort and financial costs of adoption). Despite a range of private-sector efforts, there is still no broadly accepted framework or scaled platform for addressing these impact questions, leading to inconsistent methodologies and criteria for adoption. Applications that require myriad manual inputs or have unfriendly user design result in low engagement. This absence of a unified approach contributes to duplicative efforts and inconsistent adoption across the industry.</w:t>
      </w:r>
    </w:p>
    <w:p w14:paraId="4095FA8C" w14:textId="583CA725" w:rsidR="1D87AE44" w:rsidRDefault="7617AA0B" w:rsidP="1D87AE44">
      <w:pPr>
        <w:pStyle w:val="paragraph"/>
        <w:spacing w:line="259" w:lineRule="auto"/>
        <w:rPr>
          <w:rStyle w:val="normaltextrun"/>
          <w:rFonts w:ascii="Calibri" w:eastAsia="Calibri" w:hAnsi="Calibri" w:cs="Calibri"/>
          <w:sz w:val="22"/>
          <w:szCs w:val="22"/>
        </w:rPr>
      </w:pPr>
      <w:r w:rsidRPr="7617AA0B">
        <w:rPr>
          <w:rStyle w:val="normaltextrun"/>
          <w:rFonts w:ascii="Calibri" w:eastAsia="Calibri" w:hAnsi="Calibri" w:cs="Calibri"/>
          <w:sz w:val="22"/>
          <w:szCs w:val="22"/>
        </w:rPr>
        <w:t xml:space="preserve">In light of this, Duke-Margolis proposes the following considerations for CMS. </w:t>
      </w:r>
    </w:p>
    <w:p w14:paraId="7F336737" w14:textId="3A513117" w:rsidR="7617AA0B" w:rsidRDefault="7617AA0B" w:rsidP="7617AA0B">
      <w:pPr>
        <w:pStyle w:val="paragraph"/>
        <w:spacing w:line="259" w:lineRule="auto"/>
        <w:rPr>
          <w:rStyle w:val="normaltextrun"/>
          <w:rFonts w:ascii="Calibri" w:eastAsia="Calibri" w:hAnsi="Calibri" w:cs="Calibri"/>
          <w:sz w:val="22"/>
          <w:szCs w:val="22"/>
        </w:rPr>
      </w:pPr>
    </w:p>
    <w:p w14:paraId="379289F6" w14:textId="56BFE4B2" w:rsidR="0D04516E" w:rsidRDefault="45C6F1A0" w:rsidP="0D04516E">
      <w:pPr>
        <w:pStyle w:val="paragraph"/>
        <w:numPr>
          <w:ilvl w:val="0"/>
          <w:numId w:val="20"/>
        </w:numPr>
        <w:spacing w:line="259" w:lineRule="auto"/>
        <w:rPr>
          <w:rStyle w:val="normaltextrun"/>
          <w:rFonts w:ascii="Calibri" w:eastAsia="Calibri" w:hAnsi="Calibri" w:cs="Calibri"/>
          <w:sz w:val="22"/>
          <w:szCs w:val="22"/>
        </w:rPr>
      </w:pPr>
      <w:r w:rsidRPr="45C6F1A0">
        <w:rPr>
          <w:rStyle w:val="normaltextrun"/>
          <w:rFonts w:ascii="Calibri" w:eastAsia="Calibri" w:hAnsi="Calibri" w:cs="Calibri"/>
          <w:b/>
          <w:bCs/>
          <w:sz w:val="22"/>
          <w:szCs w:val="22"/>
        </w:rPr>
        <w:lastRenderedPageBreak/>
        <w:t xml:space="preserve">Oversight in DHT Evaluation. </w:t>
      </w:r>
      <w:r w:rsidRPr="45C6F1A0">
        <w:rPr>
          <w:rStyle w:val="normaltextrun"/>
          <w:rFonts w:ascii="Calibri" w:eastAsia="Calibri" w:hAnsi="Calibri" w:cs="Calibri"/>
          <w:sz w:val="22"/>
          <w:szCs w:val="22"/>
        </w:rPr>
        <w:t xml:space="preserve">CMS should consider guidance on what evidence is needed to support reimbursement and payment for DHTs. The Food and Drug Administration (FDA) must authorize medical devices used for the diagnosis or treatment of a specific disease. However, many DHTs do not meet the definition of a medical device and are not under FDA authority, and for others, the FDA has chosen to exercise enforcement discretion by not requiring pre-market review. Thus, there is a </w:t>
      </w:r>
      <w:hyperlink r:id="rId14">
        <w:r w:rsidRPr="45C6F1A0">
          <w:rPr>
            <w:rStyle w:val="Hyperlink"/>
            <w:rFonts w:ascii="Calibri" w:eastAsia="Calibri" w:hAnsi="Calibri" w:cs="Calibri"/>
            <w:sz w:val="22"/>
            <w:szCs w:val="22"/>
          </w:rPr>
          <w:t>need to align on mechanisms</w:t>
        </w:r>
      </w:hyperlink>
      <w:r w:rsidRPr="45C6F1A0">
        <w:rPr>
          <w:rStyle w:val="normaltextrun"/>
          <w:rFonts w:ascii="Calibri" w:eastAsia="Calibri" w:hAnsi="Calibri" w:cs="Calibri"/>
          <w:sz w:val="22"/>
          <w:szCs w:val="22"/>
        </w:rPr>
        <w:t xml:space="preserve"> to streamline coverage and payment for DHT use and to ensure that those coverage and payment mechanisms incentivize competition on patient engagement and outcomes. Because of the substantial differences in payment and incentive structures across CMS programs, different approaches will likely be needed for Traditional Medicare, Traditional Medicare with alternative payment models (like the Shared Savings Program), Medicare Advantage, and CMS guidance and support for state Medicaid programs. Traditional Medicare has covered some DHTs through chronic care management codes, but the broadness of these codes results in uniform reimbursement regardless of a tool’s complexity or effectiveness, with many tools remaining uncovered. In accountable care programs with person-based payments, CMS has more flexibility. However, a stronger focus on developing high quality evidence could help create a clearer pathway to pay for tools that improve patient outcomes or reduce costs, such as the Medicare Diabetes Prevention Program and virtual solutions for depression and anxiety.    </w:t>
      </w:r>
    </w:p>
    <w:p w14:paraId="695F9E57" w14:textId="7F28FFBE" w:rsidR="0FF810B4" w:rsidRDefault="30EE9053" w:rsidP="73265BA3">
      <w:pPr>
        <w:pStyle w:val="paragraph"/>
        <w:numPr>
          <w:ilvl w:val="0"/>
          <w:numId w:val="20"/>
        </w:numPr>
        <w:spacing w:line="259" w:lineRule="auto"/>
        <w:rPr>
          <w:rFonts w:ascii="Calibri" w:eastAsia="Calibri" w:hAnsi="Calibri" w:cs="Calibri"/>
          <w:color w:val="000000" w:themeColor="text1"/>
          <w:sz w:val="22"/>
          <w:szCs w:val="22"/>
        </w:rPr>
      </w:pPr>
      <w:r w:rsidRPr="30EE9053">
        <w:rPr>
          <w:rFonts w:ascii="Calibri" w:eastAsia="Calibri" w:hAnsi="Calibri" w:cs="Calibri"/>
          <w:b/>
          <w:bCs/>
          <w:color w:val="000000" w:themeColor="text1"/>
          <w:sz w:val="22"/>
          <w:szCs w:val="22"/>
        </w:rPr>
        <w:t xml:space="preserve"> Standards of Evidence Generation.</w:t>
      </w:r>
      <w:r w:rsidRPr="30EE9053">
        <w:rPr>
          <w:rFonts w:ascii="Calibri" w:eastAsia="Calibri" w:hAnsi="Calibri" w:cs="Calibri"/>
          <w:color w:val="000000" w:themeColor="text1"/>
          <w:sz w:val="22"/>
          <w:szCs w:val="22"/>
        </w:rPr>
        <w:t xml:space="preserve"> CMS can develop standards of evidence around the “reasonable and necessary” threshold to incentivize the development and effective use of high-quality digital tools, focusing first on high-impact use cases. I</w:t>
      </w:r>
      <w:r w:rsidRPr="30EE9053">
        <w:rPr>
          <w:rStyle w:val="normaltextrun"/>
          <w:rFonts w:ascii="Calibri" w:eastAsia="Calibri" w:hAnsi="Calibri" w:cs="Calibri"/>
          <w:sz w:val="22"/>
          <w:szCs w:val="22"/>
        </w:rPr>
        <w:t xml:space="preserve">n conjunction with other Federal agencies and the private sector, CMS can encourage the establishment of a framework for quality evidence generation that emphasizes DHT usability, sustained engagement, and proven impact on health outcomes and costs to help providers, patients, and product developers better assess which products are most effective in particular circumstances. </w:t>
      </w:r>
    </w:p>
    <w:p w14:paraId="03A73487" w14:textId="5E084125" w:rsidR="10899A8D" w:rsidRDefault="30EE9053" w:rsidP="73265BA3">
      <w:pPr>
        <w:pStyle w:val="paragraph"/>
        <w:numPr>
          <w:ilvl w:val="0"/>
          <w:numId w:val="20"/>
        </w:numPr>
        <w:spacing w:line="259" w:lineRule="auto"/>
        <w:rPr>
          <w:rStyle w:val="normaltextrun"/>
          <w:rFonts w:ascii="Calibri" w:eastAsia="Calibri" w:hAnsi="Calibri" w:cs="Calibri"/>
          <w:color w:val="000000" w:themeColor="text1"/>
          <w:sz w:val="22"/>
          <w:szCs w:val="22"/>
        </w:rPr>
      </w:pPr>
      <w:r w:rsidRPr="30EE9053">
        <w:rPr>
          <w:rStyle w:val="normaltextrun"/>
          <w:rFonts w:ascii="Calibri" w:eastAsia="Calibri" w:hAnsi="Calibri" w:cs="Calibri"/>
          <w:b/>
          <w:bCs/>
          <w:color w:val="000000" w:themeColor="text1"/>
          <w:sz w:val="22"/>
          <w:szCs w:val="22"/>
        </w:rPr>
        <w:t>Opportunity to Evaluate through Rapid Learning Assessments</w:t>
      </w:r>
      <w:r w:rsidRPr="30EE9053">
        <w:rPr>
          <w:rStyle w:val="normaltextrun"/>
          <w:rFonts w:ascii="Calibri" w:eastAsia="Calibri" w:hAnsi="Calibri" w:cs="Calibri"/>
          <w:color w:val="000000" w:themeColor="text1"/>
          <w:sz w:val="22"/>
          <w:szCs w:val="22"/>
        </w:rPr>
        <w:t xml:space="preserve">. A pathway to evaluate (and eventually scale) high-priority DHT use cases more quickly through rapid-cycle assessments can help assess which interventions or tools work in diverse contexts more quickly. This includes advancing methods to share data and experience across providers, plans, and use contexts to identify the best products that would result in positive health outcomes, reduced costs, increased convenience for patients, and products that patients would most likely use over time. Identifying and promoting opportunities through partnering with health systems and providers (e.g., through HCPLAN), can function as both a mechanism for evidence generation and potential future distribution pathways for DHTs. </w:t>
      </w:r>
    </w:p>
    <w:p w14:paraId="17D6A245" w14:textId="539579CA" w:rsidR="26B6085B" w:rsidRDefault="73265BA3" w:rsidP="407F07C2">
      <w:pPr>
        <w:pStyle w:val="paragraph"/>
        <w:spacing w:line="259" w:lineRule="auto"/>
        <w:rPr>
          <w:rStyle w:val="normaltextrun"/>
          <w:rFonts w:ascii="Calibri" w:eastAsia="Calibri" w:hAnsi="Calibri" w:cs="Calibri"/>
          <w:sz w:val="22"/>
          <w:szCs w:val="22"/>
        </w:rPr>
      </w:pPr>
      <w:r w:rsidRPr="73265BA3">
        <w:rPr>
          <w:rStyle w:val="normaltextrun"/>
          <w:rFonts w:ascii="Calibri" w:eastAsia="Calibri" w:hAnsi="Calibri" w:cs="Calibri"/>
          <w:sz w:val="22"/>
          <w:szCs w:val="22"/>
        </w:rPr>
        <w:t>Effective evaluation and coverage of DHTs requires collaboration among CMS, digital health technology evaluators (e.g. Peterson Health Tech Institute), FDA (when applicable), health IT developers, patients, and providers to define evaluation criteria tailored to product type, patient population, and use case. Engaging developers early ensures that products will align on evidence requirements, enabling only proven effective DHTs to qualify for payer reimbursement and provider use. These recommendations can help address the current fragmentation in DHT evaluation, promote the adoption of highly effective tools in appropriate contexts, and improve patient outcomes while reducing costs.</w:t>
      </w:r>
    </w:p>
    <w:p w14:paraId="7C8E3E3D" w14:textId="202586C3" w:rsidR="26B6085B" w:rsidRDefault="26B6085B" w:rsidP="407F07C2">
      <w:pPr>
        <w:pStyle w:val="paragraph"/>
        <w:spacing w:line="259" w:lineRule="auto"/>
        <w:rPr>
          <w:rStyle w:val="normaltextrun"/>
          <w:rFonts w:ascii="Calibri" w:eastAsia="Calibri" w:hAnsi="Calibri" w:cs="Calibri"/>
          <w:sz w:val="22"/>
          <w:szCs w:val="22"/>
        </w:rPr>
      </w:pPr>
    </w:p>
    <w:p w14:paraId="00623399" w14:textId="20E146E2" w:rsidR="26B6085B" w:rsidRDefault="2EE2D614" w:rsidP="407F07C2">
      <w:pPr>
        <w:pStyle w:val="Heading3"/>
        <w:spacing w:line="259" w:lineRule="auto"/>
        <w:rPr>
          <w:rStyle w:val="normaltextrun"/>
          <w:rFonts w:ascii="Calibri" w:eastAsia="Calibri" w:hAnsi="Calibri" w:cs="Calibri"/>
          <w:b/>
          <w:bCs/>
          <w:color w:val="0070C0"/>
        </w:rPr>
      </w:pPr>
      <w:r w:rsidRPr="2EE2D614">
        <w:rPr>
          <w:rFonts w:ascii="Calibri" w:eastAsia="Calibri" w:hAnsi="Calibri" w:cs="Calibri"/>
          <w:b/>
          <w:bCs/>
        </w:rPr>
        <w:lastRenderedPageBreak/>
        <w:t>Encouraging Implementation and Scaling of Effective Digital Health Tools Through Meaningful Incentives</w:t>
      </w:r>
    </w:p>
    <w:p w14:paraId="7E724791" w14:textId="71C2E365" w:rsidR="01EEE098" w:rsidRPr="00DB1C28" w:rsidRDefault="4DA7EA64" w:rsidP="01EEE098">
      <w:pPr>
        <w:pStyle w:val="paragraph"/>
        <w:spacing w:line="259" w:lineRule="auto"/>
        <w:rPr>
          <w:rFonts w:ascii="Calibri" w:eastAsia="Calibri" w:hAnsi="Calibri" w:cs="Calibri"/>
          <w:sz w:val="22"/>
          <w:szCs w:val="22"/>
          <w:highlight w:val="yellow"/>
        </w:rPr>
      </w:pPr>
      <w:r w:rsidRPr="4DA7EA64">
        <w:rPr>
          <w:rFonts w:ascii="Calibri" w:eastAsia="Calibri" w:hAnsi="Calibri" w:cs="Calibri"/>
          <w:sz w:val="22"/>
          <w:szCs w:val="22"/>
        </w:rPr>
        <w:t>These comments address questions PC-6, TD-1, VB-1, VB-2, PR-1, and PR-2, which focus on strategies to promote adoption and scaling of effective DHTs once standardized efficacy is established. As described above, barriers including limited evidence of effectiveness and inconsistent or unclear reimbursement supports create barriers to adoption, including for value-based care organizations and providers. Emerging evidence shows that DHTs have the potential to support patients in maintaining and improving their health, specifically for conditions like cardiovascular diseases (e.g. diabetes, hypertension), weight management (an underlying risk factor for many conditions), and early hearing loss. Tech-enabled care offers promising solutions to support and provide evidence on optimal health outcomes in-between visits and interactions with providers.</w:t>
      </w:r>
    </w:p>
    <w:p w14:paraId="74D51B90" w14:textId="5C9A897C" w:rsidR="12C48005" w:rsidRDefault="12C48005" w:rsidP="12C48005">
      <w:pPr>
        <w:pStyle w:val="paragraph"/>
        <w:spacing w:line="259" w:lineRule="auto"/>
        <w:rPr>
          <w:rStyle w:val="normaltextrun"/>
          <w:rFonts w:ascii="Calibri" w:eastAsia="Calibri" w:hAnsi="Calibri" w:cs="Calibri"/>
          <w:sz w:val="22"/>
          <w:szCs w:val="22"/>
        </w:rPr>
      </w:pPr>
      <w:r w:rsidRPr="12C48005">
        <w:rPr>
          <w:rStyle w:val="normaltextrun"/>
          <w:rFonts w:ascii="Calibri" w:eastAsia="Calibri" w:hAnsi="Calibri" w:cs="Calibri"/>
          <w:sz w:val="22"/>
          <w:szCs w:val="22"/>
        </w:rPr>
        <w:t>To begin encouraging implementation and scaling of effective DHTs, CMS can take into account the following considerations.</w:t>
      </w:r>
    </w:p>
    <w:p w14:paraId="2717B773" w14:textId="1A48ECBA" w:rsidR="2ACF2BD9" w:rsidRDefault="4DA7EA64" w:rsidP="6A8483A2">
      <w:pPr>
        <w:pStyle w:val="paragraph"/>
        <w:numPr>
          <w:ilvl w:val="0"/>
          <w:numId w:val="16"/>
        </w:numPr>
        <w:rPr>
          <w:rFonts w:ascii="Calibri" w:eastAsia="Calibri" w:hAnsi="Calibri" w:cs="Calibri"/>
          <w:sz w:val="22"/>
          <w:szCs w:val="22"/>
        </w:rPr>
      </w:pPr>
      <w:r w:rsidRPr="4DA7EA64">
        <w:rPr>
          <w:rFonts w:ascii="Calibri" w:eastAsia="Calibri" w:hAnsi="Calibri" w:cs="Calibri"/>
          <w:b/>
          <w:bCs/>
          <w:sz w:val="22"/>
          <w:szCs w:val="22"/>
        </w:rPr>
        <w:t>Integrate Successful DHT Use Cases:</w:t>
      </w:r>
      <w:r w:rsidRPr="4DA7EA64">
        <w:rPr>
          <w:rFonts w:ascii="Calibri" w:eastAsia="Calibri" w:hAnsi="Calibri" w:cs="Calibri"/>
          <w:sz w:val="22"/>
          <w:szCs w:val="22"/>
        </w:rPr>
        <w:t xml:space="preserve"> Highlight successful use cases and pilots through collaborations such as the HCPLAN Technology-Enabled Care Workgroup to demonstrate real-world impact and strategies for overcoming barriers. CMS can help multiple payers encourage effective DHT adoption by promoting the discussion and assessment of coverage and payment strategies for DHTs based on their evidence level and risk sharing, encouraging wider adoption, trust, and coverage for these tools.</w:t>
      </w:r>
    </w:p>
    <w:p w14:paraId="5B8B54EC" w14:textId="3E195594" w:rsidR="1846A498" w:rsidRDefault="30EE9053" w:rsidP="7F0EF4C3">
      <w:pPr>
        <w:pStyle w:val="paragraph"/>
        <w:numPr>
          <w:ilvl w:val="0"/>
          <w:numId w:val="16"/>
        </w:numPr>
        <w:spacing w:line="259" w:lineRule="auto"/>
        <w:rPr>
          <w:rStyle w:val="normaltextrun"/>
          <w:rFonts w:ascii="Calibri" w:eastAsia="Calibri" w:hAnsi="Calibri" w:cs="Calibri"/>
          <w:color w:val="000000" w:themeColor="text1"/>
          <w:sz w:val="22"/>
          <w:szCs w:val="22"/>
        </w:rPr>
      </w:pPr>
      <w:r w:rsidRPr="30EE9053">
        <w:rPr>
          <w:rFonts w:ascii="Calibri" w:eastAsia="Calibri" w:hAnsi="Calibri" w:cs="Calibri"/>
          <w:b/>
          <w:bCs/>
          <w:sz w:val="22"/>
          <w:szCs w:val="22"/>
        </w:rPr>
        <w:t>CMMI Model Design &amp; Implementation Guidance:</w:t>
      </w:r>
      <w:r w:rsidRPr="30EE9053">
        <w:rPr>
          <w:rFonts w:ascii="Calibri" w:eastAsia="Calibri" w:hAnsi="Calibri" w:cs="Calibri"/>
          <w:sz w:val="22"/>
          <w:szCs w:val="22"/>
        </w:rPr>
        <w:t xml:space="preserve"> Support the development of CMS guidance that facilitates the adoption of DHTs across specific disease/health risk areas for patient populations and incentivize data sharing to accelerate evidence development and product refinement. CMS can leverage interoperable technologies and sources of nuanced data, such as qualified clinical disease registries or longitudinal patient tracking by health systems, to build use-case evidence in alignment with real-world evidence initiatives. Mechanisms like Coverage with Evidence Development (CED) to support to local coverage determinations and MA plan coverage decisions can further enable this approach. As we have noted, r</w:t>
      </w:r>
      <w:r w:rsidRPr="30EE9053">
        <w:rPr>
          <w:rStyle w:val="normaltextrun"/>
          <w:rFonts w:ascii="Calibri" w:eastAsia="Calibri" w:hAnsi="Calibri" w:cs="Calibri"/>
          <w:color w:val="000000" w:themeColor="text1"/>
          <w:sz w:val="22"/>
          <w:szCs w:val="22"/>
        </w:rPr>
        <w:t>isk-based contracting with DHT product developers to support the implementation and evaluation of DHTs can be further enablers of this approach.</w:t>
      </w:r>
    </w:p>
    <w:p w14:paraId="3CB06245" w14:textId="00B7858D" w:rsidR="3169136A" w:rsidRDefault="30EE9053" w:rsidP="3169136A">
      <w:pPr>
        <w:pStyle w:val="paragraph"/>
        <w:numPr>
          <w:ilvl w:val="0"/>
          <w:numId w:val="16"/>
        </w:numPr>
        <w:rPr>
          <w:rFonts w:ascii="Calibri" w:eastAsia="Calibri" w:hAnsi="Calibri" w:cs="Calibri"/>
          <w:sz w:val="22"/>
          <w:szCs w:val="22"/>
        </w:rPr>
      </w:pPr>
      <w:r w:rsidRPr="30EE9053">
        <w:rPr>
          <w:rFonts w:ascii="Calibri" w:eastAsia="Calibri" w:hAnsi="Calibri" w:cs="Calibri"/>
          <w:b/>
          <w:bCs/>
          <w:sz w:val="22"/>
          <w:szCs w:val="22"/>
        </w:rPr>
        <w:t>Payment Incentives:</w:t>
      </w:r>
      <w:r w:rsidRPr="30EE9053">
        <w:rPr>
          <w:rFonts w:ascii="Calibri" w:eastAsia="Calibri" w:hAnsi="Calibri" w:cs="Calibri"/>
          <w:sz w:val="22"/>
          <w:szCs w:val="22"/>
        </w:rPr>
        <w:t xml:space="preserve"> Continue to explore solutions or tools that move away from relying on provider time and number of services for payment and move toward payment systems that   provide flexible revenue streams that afford providers the ability to invest in the necessary, whole-person care infrastructure. This is particularly important for medical specialties with access challenges, where DHTs can help enhance care between visits.</w:t>
      </w:r>
    </w:p>
    <w:p w14:paraId="0937419C" w14:textId="11338A2F" w:rsidR="525475B6" w:rsidRPr="00DB1C28" w:rsidRDefault="525475B6" w:rsidP="525475B6">
      <w:pPr>
        <w:pStyle w:val="paragraph"/>
        <w:numPr>
          <w:ilvl w:val="0"/>
          <w:numId w:val="16"/>
        </w:numPr>
        <w:rPr>
          <w:rFonts w:ascii="Calibri" w:eastAsia="Calibri" w:hAnsi="Calibri" w:cs="Calibri"/>
          <w:sz w:val="22"/>
          <w:szCs w:val="22"/>
        </w:rPr>
      </w:pPr>
      <w:r w:rsidRPr="525475B6">
        <w:rPr>
          <w:rFonts w:ascii="Calibri" w:eastAsia="Calibri" w:hAnsi="Calibri" w:cs="Calibri"/>
          <w:b/>
          <w:bCs/>
          <w:sz w:val="22"/>
          <w:szCs w:val="22"/>
        </w:rPr>
        <w:t>Stratifying Payment Mechanisms Based on Program Payment Structures</w:t>
      </w:r>
      <w:r w:rsidRPr="525475B6">
        <w:rPr>
          <w:rFonts w:ascii="Calibri" w:eastAsia="Calibri" w:hAnsi="Calibri" w:cs="Calibri"/>
          <w:sz w:val="22"/>
          <w:szCs w:val="22"/>
        </w:rPr>
        <w:t>. As mentioned earlier, CMS should also be aware that incentives and coverage for DHTs will vary depending on the program, i.e., traditional Medicare versus Medicare Advantage.</w:t>
      </w:r>
    </w:p>
    <w:p w14:paraId="542ED919" w14:textId="5C4F1A4C" w:rsidR="591CD856" w:rsidRDefault="525475B6" w:rsidP="429B4DCC">
      <w:pPr>
        <w:pStyle w:val="paragraph"/>
        <w:rPr>
          <w:rFonts w:ascii="Calibri" w:eastAsia="Calibri" w:hAnsi="Calibri" w:cs="Calibri"/>
          <w:sz w:val="22"/>
          <w:szCs w:val="22"/>
        </w:rPr>
      </w:pPr>
      <w:r w:rsidRPr="525475B6">
        <w:rPr>
          <w:rFonts w:ascii="Calibri" w:eastAsia="Calibri" w:hAnsi="Calibri" w:cs="Calibri"/>
          <w:sz w:val="22"/>
          <w:szCs w:val="22"/>
        </w:rPr>
        <w:t xml:space="preserve">Stakeholder buy-in is critical to foster a paradigm shift in the perception of medicine and medical treatments. This requires clearly communicating and demonstrating the benefits and ROI of DHTs for patients, providers, payers (including MA plans), and health systems. By establishing an adequate </w:t>
      </w:r>
      <w:r w:rsidRPr="525475B6">
        <w:rPr>
          <w:rFonts w:ascii="Calibri" w:eastAsia="Calibri" w:hAnsi="Calibri" w:cs="Calibri"/>
          <w:sz w:val="22"/>
          <w:szCs w:val="22"/>
        </w:rPr>
        <w:lastRenderedPageBreak/>
        <w:t>incentive architecture, CMS can rapidly scale DHT adoption while addressing the historical funding challenges through shared financial responsibility.</w:t>
      </w:r>
    </w:p>
    <w:p w14:paraId="3AFACC8A" w14:textId="1EEC6AF5" w:rsidR="56FF230C" w:rsidRDefault="591CD856" w:rsidP="2AEA391E">
      <w:pPr>
        <w:pStyle w:val="Heading3"/>
        <w:rPr>
          <w:rStyle w:val="normaltextrun"/>
          <w:rFonts w:ascii="Calibri" w:eastAsia="Calibri" w:hAnsi="Calibri" w:cs="Calibri"/>
          <w:b/>
          <w:bCs/>
          <w:color w:val="0070C0"/>
        </w:rPr>
      </w:pPr>
      <w:r w:rsidRPr="591CD856">
        <w:rPr>
          <w:rFonts w:ascii="Calibri" w:eastAsia="Calibri" w:hAnsi="Calibri" w:cs="Calibri"/>
          <w:b/>
          <w:bCs/>
        </w:rPr>
        <w:t>Simplifying Data Exchange to Reduce Reporting and Measurement Burden</w:t>
      </w:r>
    </w:p>
    <w:p w14:paraId="5DC3EEE9" w14:textId="78821C04" w:rsidR="525475B6" w:rsidRPr="00DB1C28" w:rsidRDefault="525475B6" w:rsidP="00DB1C28">
      <w:pPr>
        <w:pStyle w:val="paragraph"/>
        <w:rPr>
          <w:rStyle w:val="normaltextrun"/>
          <w:rFonts w:ascii="Calibri" w:eastAsia="Calibri" w:hAnsi="Calibri" w:cs="Calibri"/>
          <w:color w:val="000000" w:themeColor="text1"/>
          <w:sz w:val="22"/>
          <w:szCs w:val="22"/>
        </w:rPr>
      </w:pPr>
      <w:r w:rsidRPr="525475B6">
        <w:rPr>
          <w:rStyle w:val="normaltextrun"/>
          <w:rFonts w:ascii="Calibri" w:eastAsia="Calibri" w:hAnsi="Calibri" w:cs="Calibri"/>
          <w:sz w:val="22"/>
          <w:szCs w:val="22"/>
        </w:rPr>
        <w:t xml:space="preserve">These comments refer primarily to questions PC-3, PR-7, PR-8, PC-8, PC-11, TD-4, TD-5, PA-5, and PA-7, which focus on improving health data exchange through interoperability and open standards to simplify clinical reporting and measurement processes for providers and payers. The current state of health data exchange remains largely fragmented, with providers facing duplicative and burdensome reporting requirements and standards/formats. Opportunities to leverage Health Information Exchanges (HIEs) and bulk FHIR-based APIs are increasing, thanks to the continuing evolution of CMS interoperability requirements and incentives. But at present, adoption and uptake of large-scale automated reliance on these interoperable systems has been challenging.  For example, many organizations are reluctant to invest in the cost of reporting eCQMs, which are abstracted out of the EHR, since bulk FHIR-based methods could potentially replace more burdensome site-specific abstraction work. Dominant hospital EHR systems like </w:t>
      </w:r>
      <w:r w:rsidR="00DB1C28">
        <w:rPr>
          <w:rStyle w:val="normaltextrun"/>
          <w:rFonts w:ascii="Calibri" w:eastAsia="Calibri" w:hAnsi="Calibri" w:cs="Calibri"/>
          <w:sz w:val="22"/>
          <w:szCs w:val="22"/>
        </w:rPr>
        <w:t>Epic</w:t>
      </w:r>
      <w:r w:rsidRPr="525475B6">
        <w:rPr>
          <w:rStyle w:val="normaltextrun"/>
          <w:rFonts w:ascii="Calibri" w:eastAsia="Calibri" w:hAnsi="Calibri" w:cs="Calibri"/>
          <w:sz w:val="22"/>
          <w:szCs w:val="22"/>
        </w:rPr>
        <w:t xml:space="preserve"> and Cerner have different customizations and fee structures that may present challenges for bulk data exchange, while the outpatient EHR market often lacks sufficient customization for appropriate data analysis, reporting, or sharing. A critical goal of a unified approach is to clearly align efforts with simplifying data exchange to improve care, specifically through adopting bulk-FHIR based reporting and measurement to streamline processes, providing stronger incentives for stakeholders, and reducing administrative burden on providers.</w:t>
      </w:r>
      <w:r w:rsidRPr="525475B6">
        <w:rPr>
          <w:rFonts w:ascii="Calibri" w:eastAsia="Calibri" w:hAnsi="Calibri" w:cs="Calibri"/>
          <w:color w:val="000000" w:themeColor="text1"/>
          <w:sz w:val="22"/>
          <w:szCs w:val="22"/>
        </w:rPr>
        <w:t xml:space="preserve"> </w:t>
      </w:r>
    </w:p>
    <w:p w14:paraId="00A4A95B" w14:textId="023543A0" w:rsidR="2EE2D614" w:rsidRDefault="2EE2D614" w:rsidP="2EE2D614">
      <w:pPr>
        <w:pStyle w:val="paragraph"/>
        <w:spacing w:line="259" w:lineRule="auto"/>
        <w:rPr>
          <w:rStyle w:val="normaltextrun"/>
          <w:rFonts w:ascii="Calibri" w:eastAsia="Calibri" w:hAnsi="Calibri" w:cs="Calibri"/>
          <w:sz w:val="22"/>
          <w:szCs w:val="22"/>
        </w:rPr>
      </w:pPr>
      <w:r w:rsidRPr="2EE2D614">
        <w:rPr>
          <w:rStyle w:val="normaltextrun"/>
          <w:rFonts w:ascii="Calibri" w:eastAsia="Calibri" w:hAnsi="Calibri" w:cs="Calibri"/>
          <w:sz w:val="22"/>
          <w:szCs w:val="22"/>
        </w:rPr>
        <w:t>In light of this goal, Duke-Margolis proposes the following considerations.</w:t>
      </w:r>
    </w:p>
    <w:p w14:paraId="625C3160" w14:textId="77777777" w:rsidR="008767E5" w:rsidRDefault="4160CFED" w:rsidP="008767E5">
      <w:pPr>
        <w:pStyle w:val="paragraph"/>
        <w:numPr>
          <w:ilvl w:val="0"/>
          <w:numId w:val="13"/>
        </w:numPr>
        <w:spacing w:line="259" w:lineRule="auto"/>
        <w:rPr>
          <w:rFonts w:ascii="Calibri" w:eastAsia="Calibri" w:hAnsi="Calibri" w:cs="Calibri"/>
          <w:sz w:val="22"/>
          <w:szCs w:val="22"/>
        </w:rPr>
      </w:pPr>
      <w:r w:rsidRPr="4160CFED">
        <w:rPr>
          <w:rStyle w:val="normaltextrun"/>
          <w:rFonts w:ascii="Calibri" w:eastAsia="Calibri" w:hAnsi="Calibri" w:cs="Calibri"/>
          <w:b/>
          <w:bCs/>
          <w:sz w:val="22"/>
          <w:szCs w:val="22"/>
        </w:rPr>
        <w:t>Coordination with Other Agencies and Partners</w:t>
      </w:r>
      <w:r w:rsidRPr="4160CFED">
        <w:rPr>
          <w:rStyle w:val="normaltextrun"/>
          <w:rFonts w:ascii="Calibri" w:eastAsia="Calibri" w:hAnsi="Calibri" w:cs="Calibri"/>
          <w:sz w:val="22"/>
          <w:szCs w:val="22"/>
        </w:rPr>
        <w:t>. In addition to the FDA, CMS should collaborate with the Assistant Secretary for Technology Policy (ASTP) Office to ensure that data sets capture not only outcomes that matter to patients and providers but also key risk predictors that can target and refine tools. Additionally, coordination should support the inclusion of data on relevant treatments—such as use or non-use of prescription medications—that may impact patient outcomes. ASTP can also facilitate further developments and socialization of USCDI to achieve these goals.</w:t>
      </w:r>
    </w:p>
    <w:p w14:paraId="336A7952" w14:textId="6ACE6C8E" w:rsidR="0103D7DF" w:rsidRDefault="0EDFD8F4" w:rsidP="0EDFD8F4">
      <w:pPr>
        <w:pStyle w:val="paragraph"/>
        <w:numPr>
          <w:ilvl w:val="0"/>
          <w:numId w:val="13"/>
        </w:numPr>
        <w:spacing w:line="259" w:lineRule="auto"/>
        <w:rPr>
          <w:rFonts w:ascii="Calibri" w:eastAsia="Calibri" w:hAnsi="Calibri" w:cs="Calibri"/>
          <w:b/>
          <w:bCs/>
          <w:color w:val="000000" w:themeColor="text1"/>
        </w:rPr>
      </w:pPr>
      <w:r w:rsidRPr="0EDFD8F4">
        <w:rPr>
          <w:rStyle w:val="normaltextrun"/>
          <w:rFonts w:ascii="Calibri" w:eastAsia="Calibri" w:hAnsi="Calibri" w:cs="Calibri"/>
          <w:b/>
          <w:bCs/>
          <w:sz w:val="22"/>
          <w:szCs w:val="22"/>
        </w:rPr>
        <w:t>Advance Interoperability to Advance Quality Improvement and Measurement Efforts.</w:t>
      </w:r>
      <w:r w:rsidRPr="0EDFD8F4">
        <w:rPr>
          <w:rStyle w:val="normaltextrun"/>
          <w:rFonts w:ascii="Calibri" w:eastAsia="Calibri" w:hAnsi="Calibri" w:cs="Calibri"/>
          <w:sz w:val="22"/>
          <w:szCs w:val="22"/>
        </w:rPr>
        <w:t xml:space="preserve"> As mentioned in the strategic vision, CMS should support existing interoperability initiatives to advance multiple CMS program goals. </w:t>
      </w:r>
      <w:r w:rsidRPr="0EDFD8F4">
        <w:rPr>
          <w:rFonts w:ascii="Calibri" w:eastAsia="Calibri" w:hAnsi="Calibri" w:cs="Calibri"/>
          <w:sz w:val="22"/>
          <w:szCs w:val="22"/>
        </w:rPr>
        <w:t xml:space="preserve">Leveraging bulk FHIR and TEFCA can facilitate data exchange and access to multiple data types (e.g., EHR, claims, clinical, encounter). Unlocking this access supports providers and patients through more reliable, timely and complete access to information for improving care. It also advances CMS’ </w:t>
      </w:r>
      <w:hyperlink r:id="rId15">
        <w:r w:rsidRPr="0EDFD8F4">
          <w:rPr>
            <w:rStyle w:val="Hyperlink"/>
            <w:rFonts w:ascii="Calibri" w:eastAsia="Calibri" w:hAnsi="Calibri" w:cs="Calibri"/>
            <w:sz w:val="22"/>
            <w:szCs w:val="22"/>
          </w:rPr>
          <w:t>Universal Foundation</w:t>
        </w:r>
      </w:hyperlink>
      <w:r w:rsidRPr="0EDFD8F4">
        <w:rPr>
          <w:rFonts w:ascii="Calibri" w:eastAsia="Calibri" w:hAnsi="Calibri" w:cs="Calibri"/>
          <w:sz w:val="22"/>
          <w:szCs w:val="22"/>
        </w:rPr>
        <w:t xml:space="preserve"> vision and would advance progress in CMS’ strategic roadmap towards </w:t>
      </w:r>
      <w:hyperlink r:id="rId16">
        <w:r w:rsidRPr="0EDFD8F4">
          <w:rPr>
            <w:rStyle w:val="Hyperlink"/>
            <w:rFonts w:ascii="Calibri" w:eastAsia="Calibri" w:hAnsi="Calibri" w:cs="Calibri"/>
            <w:sz w:val="22"/>
            <w:szCs w:val="22"/>
          </w:rPr>
          <w:t>dQMs</w:t>
        </w:r>
      </w:hyperlink>
      <w:r w:rsidRPr="0EDFD8F4">
        <w:rPr>
          <w:rFonts w:ascii="Calibri" w:eastAsia="Calibri" w:hAnsi="Calibri" w:cs="Calibri"/>
          <w:sz w:val="22"/>
          <w:szCs w:val="22"/>
        </w:rPr>
        <w:t xml:space="preserve"> (i.e., a more efficient alternative to previous eCQM requirements) and incorporating disparate data sources into quality reporting. For example, CMS can consider laying out a clearer pathway, potentially including quality incentives and pilots, for physicians and health plans to adopt standardized key data elements, structures, and transfers using APIs. Prioritized elements would be those identified in the work described above, to advance digital- and AI-enabled care that improves outcomes and reduces costs.  This would ease the burden that health systems have faced reporting particular eCQMs </w:t>
      </w:r>
      <w:r w:rsidRPr="0EDFD8F4">
        <w:rPr>
          <w:rFonts w:ascii="Calibri" w:eastAsia="Calibri" w:hAnsi="Calibri" w:cs="Calibri"/>
          <w:sz w:val="22"/>
          <w:szCs w:val="22"/>
        </w:rPr>
        <w:lastRenderedPageBreak/>
        <w:t xml:space="preserve">through the EHR. CMS can also standardize quality measurement reporting across software systems to facilitate multi-payer alignment and reduce duplication. </w:t>
      </w:r>
    </w:p>
    <w:p w14:paraId="4C7D5EB6" w14:textId="40A36F8C" w:rsidR="0103D7DF" w:rsidRDefault="0EDFD8F4" w:rsidP="0EDFD8F4">
      <w:pPr>
        <w:pStyle w:val="paragraph"/>
        <w:numPr>
          <w:ilvl w:val="0"/>
          <w:numId w:val="13"/>
        </w:numPr>
        <w:spacing w:line="259" w:lineRule="auto"/>
        <w:rPr>
          <w:rFonts w:ascii="Calibri" w:eastAsia="Calibri" w:hAnsi="Calibri" w:cs="Calibri"/>
          <w:b/>
          <w:bCs/>
          <w:color w:val="000000" w:themeColor="text1"/>
        </w:rPr>
      </w:pPr>
      <w:r w:rsidRPr="0EDFD8F4">
        <w:rPr>
          <w:rFonts w:ascii="Calibri" w:eastAsia="Calibri" w:hAnsi="Calibri" w:cs="Calibri"/>
          <w:b/>
          <w:bCs/>
          <w:color w:val="000000" w:themeColor="text1"/>
          <w:sz w:val="22"/>
          <w:szCs w:val="22"/>
        </w:rPr>
        <w:t xml:space="preserve">Build on Successful Use Cases. </w:t>
      </w:r>
      <w:r w:rsidRPr="0EDFD8F4">
        <w:rPr>
          <w:rFonts w:ascii="Calibri" w:eastAsia="Calibri" w:hAnsi="Calibri" w:cs="Calibri"/>
          <w:color w:val="000000" w:themeColor="text1"/>
          <w:sz w:val="22"/>
          <w:szCs w:val="22"/>
        </w:rPr>
        <w:t xml:space="preserve">Improved data exchange can help improve and scale existing efforts that already show some promising results. The </w:t>
      </w:r>
      <w:hyperlink r:id="rId17" w:history="1">
        <w:r w:rsidRPr="0EDFD8F4">
          <w:rPr>
            <w:rStyle w:val="Hyperlink"/>
            <w:rFonts w:ascii="Calibri" w:eastAsia="Calibri" w:hAnsi="Calibri" w:cs="Calibri"/>
            <w:sz w:val="22"/>
            <w:szCs w:val="22"/>
          </w:rPr>
          <w:t>Diabetes Prevention Program (DPP)</w:t>
        </w:r>
      </w:hyperlink>
      <w:r w:rsidRPr="0EDFD8F4">
        <w:rPr>
          <w:rFonts w:ascii="Calibri" w:eastAsia="Calibri" w:hAnsi="Calibri" w:cs="Calibri"/>
          <w:color w:val="000000" w:themeColor="text1"/>
          <w:sz w:val="22"/>
          <w:szCs w:val="22"/>
        </w:rPr>
        <w:t xml:space="preserve"> reduced participants' chances of developing type 2 diabetes by 58%, though the program has not been widely adopted. The DPP provides a model for digital health and AI reimbursement by combining base payments for participation in the digital health program with outcomes-based payments tied to weight loss and improved glucose control. While there are </w:t>
      </w:r>
      <w:hyperlink r:id="rId18" w:history="1">
        <w:r w:rsidRPr="0EDFD8F4">
          <w:rPr>
            <w:rStyle w:val="Hyperlink"/>
            <w:rFonts w:ascii="Calibri" w:eastAsia="Calibri" w:hAnsi="Calibri" w:cs="Calibri"/>
            <w:sz w:val="22"/>
            <w:szCs w:val="22"/>
          </w:rPr>
          <w:t>nascent efforts</w:t>
        </w:r>
      </w:hyperlink>
      <w:r w:rsidRPr="0EDFD8F4">
        <w:rPr>
          <w:rFonts w:ascii="Calibri" w:eastAsia="Calibri" w:hAnsi="Calibri" w:cs="Calibri"/>
          <w:color w:val="000000" w:themeColor="text1"/>
          <w:sz w:val="22"/>
          <w:szCs w:val="22"/>
        </w:rPr>
        <w:t xml:space="preserve"> to </w:t>
      </w:r>
      <w:hyperlink r:id="rId19" w:history="1">
        <w:r w:rsidRPr="0EDFD8F4">
          <w:rPr>
            <w:rStyle w:val="Hyperlink"/>
            <w:rFonts w:ascii="Calibri" w:eastAsia="Calibri" w:hAnsi="Calibri" w:cs="Calibri"/>
            <w:sz w:val="22"/>
            <w:szCs w:val="22"/>
          </w:rPr>
          <w:t>test AI tools for DPP</w:t>
        </w:r>
      </w:hyperlink>
      <w:r w:rsidRPr="0EDFD8F4">
        <w:rPr>
          <w:rFonts w:ascii="Calibri" w:eastAsia="Calibri" w:hAnsi="Calibri" w:cs="Calibri"/>
          <w:color w:val="000000" w:themeColor="text1"/>
          <w:sz w:val="22"/>
          <w:szCs w:val="22"/>
        </w:rPr>
        <w:t>, improved, seamless data exchange could</w:t>
      </w:r>
      <w:r w:rsidRPr="0EDFD8F4">
        <w:rPr>
          <w:rFonts w:ascii="Calibri" w:eastAsia="Calibri" w:hAnsi="Calibri" w:cs="Calibri"/>
          <w:b/>
          <w:bCs/>
          <w:color w:val="000000" w:themeColor="text1"/>
          <w:sz w:val="22"/>
          <w:szCs w:val="22"/>
        </w:rPr>
        <w:t xml:space="preserve"> </w:t>
      </w:r>
      <w:r w:rsidRPr="0EDFD8F4">
        <w:rPr>
          <w:rFonts w:ascii="Calibri" w:eastAsia="Calibri" w:hAnsi="Calibri" w:cs="Calibri"/>
          <w:color w:val="000000" w:themeColor="text1"/>
          <w:sz w:val="22"/>
          <w:szCs w:val="22"/>
        </w:rPr>
        <w:t xml:space="preserve">alleviate the </w:t>
      </w:r>
      <w:hyperlink r:id="rId20" w:history="1">
        <w:r w:rsidRPr="0EDFD8F4">
          <w:rPr>
            <w:rStyle w:val="Hyperlink"/>
            <w:rFonts w:ascii="Calibri" w:eastAsia="Calibri" w:hAnsi="Calibri" w:cs="Calibri"/>
            <w:sz w:val="22"/>
            <w:szCs w:val="22"/>
          </w:rPr>
          <w:t>cost burden</w:t>
        </w:r>
      </w:hyperlink>
      <w:r w:rsidRPr="0EDFD8F4">
        <w:rPr>
          <w:rFonts w:ascii="Calibri" w:eastAsia="Calibri" w:hAnsi="Calibri" w:cs="Calibri"/>
          <w:color w:val="000000" w:themeColor="text1"/>
          <w:sz w:val="22"/>
          <w:szCs w:val="22"/>
        </w:rPr>
        <w:t xml:space="preserve"> of implementation, allowing greater opportunities to scale DPP adoption</w:t>
      </w:r>
      <w:r w:rsidRPr="0EDFD8F4">
        <w:rPr>
          <w:rFonts w:ascii="Calibri" w:eastAsia="Calibri" w:hAnsi="Calibri" w:cs="Calibri"/>
          <w:b/>
          <w:bCs/>
          <w:color w:val="000000" w:themeColor="text1"/>
          <w:sz w:val="22"/>
          <w:szCs w:val="22"/>
        </w:rPr>
        <w:t>.</w:t>
      </w:r>
    </w:p>
    <w:p w14:paraId="73127B8E" w14:textId="6D18469D" w:rsidR="08DC552A" w:rsidRDefault="14628829" w:rsidP="7933149F">
      <w:pPr>
        <w:pStyle w:val="paragraph"/>
        <w:numPr>
          <w:ilvl w:val="0"/>
          <w:numId w:val="13"/>
        </w:numPr>
        <w:spacing w:line="259" w:lineRule="auto"/>
        <w:rPr>
          <w:rStyle w:val="normaltextrun"/>
          <w:rFonts w:ascii="Calibri" w:eastAsia="Calibri" w:hAnsi="Calibri" w:cs="Calibri"/>
          <w:sz w:val="22"/>
          <w:szCs w:val="22"/>
          <w:vertAlign w:val="superscript"/>
        </w:rPr>
      </w:pPr>
      <w:r w:rsidRPr="14628829">
        <w:rPr>
          <w:rStyle w:val="normaltextrun"/>
          <w:rFonts w:ascii="Calibri" w:eastAsia="Calibri" w:hAnsi="Calibri" w:cs="Calibri"/>
          <w:b/>
          <w:bCs/>
          <w:sz w:val="22"/>
          <w:szCs w:val="22"/>
        </w:rPr>
        <w:t>Leverage Existing CMS Networks and Partnerships</w:t>
      </w:r>
      <w:r w:rsidRPr="14628829">
        <w:rPr>
          <w:rStyle w:val="normaltextrun"/>
          <w:rFonts w:ascii="Calibri" w:eastAsia="Calibri" w:hAnsi="Calibri" w:cs="Calibri"/>
          <w:sz w:val="22"/>
          <w:szCs w:val="22"/>
        </w:rPr>
        <w:t xml:space="preserve">. CMS should leverage public-private partnerships, such as the HCPLAN Tech-Enabled Health Care Workgroup, to coordinate interoperability and reporting efforts across multiple stakeholders and industries. </w:t>
      </w:r>
      <w:hyperlink r:id="rId21">
        <w:r w:rsidRPr="14628829">
          <w:rPr>
            <w:rStyle w:val="Hyperlink"/>
            <w:rFonts w:ascii="Calibri" w:eastAsia="Calibri" w:hAnsi="Calibri" w:cs="Calibri"/>
            <w:sz w:val="22"/>
            <w:szCs w:val="22"/>
          </w:rPr>
          <w:t>NCQA’s Bulk FHIR API Quality Coalition</w:t>
        </w:r>
      </w:hyperlink>
      <w:r w:rsidRPr="14628829">
        <w:rPr>
          <w:rStyle w:val="normaltextrun"/>
          <w:rFonts w:ascii="Calibri" w:eastAsia="Calibri" w:hAnsi="Calibri" w:cs="Calibri"/>
          <w:sz w:val="22"/>
          <w:szCs w:val="22"/>
        </w:rPr>
        <w:t xml:space="preserve"> is another public-private partnership effort that convenes payers and providers to mass pilot bulk FHIR implementation and expansion in the future. Public-private partnerships can build trust, create buy-in, and align implementation across providers, payers, EHR developers, Health Information Exchanges (HIEs), and data warehouses. Providing opportunities for bi-directional communication and feedback between policymakers and partners is critical to identifying and addressing barriers, as well as sharing and scaling best practices (such as through rapid learning efforts).</w:t>
      </w:r>
    </w:p>
    <w:p w14:paraId="14F09FB6" w14:textId="156270BF" w:rsidR="24F7ECA3" w:rsidRDefault="2AEA391E" w:rsidP="2AEA391E">
      <w:pPr>
        <w:pStyle w:val="Heading3"/>
        <w:rPr>
          <w:rStyle w:val="normaltextrun"/>
          <w:rFonts w:ascii="Calibri" w:eastAsia="Calibri" w:hAnsi="Calibri" w:cs="Calibri"/>
          <w:b/>
          <w:bCs/>
          <w:color w:val="0070C0"/>
        </w:rPr>
      </w:pPr>
      <w:r w:rsidRPr="2AEA391E">
        <w:rPr>
          <w:rFonts w:ascii="Calibri" w:eastAsia="Calibri" w:hAnsi="Calibri" w:cs="Calibri"/>
          <w:b/>
          <w:bCs/>
        </w:rPr>
        <w:t>Conclusion</w:t>
      </w:r>
    </w:p>
    <w:p w14:paraId="191AB37E" w14:textId="3279BE8A" w:rsidR="24F7ECA3" w:rsidRDefault="6E6B843C" w:rsidP="6A8483A2">
      <w:pPr>
        <w:pStyle w:val="paragraph"/>
        <w:rPr>
          <w:rStyle w:val="normaltextrun"/>
          <w:rFonts w:ascii="Calibri" w:eastAsia="Calibri" w:hAnsi="Calibri" w:cs="Calibri"/>
          <w:sz w:val="22"/>
          <w:szCs w:val="22"/>
        </w:rPr>
      </w:pPr>
      <w:r w:rsidRPr="6E6B843C">
        <w:rPr>
          <w:rStyle w:val="normaltextrun"/>
          <w:rFonts w:ascii="Calibri" w:eastAsia="Calibri" w:hAnsi="Calibri" w:cs="Calibri"/>
          <w:sz w:val="22"/>
          <w:szCs w:val="22"/>
        </w:rPr>
        <w:t xml:space="preserve">We appreciate the opportunity to provide feedback to CMS. Duke-Margolis encourages CMS to consider a stepwise approach to tech-enabled care and digital health tools by strengthening existing initiatives towards a common data infrastructure, identifying applicable use cases and programs, and scaling and aligning these efforts across different programs and patient populations.  If you have questions or require additional information, please contact Frank McStay at </w:t>
      </w:r>
      <w:hyperlink r:id="rId22" w:history="1">
        <w:r w:rsidRPr="6E6B843C">
          <w:rPr>
            <w:rStyle w:val="Hyperlink"/>
            <w:rFonts w:ascii="Calibri" w:eastAsia="Calibri" w:hAnsi="Calibri" w:cs="Calibri"/>
            <w:sz w:val="22"/>
            <w:szCs w:val="22"/>
          </w:rPr>
          <w:t>Frank.McStay@Duke.edu</w:t>
        </w:r>
      </w:hyperlink>
      <w:r w:rsidRPr="6E6B843C">
        <w:rPr>
          <w:rStyle w:val="normaltextrun"/>
          <w:rFonts w:ascii="Calibri" w:eastAsia="Calibri" w:hAnsi="Calibri" w:cs="Calibri"/>
          <w:sz w:val="22"/>
          <w:szCs w:val="22"/>
        </w:rPr>
        <w:t xml:space="preserve">.  </w:t>
      </w:r>
    </w:p>
    <w:p w14:paraId="0A58DEFF" w14:textId="038F7BFE" w:rsidR="24F7ECA3" w:rsidRDefault="6A8483A2" w:rsidP="6A8483A2">
      <w:pPr>
        <w:pStyle w:val="paragraph"/>
        <w:rPr>
          <w:rStyle w:val="normaltextrun"/>
          <w:rFonts w:ascii="Calibri" w:eastAsia="Calibri" w:hAnsi="Calibri" w:cs="Calibri"/>
          <w:sz w:val="22"/>
          <w:szCs w:val="22"/>
        </w:rPr>
      </w:pPr>
      <w:r w:rsidRPr="6A8483A2">
        <w:rPr>
          <w:rStyle w:val="normaltextrun"/>
          <w:rFonts w:ascii="Calibri" w:eastAsia="Calibri" w:hAnsi="Calibri" w:cs="Calibri"/>
          <w:sz w:val="22"/>
          <w:szCs w:val="22"/>
        </w:rPr>
        <w:t>Best Regards,</w:t>
      </w:r>
    </w:p>
    <w:p w14:paraId="4176A6AD" w14:textId="7BAD9044" w:rsidR="1D39AD52" w:rsidRDefault="1D39AD52" w:rsidP="00DB1C28">
      <w:pPr>
        <w:pStyle w:val="NoSpacing"/>
        <w:rPr>
          <w:rStyle w:val="normaltextrun"/>
          <w:rFonts w:ascii="Calibri" w:eastAsia="Calibri" w:hAnsi="Calibri" w:cs="Calibri"/>
          <w:sz w:val="22"/>
          <w:szCs w:val="22"/>
        </w:rPr>
      </w:pPr>
      <w:r w:rsidRPr="1D39AD52">
        <w:rPr>
          <w:rStyle w:val="normaltextrun"/>
          <w:rFonts w:ascii="Calibri" w:eastAsia="Calibri" w:hAnsi="Calibri" w:cs="Calibri"/>
          <w:sz w:val="22"/>
          <w:szCs w:val="22"/>
        </w:rPr>
        <w:t>Wenbo Bai, Senior Policy Analyst, Health Care Transformation</w:t>
      </w:r>
    </w:p>
    <w:p w14:paraId="2A3C1F2C" w14:textId="4C4C5FDE" w:rsidR="1D39AD52" w:rsidRDefault="1D39AD52" w:rsidP="00DB1C28">
      <w:pPr>
        <w:pStyle w:val="NoSpacing"/>
        <w:rPr>
          <w:rStyle w:val="normaltextrun"/>
          <w:rFonts w:ascii="Calibri" w:eastAsia="Calibri" w:hAnsi="Calibri" w:cs="Calibri"/>
          <w:sz w:val="22"/>
          <w:szCs w:val="22"/>
        </w:rPr>
      </w:pPr>
      <w:r w:rsidRPr="1D39AD52">
        <w:rPr>
          <w:rStyle w:val="normaltextrun"/>
          <w:rFonts w:ascii="Calibri" w:eastAsia="Calibri" w:hAnsi="Calibri" w:cs="Calibri"/>
          <w:sz w:val="22"/>
          <w:szCs w:val="22"/>
        </w:rPr>
        <w:t>Inga Morken, Policy Research Assistant, Health Care Transformation</w:t>
      </w:r>
    </w:p>
    <w:p w14:paraId="070439EE" w14:textId="6F27C59D" w:rsidR="1D39AD52" w:rsidRDefault="30EE9053" w:rsidP="00DB1C28">
      <w:pPr>
        <w:pStyle w:val="NoSpacing"/>
        <w:rPr>
          <w:rStyle w:val="normaltextrun"/>
          <w:rFonts w:ascii="Calibri" w:eastAsia="Calibri" w:hAnsi="Calibri" w:cs="Calibri"/>
          <w:sz w:val="22"/>
          <w:szCs w:val="22"/>
        </w:rPr>
      </w:pPr>
      <w:r w:rsidRPr="30EE9053">
        <w:rPr>
          <w:rStyle w:val="normaltextrun"/>
          <w:rFonts w:ascii="Calibri" w:eastAsia="Calibri" w:hAnsi="Calibri" w:cs="Calibri"/>
          <w:sz w:val="22"/>
          <w:szCs w:val="22"/>
        </w:rPr>
        <w:t>Christina Silcox, Research Director, Biomedical Innovation</w:t>
      </w:r>
    </w:p>
    <w:p w14:paraId="29D7033E" w14:textId="03735B60" w:rsidR="1D39AD52" w:rsidRDefault="1D39AD52" w:rsidP="00DB1C28">
      <w:pPr>
        <w:pStyle w:val="NoSpacing"/>
        <w:rPr>
          <w:rStyle w:val="normaltextrun"/>
          <w:rFonts w:ascii="Calibri" w:eastAsia="Calibri" w:hAnsi="Calibri" w:cs="Calibri"/>
          <w:sz w:val="22"/>
          <w:szCs w:val="22"/>
        </w:rPr>
      </w:pPr>
      <w:r w:rsidRPr="1D39AD52">
        <w:rPr>
          <w:rStyle w:val="normaltextrun"/>
          <w:rFonts w:ascii="Calibri" w:eastAsia="Calibri" w:hAnsi="Calibri" w:cs="Calibri"/>
          <w:sz w:val="22"/>
          <w:szCs w:val="22"/>
        </w:rPr>
        <w:t>Frank McStay, Assistant Research Director, Health Care Transformation</w:t>
      </w:r>
    </w:p>
    <w:sectPr w:rsidR="1D39AD52" w:rsidSect="00EE6E42">
      <w:headerReference w:type="default" r:id="rId23"/>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58A88F" w14:textId="77777777" w:rsidR="00DA3E5A" w:rsidRDefault="00DA3E5A" w:rsidP="00DD7281">
      <w:r>
        <w:separator/>
      </w:r>
    </w:p>
  </w:endnote>
  <w:endnote w:type="continuationSeparator" w:id="0">
    <w:p w14:paraId="03F8ED2E" w14:textId="77777777" w:rsidR="00DA3E5A" w:rsidRDefault="00DA3E5A" w:rsidP="00DD72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207A6EE2" w14:paraId="7E414AFD" w14:textId="77777777" w:rsidTr="207A6EE2">
      <w:trPr>
        <w:trHeight w:val="300"/>
      </w:trPr>
      <w:tc>
        <w:tcPr>
          <w:tcW w:w="3120" w:type="dxa"/>
        </w:tcPr>
        <w:p w14:paraId="6A65F55F" w14:textId="2FB80677" w:rsidR="207A6EE2" w:rsidRDefault="207A6EE2" w:rsidP="207A6EE2">
          <w:pPr>
            <w:pStyle w:val="Header"/>
            <w:ind w:left="-115"/>
          </w:pPr>
        </w:p>
      </w:tc>
      <w:tc>
        <w:tcPr>
          <w:tcW w:w="3120" w:type="dxa"/>
        </w:tcPr>
        <w:p w14:paraId="279ED7EB" w14:textId="1717D002" w:rsidR="207A6EE2" w:rsidRDefault="207A6EE2" w:rsidP="207A6EE2">
          <w:pPr>
            <w:pStyle w:val="Header"/>
            <w:jc w:val="center"/>
          </w:pPr>
          <w:r>
            <w:fldChar w:fldCharType="begin"/>
          </w:r>
          <w:r>
            <w:instrText>PAGE</w:instrText>
          </w:r>
          <w:r>
            <w:fldChar w:fldCharType="separate"/>
          </w:r>
          <w:r w:rsidR="00852715">
            <w:rPr>
              <w:noProof/>
            </w:rPr>
            <w:t>1</w:t>
          </w:r>
          <w:r>
            <w:fldChar w:fldCharType="end"/>
          </w:r>
        </w:p>
      </w:tc>
      <w:tc>
        <w:tcPr>
          <w:tcW w:w="3120" w:type="dxa"/>
        </w:tcPr>
        <w:p w14:paraId="2954D656" w14:textId="2C482D8F" w:rsidR="207A6EE2" w:rsidRDefault="207A6EE2" w:rsidP="207A6EE2">
          <w:pPr>
            <w:pStyle w:val="Header"/>
            <w:ind w:right="-115"/>
            <w:jc w:val="right"/>
          </w:pPr>
        </w:p>
      </w:tc>
    </w:tr>
  </w:tbl>
  <w:p w14:paraId="5A61B87F" w14:textId="4F3E79B9" w:rsidR="207A6EE2" w:rsidRDefault="207A6EE2" w:rsidP="207A6E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2EA525" w14:textId="77777777" w:rsidR="00DA3E5A" w:rsidRDefault="00DA3E5A" w:rsidP="00DD7281">
      <w:r>
        <w:separator/>
      </w:r>
    </w:p>
  </w:footnote>
  <w:footnote w:type="continuationSeparator" w:id="0">
    <w:p w14:paraId="082F459A" w14:textId="77777777" w:rsidR="00DA3E5A" w:rsidRDefault="00DA3E5A" w:rsidP="00DD72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35B286" w14:textId="2168240C" w:rsidR="00DD7281" w:rsidRDefault="00DD7281">
    <w:pPr>
      <w:pStyle w:val="Header"/>
    </w:pPr>
    <w:r>
      <w:rPr>
        <w:noProof/>
      </w:rPr>
      <w:drawing>
        <wp:anchor distT="0" distB="0" distL="114300" distR="114300" simplePos="0" relativeHeight="251658240" behindDoc="1" locked="0" layoutInCell="1" allowOverlap="1" wp14:anchorId="58737922" wp14:editId="2BBEE528">
          <wp:simplePos x="0" y="0"/>
          <wp:positionH relativeFrom="column">
            <wp:posOffset>-152400</wp:posOffset>
          </wp:positionH>
          <wp:positionV relativeFrom="paragraph">
            <wp:posOffset>-260350</wp:posOffset>
          </wp:positionV>
          <wp:extent cx="2432050" cy="586901"/>
          <wp:effectExtent l="0" t="0" r="0" b="0"/>
          <wp:wrapTight wrapText="bothSides">
            <wp:wrapPolygon edited="0">
              <wp:start x="8798" y="2104"/>
              <wp:lineTo x="1015" y="4208"/>
              <wp:lineTo x="338" y="4909"/>
              <wp:lineTo x="338" y="16130"/>
              <wp:lineTo x="8798" y="18935"/>
              <wp:lineTo x="9644" y="18935"/>
              <wp:lineTo x="19119" y="17532"/>
              <wp:lineTo x="20980" y="16831"/>
              <wp:lineTo x="21149" y="6312"/>
              <wp:lineTo x="19119" y="4208"/>
              <wp:lineTo x="9813" y="2104"/>
              <wp:lineTo x="8798" y="2104"/>
            </wp:wrapPolygon>
          </wp:wrapTight>
          <wp:docPr id="836070381" name="Picture 1" descr="A logo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logo with blue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32050" cy="586901"/>
                  </a:xfrm>
                  <a:prstGeom prst="rect">
                    <a:avLst/>
                  </a:prstGeom>
                  <a:noFill/>
                  <a:ln>
                    <a:noFill/>
                  </a:ln>
                </pic:spPr>
              </pic:pic>
            </a:graphicData>
          </a:graphic>
        </wp:anchor>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CE60A"/>
    <w:multiLevelType w:val="hybridMultilevel"/>
    <w:tmpl w:val="450075F4"/>
    <w:lvl w:ilvl="0" w:tplc="9D5EC9AE">
      <w:start w:val="1"/>
      <w:numFmt w:val="bullet"/>
      <w:lvlText w:val=""/>
      <w:lvlJc w:val="left"/>
      <w:pPr>
        <w:ind w:left="720" w:hanging="360"/>
      </w:pPr>
      <w:rPr>
        <w:rFonts w:ascii="Symbol" w:hAnsi="Symbol" w:hint="default"/>
      </w:rPr>
    </w:lvl>
    <w:lvl w:ilvl="1" w:tplc="8E5E31EE">
      <w:start w:val="1"/>
      <w:numFmt w:val="bullet"/>
      <w:lvlText w:val="o"/>
      <w:lvlJc w:val="left"/>
      <w:pPr>
        <w:ind w:left="1440" w:hanging="360"/>
      </w:pPr>
      <w:rPr>
        <w:rFonts w:ascii="Courier New" w:hAnsi="Courier New" w:hint="default"/>
      </w:rPr>
    </w:lvl>
    <w:lvl w:ilvl="2" w:tplc="F16EC7FC">
      <w:start w:val="1"/>
      <w:numFmt w:val="bullet"/>
      <w:lvlText w:val=""/>
      <w:lvlJc w:val="left"/>
      <w:pPr>
        <w:ind w:left="2160" w:hanging="360"/>
      </w:pPr>
      <w:rPr>
        <w:rFonts w:ascii="Wingdings" w:hAnsi="Wingdings" w:hint="default"/>
      </w:rPr>
    </w:lvl>
    <w:lvl w:ilvl="3" w:tplc="9612A8CA">
      <w:start w:val="1"/>
      <w:numFmt w:val="bullet"/>
      <w:lvlText w:val=""/>
      <w:lvlJc w:val="left"/>
      <w:pPr>
        <w:ind w:left="2880" w:hanging="360"/>
      </w:pPr>
      <w:rPr>
        <w:rFonts w:ascii="Symbol" w:hAnsi="Symbol" w:hint="default"/>
      </w:rPr>
    </w:lvl>
    <w:lvl w:ilvl="4" w:tplc="C0FAAE4A">
      <w:start w:val="1"/>
      <w:numFmt w:val="bullet"/>
      <w:lvlText w:val="o"/>
      <w:lvlJc w:val="left"/>
      <w:pPr>
        <w:ind w:left="3600" w:hanging="360"/>
      </w:pPr>
      <w:rPr>
        <w:rFonts w:ascii="Courier New" w:hAnsi="Courier New" w:hint="default"/>
      </w:rPr>
    </w:lvl>
    <w:lvl w:ilvl="5" w:tplc="FC6ECC36">
      <w:start w:val="1"/>
      <w:numFmt w:val="bullet"/>
      <w:lvlText w:val=""/>
      <w:lvlJc w:val="left"/>
      <w:pPr>
        <w:ind w:left="4320" w:hanging="360"/>
      </w:pPr>
      <w:rPr>
        <w:rFonts w:ascii="Wingdings" w:hAnsi="Wingdings" w:hint="default"/>
      </w:rPr>
    </w:lvl>
    <w:lvl w:ilvl="6" w:tplc="CED2CF84">
      <w:start w:val="1"/>
      <w:numFmt w:val="bullet"/>
      <w:lvlText w:val=""/>
      <w:lvlJc w:val="left"/>
      <w:pPr>
        <w:ind w:left="5040" w:hanging="360"/>
      </w:pPr>
      <w:rPr>
        <w:rFonts w:ascii="Symbol" w:hAnsi="Symbol" w:hint="default"/>
      </w:rPr>
    </w:lvl>
    <w:lvl w:ilvl="7" w:tplc="6FC41AA4">
      <w:start w:val="1"/>
      <w:numFmt w:val="bullet"/>
      <w:lvlText w:val="o"/>
      <w:lvlJc w:val="left"/>
      <w:pPr>
        <w:ind w:left="5760" w:hanging="360"/>
      </w:pPr>
      <w:rPr>
        <w:rFonts w:ascii="Courier New" w:hAnsi="Courier New" w:hint="default"/>
      </w:rPr>
    </w:lvl>
    <w:lvl w:ilvl="8" w:tplc="6EC637F8">
      <w:start w:val="1"/>
      <w:numFmt w:val="bullet"/>
      <w:lvlText w:val=""/>
      <w:lvlJc w:val="left"/>
      <w:pPr>
        <w:ind w:left="6480" w:hanging="360"/>
      </w:pPr>
      <w:rPr>
        <w:rFonts w:ascii="Wingdings" w:hAnsi="Wingdings" w:hint="default"/>
      </w:rPr>
    </w:lvl>
  </w:abstractNum>
  <w:abstractNum w:abstractNumId="1" w15:restartNumberingAfterBreak="0">
    <w:nsid w:val="0207C953"/>
    <w:multiLevelType w:val="hybridMultilevel"/>
    <w:tmpl w:val="709CB1FE"/>
    <w:lvl w:ilvl="0" w:tplc="F62468E6">
      <w:start w:val="1"/>
      <w:numFmt w:val="bullet"/>
      <w:lvlText w:val=""/>
      <w:lvlJc w:val="left"/>
      <w:pPr>
        <w:ind w:left="720" w:hanging="360"/>
      </w:pPr>
      <w:rPr>
        <w:rFonts w:ascii="Symbol" w:hAnsi="Symbol" w:hint="default"/>
      </w:rPr>
    </w:lvl>
    <w:lvl w:ilvl="1" w:tplc="B45224BA">
      <w:start w:val="1"/>
      <w:numFmt w:val="bullet"/>
      <w:lvlText w:val="o"/>
      <w:lvlJc w:val="left"/>
      <w:pPr>
        <w:ind w:left="1440" w:hanging="360"/>
      </w:pPr>
      <w:rPr>
        <w:rFonts w:ascii="Courier New" w:hAnsi="Courier New" w:hint="default"/>
      </w:rPr>
    </w:lvl>
    <w:lvl w:ilvl="2" w:tplc="4BE04E12">
      <w:start w:val="1"/>
      <w:numFmt w:val="bullet"/>
      <w:lvlText w:val=""/>
      <w:lvlJc w:val="left"/>
      <w:pPr>
        <w:ind w:left="2160" w:hanging="360"/>
      </w:pPr>
      <w:rPr>
        <w:rFonts w:ascii="Wingdings" w:hAnsi="Wingdings" w:hint="default"/>
      </w:rPr>
    </w:lvl>
    <w:lvl w:ilvl="3" w:tplc="7F72BBEA">
      <w:start w:val="1"/>
      <w:numFmt w:val="bullet"/>
      <w:lvlText w:val=""/>
      <w:lvlJc w:val="left"/>
      <w:pPr>
        <w:ind w:left="2880" w:hanging="360"/>
      </w:pPr>
      <w:rPr>
        <w:rFonts w:ascii="Symbol" w:hAnsi="Symbol" w:hint="default"/>
      </w:rPr>
    </w:lvl>
    <w:lvl w:ilvl="4" w:tplc="6EECB20C">
      <w:start w:val="1"/>
      <w:numFmt w:val="bullet"/>
      <w:lvlText w:val="o"/>
      <w:lvlJc w:val="left"/>
      <w:pPr>
        <w:ind w:left="3600" w:hanging="360"/>
      </w:pPr>
      <w:rPr>
        <w:rFonts w:ascii="Courier New" w:hAnsi="Courier New" w:hint="default"/>
      </w:rPr>
    </w:lvl>
    <w:lvl w:ilvl="5" w:tplc="FABA5CFE">
      <w:start w:val="1"/>
      <w:numFmt w:val="bullet"/>
      <w:lvlText w:val=""/>
      <w:lvlJc w:val="left"/>
      <w:pPr>
        <w:ind w:left="4320" w:hanging="360"/>
      </w:pPr>
      <w:rPr>
        <w:rFonts w:ascii="Wingdings" w:hAnsi="Wingdings" w:hint="default"/>
      </w:rPr>
    </w:lvl>
    <w:lvl w:ilvl="6" w:tplc="D516646C">
      <w:start w:val="1"/>
      <w:numFmt w:val="bullet"/>
      <w:lvlText w:val=""/>
      <w:lvlJc w:val="left"/>
      <w:pPr>
        <w:ind w:left="5040" w:hanging="360"/>
      </w:pPr>
      <w:rPr>
        <w:rFonts w:ascii="Symbol" w:hAnsi="Symbol" w:hint="default"/>
      </w:rPr>
    </w:lvl>
    <w:lvl w:ilvl="7" w:tplc="0E367338">
      <w:start w:val="1"/>
      <w:numFmt w:val="bullet"/>
      <w:lvlText w:val="o"/>
      <w:lvlJc w:val="left"/>
      <w:pPr>
        <w:ind w:left="5760" w:hanging="360"/>
      </w:pPr>
      <w:rPr>
        <w:rFonts w:ascii="Courier New" w:hAnsi="Courier New" w:hint="default"/>
      </w:rPr>
    </w:lvl>
    <w:lvl w:ilvl="8" w:tplc="9EE4255A">
      <w:start w:val="1"/>
      <w:numFmt w:val="bullet"/>
      <w:lvlText w:val=""/>
      <w:lvlJc w:val="left"/>
      <w:pPr>
        <w:ind w:left="6480" w:hanging="360"/>
      </w:pPr>
      <w:rPr>
        <w:rFonts w:ascii="Wingdings" w:hAnsi="Wingdings" w:hint="default"/>
      </w:rPr>
    </w:lvl>
  </w:abstractNum>
  <w:abstractNum w:abstractNumId="2" w15:restartNumberingAfterBreak="0">
    <w:nsid w:val="02EC03F6"/>
    <w:multiLevelType w:val="hybridMultilevel"/>
    <w:tmpl w:val="DAD6D0C2"/>
    <w:lvl w:ilvl="0" w:tplc="60066540">
      <w:start w:val="1"/>
      <w:numFmt w:val="bullet"/>
      <w:lvlText w:val=""/>
      <w:lvlJc w:val="left"/>
      <w:pPr>
        <w:ind w:left="720" w:hanging="360"/>
      </w:pPr>
      <w:rPr>
        <w:rFonts w:ascii="Symbol" w:hAnsi="Symbol" w:hint="default"/>
      </w:rPr>
    </w:lvl>
    <w:lvl w:ilvl="1" w:tplc="B1CC9086">
      <w:start w:val="1"/>
      <w:numFmt w:val="bullet"/>
      <w:lvlText w:val="o"/>
      <w:lvlJc w:val="left"/>
      <w:pPr>
        <w:ind w:left="1440" w:hanging="360"/>
      </w:pPr>
      <w:rPr>
        <w:rFonts w:ascii="Courier New" w:hAnsi="Courier New" w:hint="default"/>
      </w:rPr>
    </w:lvl>
    <w:lvl w:ilvl="2" w:tplc="E0908EC0">
      <w:start w:val="1"/>
      <w:numFmt w:val="bullet"/>
      <w:lvlText w:val=""/>
      <w:lvlJc w:val="left"/>
      <w:pPr>
        <w:ind w:left="2160" w:hanging="360"/>
      </w:pPr>
      <w:rPr>
        <w:rFonts w:ascii="Wingdings" w:hAnsi="Wingdings" w:hint="default"/>
      </w:rPr>
    </w:lvl>
    <w:lvl w:ilvl="3" w:tplc="F2EE450E">
      <w:start w:val="1"/>
      <w:numFmt w:val="bullet"/>
      <w:lvlText w:val=""/>
      <w:lvlJc w:val="left"/>
      <w:pPr>
        <w:ind w:left="2880" w:hanging="360"/>
      </w:pPr>
      <w:rPr>
        <w:rFonts w:ascii="Symbol" w:hAnsi="Symbol" w:hint="default"/>
      </w:rPr>
    </w:lvl>
    <w:lvl w:ilvl="4" w:tplc="913E8DD8">
      <w:start w:val="1"/>
      <w:numFmt w:val="bullet"/>
      <w:lvlText w:val="o"/>
      <w:lvlJc w:val="left"/>
      <w:pPr>
        <w:ind w:left="3600" w:hanging="360"/>
      </w:pPr>
      <w:rPr>
        <w:rFonts w:ascii="Courier New" w:hAnsi="Courier New" w:hint="default"/>
      </w:rPr>
    </w:lvl>
    <w:lvl w:ilvl="5" w:tplc="3ACAD442">
      <w:start w:val="1"/>
      <w:numFmt w:val="bullet"/>
      <w:lvlText w:val=""/>
      <w:lvlJc w:val="left"/>
      <w:pPr>
        <w:ind w:left="4320" w:hanging="360"/>
      </w:pPr>
      <w:rPr>
        <w:rFonts w:ascii="Wingdings" w:hAnsi="Wingdings" w:hint="default"/>
      </w:rPr>
    </w:lvl>
    <w:lvl w:ilvl="6" w:tplc="5FC22912">
      <w:start w:val="1"/>
      <w:numFmt w:val="bullet"/>
      <w:lvlText w:val=""/>
      <w:lvlJc w:val="left"/>
      <w:pPr>
        <w:ind w:left="5040" w:hanging="360"/>
      </w:pPr>
      <w:rPr>
        <w:rFonts w:ascii="Symbol" w:hAnsi="Symbol" w:hint="default"/>
      </w:rPr>
    </w:lvl>
    <w:lvl w:ilvl="7" w:tplc="1F80C714">
      <w:start w:val="1"/>
      <w:numFmt w:val="bullet"/>
      <w:lvlText w:val="o"/>
      <w:lvlJc w:val="left"/>
      <w:pPr>
        <w:ind w:left="5760" w:hanging="360"/>
      </w:pPr>
      <w:rPr>
        <w:rFonts w:ascii="Courier New" w:hAnsi="Courier New" w:hint="default"/>
      </w:rPr>
    </w:lvl>
    <w:lvl w:ilvl="8" w:tplc="00EEE536">
      <w:start w:val="1"/>
      <w:numFmt w:val="bullet"/>
      <w:lvlText w:val=""/>
      <w:lvlJc w:val="left"/>
      <w:pPr>
        <w:ind w:left="6480" w:hanging="360"/>
      </w:pPr>
      <w:rPr>
        <w:rFonts w:ascii="Wingdings" w:hAnsi="Wingdings" w:hint="default"/>
      </w:rPr>
    </w:lvl>
  </w:abstractNum>
  <w:abstractNum w:abstractNumId="3" w15:restartNumberingAfterBreak="0">
    <w:nsid w:val="062BB373"/>
    <w:multiLevelType w:val="hybridMultilevel"/>
    <w:tmpl w:val="3970EC30"/>
    <w:lvl w:ilvl="0" w:tplc="6C22B250">
      <w:start w:val="1"/>
      <w:numFmt w:val="bullet"/>
      <w:lvlText w:val=""/>
      <w:lvlJc w:val="left"/>
      <w:pPr>
        <w:ind w:left="720" w:hanging="360"/>
      </w:pPr>
      <w:rPr>
        <w:rFonts w:ascii="Symbol" w:hAnsi="Symbol" w:hint="default"/>
      </w:rPr>
    </w:lvl>
    <w:lvl w:ilvl="1" w:tplc="21B0E310">
      <w:start w:val="1"/>
      <w:numFmt w:val="bullet"/>
      <w:lvlText w:val="o"/>
      <w:lvlJc w:val="left"/>
      <w:pPr>
        <w:ind w:left="1440" w:hanging="360"/>
      </w:pPr>
      <w:rPr>
        <w:rFonts w:ascii="Courier New" w:hAnsi="Courier New" w:hint="default"/>
      </w:rPr>
    </w:lvl>
    <w:lvl w:ilvl="2" w:tplc="97D66FC2">
      <w:start w:val="1"/>
      <w:numFmt w:val="bullet"/>
      <w:lvlText w:val=""/>
      <w:lvlJc w:val="left"/>
      <w:pPr>
        <w:ind w:left="2160" w:hanging="360"/>
      </w:pPr>
      <w:rPr>
        <w:rFonts w:ascii="Wingdings" w:hAnsi="Wingdings" w:hint="default"/>
      </w:rPr>
    </w:lvl>
    <w:lvl w:ilvl="3" w:tplc="F594E48A">
      <w:start w:val="1"/>
      <w:numFmt w:val="bullet"/>
      <w:lvlText w:val=""/>
      <w:lvlJc w:val="left"/>
      <w:pPr>
        <w:ind w:left="2880" w:hanging="360"/>
      </w:pPr>
      <w:rPr>
        <w:rFonts w:ascii="Symbol" w:hAnsi="Symbol" w:hint="default"/>
      </w:rPr>
    </w:lvl>
    <w:lvl w:ilvl="4" w:tplc="239EAC4C">
      <w:start w:val="1"/>
      <w:numFmt w:val="bullet"/>
      <w:lvlText w:val="o"/>
      <w:lvlJc w:val="left"/>
      <w:pPr>
        <w:ind w:left="3600" w:hanging="360"/>
      </w:pPr>
      <w:rPr>
        <w:rFonts w:ascii="Courier New" w:hAnsi="Courier New" w:hint="default"/>
      </w:rPr>
    </w:lvl>
    <w:lvl w:ilvl="5" w:tplc="6E7AC4DE">
      <w:start w:val="1"/>
      <w:numFmt w:val="bullet"/>
      <w:lvlText w:val=""/>
      <w:lvlJc w:val="left"/>
      <w:pPr>
        <w:ind w:left="4320" w:hanging="360"/>
      </w:pPr>
      <w:rPr>
        <w:rFonts w:ascii="Wingdings" w:hAnsi="Wingdings" w:hint="default"/>
      </w:rPr>
    </w:lvl>
    <w:lvl w:ilvl="6" w:tplc="F54623F8">
      <w:start w:val="1"/>
      <w:numFmt w:val="bullet"/>
      <w:lvlText w:val=""/>
      <w:lvlJc w:val="left"/>
      <w:pPr>
        <w:ind w:left="5040" w:hanging="360"/>
      </w:pPr>
      <w:rPr>
        <w:rFonts w:ascii="Symbol" w:hAnsi="Symbol" w:hint="default"/>
      </w:rPr>
    </w:lvl>
    <w:lvl w:ilvl="7" w:tplc="2456516C">
      <w:start w:val="1"/>
      <w:numFmt w:val="bullet"/>
      <w:lvlText w:val="o"/>
      <w:lvlJc w:val="left"/>
      <w:pPr>
        <w:ind w:left="5760" w:hanging="360"/>
      </w:pPr>
      <w:rPr>
        <w:rFonts w:ascii="Courier New" w:hAnsi="Courier New" w:hint="default"/>
      </w:rPr>
    </w:lvl>
    <w:lvl w:ilvl="8" w:tplc="19760C7E">
      <w:start w:val="1"/>
      <w:numFmt w:val="bullet"/>
      <w:lvlText w:val=""/>
      <w:lvlJc w:val="left"/>
      <w:pPr>
        <w:ind w:left="6480" w:hanging="360"/>
      </w:pPr>
      <w:rPr>
        <w:rFonts w:ascii="Wingdings" w:hAnsi="Wingdings" w:hint="default"/>
      </w:rPr>
    </w:lvl>
  </w:abstractNum>
  <w:abstractNum w:abstractNumId="4" w15:restartNumberingAfterBreak="0">
    <w:nsid w:val="06F9A52D"/>
    <w:multiLevelType w:val="hybridMultilevel"/>
    <w:tmpl w:val="2E328422"/>
    <w:lvl w:ilvl="0" w:tplc="90E2CA14">
      <w:start w:val="1"/>
      <w:numFmt w:val="bullet"/>
      <w:lvlText w:val=""/>
      <w:lvlJc w:val="left"/>
      <w:pPr>
        <w:ind w:left="720" w:hanging="360"/>
      </w:pPr>
      <w:rPr>
        <w:rFonts w:ascii="Symbol" w:hAnsi="Symbol" w:hint="default"/>
      </w:rPr>
    </w:lvl>
    <w:lvl w:ilvl="1" w:tplc="DEA4BEBC">
      <w:start w:val="1"/>
      <w:numFmt w:val="bullet"/>
      <w:lvlText w:val="o"/>
      <w:lvlJc w:val="left"/>
      <w:pPr>
        <w:ind w:left="1440" w:hanging="360"/>
      </w:pPr>
      <w:rPr>
        <w:rFonts w:ascii="Courier New" w:hAnsi="Courier New" w:hint="default"/>
      </w:rPr>
    </w:lvl>
    <w:lvl w:ilvl="2" w:tplc="C4C65E06">
      <w:start w:val="1"/>
      <w:numFmt w:val="bullet"/>
      <w:lvlText w:val=""/>
      <w:lvlJc w:val="left"/>
      <w:pPr>
        <w:ind w:left="2160" w:hanging="360"/>
      </w:pPr>
      <w:rPr>
        <w:rFonts w:ascii="Wingdings" w:hAnsi="Wingdings" w:hint="default"/>
      </w:rPr>
    </w:lvl>
    <w:lvl w:ilvl="3" w:tplc="94BA06A8">
      <w:start w:val="1"/>
      <w:numFmt w:val="bullet"/>
      <w:lvlText w:val=""/>
      <w:lvlJc w:val="left"/>
      <w:pPr>
        <w:ind w:left="2880" w:hanging="360"/>
      </w:pPr>
      <w:rPr>
        <w:rFonts w:ascii="Symbol" w:hAnsi="Symbol" w:hint="default"/>
      </w:rPr>
    </w:lvl>
    <w:lvl w:ilvl="4" w:tplc="9E5A4B62">
      <w:start w:val="1"/>
      <w:numFmt w:val="bullet"/>
      <w:lvlText w:val="o"/>
      <w:lvlJc w:val="left"/>
      <w:pPr>
        <w:ind w:left="3600" w:hanging="360"/>
      </w:pPr>
      <w:rPr>
        <w:rFonts w:ascii="Courier New" w:hAnsi="Courier New" w:hint="default"/>
      </w:rPr>
    </w:lvl>
    <w:lvl w:ilvl="5" w:tplc="6534EFE6">
      <w:start w:val="1"/>
      <w:numFmt w:val="bullet"/>
      <w:lvlText w:val=""/>
      <w:lvlJc w:val="left"/>
      <w:pPr>
        <w:ind w:left="4320" w:hanging="360"/>
      </w:pPr>
      <w:rPr>
        <w:rFonts w:ascii="Wingdings" w:hAnsi="Wingdings" w:hint="default"/>
      </w:rPr>
    </w:lvl>
    <w:lvl w:ilvl="6" w:tplc="F5DC9D72">
      <w:start w:val="1"/>
      <w:numFmt w:val="bullet"/>
      <w:lvlText w:val=""/>
      <w:lvlJc w:val="left"/>
      <w:pPr>
        <w:ind w:left="5040" w:hanging="360"/>
      </w:pPr>
      <w:rPr>
        <w:rFonts w:ascii="Symbol" w:hAnsi="Symbol" w:hint="default"/>
      </w:rPr>
    </w:lvl>
    <w:lvl w:ilvl="7" w:tplc="843C8D4C">
      <w:start w:val="1"/>
      <w:numFmt w:val="bullet"/>
      <w:lvlText w:val="o"/>
      <w:lvlJc w:val="left"/>
      <w:pPr>
        <w:ind w:left="5760" w:hanging="360"/>
      </w:pPr>
      <w:rPr>
        <w:rFonts w:ascii="Courier New" w:hAnsi="Courier New" w:hint="default"/>
      </w:rPr>
    </w:lvl>
    <w:lvl w:ilvl="8" w:tplc="422271BC">
      <w:start w:val="1"/>
      <w:numFmt w:val="bullet"/>
      <w:lvlText w:val=""/>
      <w:lvlJc w:val="left"/>
      <w:pPr>
        <w:ind w:left="6480" w:hanging="360"/>
      </w:pPr>
      <w:rPr>
        <w:rFonts w:ascii="Wingdings" w:hAnsi="Wingdings" w:hint="default"/>
      </w:rPr>
    </w:lvl>
  </w:abstractNum>
  <w:abstractNum w:abstractNumId="5" w15:restartNumberingAfterBreak="0">
    <w:nsid w:val="072CE867"/>
    <w:multiLevelType w:val="hybridMultilevel"/>
    <w:tmpl w:val="37C62D9E"/>
    <w:lvl w:ilvl="0" w:tplc="5E74E152">
      <w:start w:val="1"/>
      <w:numFmt w:val="bullet"/>
      <w:lvlText w:val=""/>
      <w:lvlJc w:val="left"/>
      <w:pPr>
        <w:ind w:left="720" w:hanging="360"/>
      </w:pPr>
      <w:rPr>
        <w:rFonts w:ascii="Symbol" w:hAnsi="Symbol" w:hint="default"/>
      </w:rPr>
    </w:lvl>
    <w:lvl w:ilvl="1" w:tplc="B1BAC3C2">
      <w:start w:val="1"/>
      <w:numFmt w:val="bullet"/>
      <w:lvlText w:val="o"/>
      <w:lvlJc w:val="left"/>
      <w:pPr>
        <w:ind w:left="1440" w:hanging="360"/>
      </w:pPr>
      <w:rPr>
        <w:rFonts w:ascii="Courier New" w:hAnsi="Courier New" w:hint="default"/>
      </w:rPr>
    </w:lvl>
    <w:lvl w:ilvl="2" w:tplc="5C86F3FE">
      <w:start w:val="1"/>
      <w:numFmt w:val="bullet"/>
      <w:lvlText w:val=""/>
      <w:lvlJc w:val="left"/>
      <w:pPr>
        <w:ind w:left="2160" w:hanging="360"/>
      </w:pPr>
      <w:rPr>
        <w:rFonts w:ascii="Wingdings" w:hAnsi="Wingdings" w:hint="default"/>
      </w:rPr>
    </w:lvl>
    <w:lvl w:ilvl="3" w:tplc="1CF07C94">
      <w:start w:val="1"/>
      <w:numFmt w:val="bullet"/>
      <w:lvlText w:val=""/>
      <w:lvlJc w:val="left"/>
      <w:pPr>
        <w:ind w:left="2880" w:hanging="360"/>
      </w:pPr>
      <w:rPr>
        <w:rFonts w:ascii="Symbol" w:hAnsi="Symbol" w:hint="default"/>
      </w:rPr>
    </w:lvl>
    <w:lvl w:ilvl="4" w:tplc="AD8C4F58">
      <w:start w:val="1"/>
      <w:numFmt w:val="bullet"/>
      <w:lvlText w:val="o"/>
      <w:lvlJc w:val="left"/>
      <w:pPr>
        <w:ind w:left="3600" w:hanging="360"/>
      </w:pPr>
      <w:rPr>
        <w:rFonts w:ascii="Courier New" w:hAnsi="Courier New" w:hint="default"/>
      </w:rPr>
    </w:lvl>
    <w:lvl w:ilvl="5" w:tplc="617C61DC">
      <w:start w:val="1"/>
      <w:numFmt w:val="bullet"/>
      <w:lvlText w:val=""/>
      <w:lvlJc w:val="left"/>
      <w:pPr>
        <w:ind w:left="4320" w:hanging="360"/>
      </w:pPr>
      <w:rPr>
        <w:rFonts w:ascii="Wingdings" w:hAnsi="Wingdings" w:hint="default"/>
      </w:rPr>
    </w:lvl>
    <w:lvl w:ilvl="6" w:tplc="A230A2C8">
      <w:start w:val="1"/>
      <w:numFmt w:val="bullet"/>
      <w:lvlText w:val=""/>
      <w:lvlJc w:val="left"/>
      <w:pPr>
        <w:ind w:left="5040" w:hanging="360"/>
      </w:pPr>
      <w:rPr>
        <w:rFonts w:ascii="Symbol" w:hAnsi="Symbol" w:hint="default"/>
      </w:rPr>
    </w:lvl>
    <w:lvl w:ilvl="7" w:tplc="6C489544">
      <w:start w:val="1"/>
      <w:numFmt w:val="bullet"/>
      <w:lvlText w:val="o"/>
      <w:lvlJc w:val="left"/>
      <w:pPr>
        <w:ind w:left="5760" w:hanging="360"/>
      </w:pPr>
      <w:rPr>
        <w:rFonts w:ascii="Courier New" w:hAnsi="Courier New" w:hint="default"/>
      </w:rPr>
    </w:lvl>
    <w:lvl w:ilvl="8" w:tplc="D6E830BA">
      <w:start w:val="1"/>
      <w:numFmt w:val="bullet"/>
      <w:lvlText w:val=""/>
      <w:lvlJc w:val="left"/>
      <w:pPr>
        <w:ind w:left="6480" w:hanging="360"/>
      </w:pPr>
      <w:rPr>
        <w:rFonts w:ascii="Wingdings" w:hAnsi="Wingdings" w:hint="default"/>
      </w:rPr>
    </w:lvl>
  </w:abstractNum>
  <w:abstractNum w:abstractNumId="6" w15:restartNumberingAfterBreak="0">
    <w:nsid w:val="08CA0C91"/>
    <w:multiLevelType w:val="hybridMultilevel"/>
    <w:tmpl w:val="15887966"/>
    <w:lvl w:ilvl="0" w:tplc="DDC43DD0">
      <w:start w:val="1"/>
      <w:numFmt w:val="bullet"/>
      <w:lvlText w:val=""/>
      <w:lvlJc w:val="left"/>
      <w:pPr>
        <w:ind w:left="720" w:hanging="360"/>
      </w:pPr>
      <w:rPr>
        <w:rFonts w:ascii="Symbol" w:hAnsi="Symbol" w:hint="default"/>
      </w:rPr>
    </w:lvl>
    <w:lvl w:ilvl="1" w:tplc="C11A82FE">
      <w:start w:val="1"/>
      <w:numFmt w:val="bullet"/>
      <w:lvlText w:val="o"/>
      <w:lvlJc w:val="left"/>
      <w:pPr>
        <w:ind w:left="1440" w:hanging="360"/>
      </w:pPr>
      <w:rPr>
        <w:rFonts w:ascii="Courier New" w:hAnsi="Courier New" w:hint="default"/>
      </w:rPr>
    </w:lvl>
    <w:lvl w:ilvl="2" w:tplc="DCA40E20">
      <w:start w:val="1"/>
      <w:numFmt w:val="bullet"/>
      <w:lvlText w:val=""/>
      <w:lvlJc w:val="left"/>
      <w:pPr>
        <w:ind w:left="2160" w:hanging="360"/>
      </w:pPr>
      <w:rPr>
        <w:rFonts w:ascii="Wingdings" w:hAnsi="Wingdings" w:hint="default"/>
      </w:rPr>
    </w:lvl>
    <w:lvl w:ilvl="3" w:tplc="340035A0">
      <w:start w:val="1"/>
      <w:numFmt w:val="bullet"/>
      <w:lvlText w:val=""/>
      <w:lvlJc w:val="left"/>
      <w:pPr>
        <w:ind w:left="2880" w:hanging="360"/>
      </w:pPr>
      <w:rPr>
        <w:rFonts w:ascii="Symbol" w:hAnsi="Symbol" w:hint="default"/>
      </w:rPr>
    </w:lvl>
    <w:lvl w:ilvl="4" w:tplc="C6E258D8">
      <w:start w:val="1"/>
      <w:numFmt w:val="bullet"/>
      <w:lvlText w:val="o"/>
      <w:lvlJc w:val="left"/>
      <w:pPr>
        <w:ind w:left="3600" w:hanging="360"/>
      </w:pPr>
      <w:rPr>
        <w:rFonts w:ascii="Courier New" w:hAnsi="Courier New" w:hint="default"/>
      </w:rPr>
    </w:lvl>
    <w:lvl w:ilvl="5" w:tplc="E10AD66E">
      <w:start w:val="1"/>
      <w:numFmt w:val="bullet"/>
      <w:lvlText w:val=""/>
      <w:lvlJc w:val="left"/>
      <w:pPr>
        <w:ind w:left="4320" w:hanging="360"/>
      </w:pPr>
      <w:rPr>
        <w:rFonts w:ascii="Wingdings" w:hAnsi="Wingdings" w:hint="default"/>
      </w:rPr>
    </w:lvl>
    <w:lvl w:ilvl="6" w:tplc="B5C60276">
      <w:start w:val="1"/>
      <w:numFmt w:val="bullet"/>
      <w:lvlText w:val=""/>
      <w:lvlJc w:val="left"/>
      <w:pPr>
        <w:ind w:left="5040" w:hanging="360"/>
      </w:pPr>
      <w:rPr>
        <w:rFonts w:ascii="Symbol" w:hAnsi="Symbol" w:hint="default"/>
      </w:rPr>
    </w:lvl>
    <w:lvl w:ilvl="7" w:tplc="E4CA9CEA">
      <w:start w:val="1"/>
      <w:numFmt w:val="bullet"/>
      <w:lvlText w:val="o"/>
      <w:lvlJc w:val="left"/>
      <w:pPr>
        <w:ind w:left="5760" w:hanging="360"/>
      </w:pPr>
      <w:rPr>
        <w:rFonts w:ascii="Courier New" w:hAnsi="Courier New" w:hint="default"/>
      </w:rPr>
    </w:lvl>
    <w:lvl w:ilvl="8" w:tplc="54FCC026">
      <w:start w:val="1"/>
      <w:numFmt w:val="bullet"/>
      <w:lvlText w:val=""/>
      <w:lvlJc w:val="left"/>
      <w:pPr>
        <w:ind w:left="6480" w:hanging="360"/>
      </w:pPr>
      <w:rPr>
        <w:rFonts w:ascii="Wingdings" w:hAnsi="Wingdings" w:hint="default"/>
      </w:rPr>
    </w:lvl>
  </w:abstractNum>
  <w:abstractNum w:abstractNumId="7" w15:restartNumberingAfterBreak="0">
    <w:nsid w:val="0A0DEB8C"/>
    <w:multiLevelType w:val="hybridMultilevel"/>
    <w:tmpl w:val="7A601C14"/>
    <w:lvl w:ilvl="0" w:tplc="A57038BE">
      <w:start w:val="1"/>
      <w:numFmt w:val="bullet"/>
      <w:lvlText w:val=""/>
      <w:lvlJc w:val="left"/>
      <w:pPr>
        <w:ind w:left="1440" w:hanging="360"/>
      </w:pPr>
      <w:rPr>
        <w:rFonts w:ascii="Symbol" w:hAnsi="Symbol" w:hint="default"/>
      </w:rPr>
    </w:lvl>
    <w:lvl w:ilvl="1" w:tplc="40A094AC">
      <w:start w:val="1"/>
      <w:numFmt w:val="bullet"/>
      <w:lvlText w:val="o"/>
      <w:lvlJc w:val="left"/>
      <w:pPr>
        <w:ind w:left="2160" w:hanging="360"/>
      </w:pPr>
      <w:rPr>
        <w:rFonts w:ascii="Courier New" w:hAnsi="Courier New" w:hint="default"/>
      </w:rPr>
    </w:lvl>
    <w:lvl w:ilvl="2" w:tplc="EE083146">
      <w:start w:val="1"/>
      <w:numFmt w:val="bullet"/>
      <w:lvlText w:val=""/>
      <w:lvlJc w:val="left"/>
      <w:pPr>
        <w:ind w:left="2880" w:hanging="360"/>
      </w:pPr>
      <w:rPr>
        <w:rFonts w:ascii="Wingdings" w:hAnsi="Wingdings" w:hint="default"/>
      </w:rPr>
    </w:lvl>
    <w:lvl w:ilvl="3" w:tplc="A89CEA04">
      <w:start w:val="1"/>
      <w:numFmt w:val="bullet"/>
      <w:lvlText w:val=""/>
      <w:lvlJc w:val="left"/>
      <w:pPr>
        <w:ind w:left="3600" w:hanging="360"/>
      </w:pPr>
      <w:rPr>
        <w:rFonts w:ascii="Symbol" w:hAnsi="Symbol" w:hint="default"/>
      </w:rPr>
    </w:lvl>
    <w:lvl w:ilvl="4" w:tplc="2332ABBC">
      <w:start w:val="1"/>
      <w:numFmt w:val="bullet"/>
      <w:lvlText w:val="o"/>
      <w:lvlJc w:val="left"/>
      <w:pPr>
        <w:ind w:left="4320" w:hanging="360"/>
      </w:pPr>
      <w:rPr>
        <w:rFonts w:ascii="Courier New" w:hAnsi="Courier New" w:hint="default"/>
      </w:rPr>
    </w:lvl>
    <w:lvl w:ilvl="5" w:tplc="BBD68DE8">
      <w:start w:val="1"/>
      <w:numFmt w:val="bullet"/>
      <w:lvlText w:val=""/>
      <w:lvlJc w:val="left"/>
      <w:pPr>
        <w:ind w:left="5040" w:hanging="360"/>
      </w:pPr>
      <w:rPr>
        <w:rFonts w:ascii="Wingdings" w:hAnsi="Wingdings" w:hint="default"/>
      </w:rPr>
    </w:lvl>
    <w:lvl w:ilvl="6" w:tplc="60365CB6">
      <w:start w:val="1"/>
      <w:numFmt w:val="bullet"/>
      <w:lvlText w:val=""/>
      <w:lvlJc w:val="left"/>
      <w:pPr>
        <w:ind w:left="5760" w:hanging="360"/>
      </w:pPr>
      <w:rPr>
        <w:rFonts w:ascii="Symbol" w:hAnsi="Symbol" w:hint="default"/>
      </w:rPr>
    </w:lvl>
    <w:lvl w:ilvl="7" w:tplc="2EC46B10">
      <w:start w:val="1"/>
      <w:numFmt w:val="bullet"/>
      <w:lvlText w:val="o"/>
      <w:lvlJc w:val="left"/>
      <w:pPr>
        <w:ind w:left="6480" w:hanging="360"/>
      </w:pPr>
      <w:rPr>
        <w:rFonts w:ascii="Courier New" w:hAnsi="Courier New" w:hint="default"/>
      </w:rPr>
    </w:lvl>
    <w:lvl w:ilvl="8" w:tplc="CA5CE074">
      <w:start w:val="1"/>
      <w:numFmt w:val="bullet"/>
      <w:lvlText w:val=""/>
      <w:lvlJc w:val="left"/>
      <w:pPr>
        <w:ind w:left="7200" w:hanging="360"/>
      </w:pPr>
      <w:rPr>
        <w:rFonts w:ascii="Wingdings" w:hAnsi="Wingdings" w:hint="default"/>
      </w:rPr>
    </w:lvl>
  </w:abstractNum>
  <w:abstractNum w:abstractNumId="8" w15:restartNumberingAfterBreak="0">
    <w:nsid w:val="0A49AE26"/>
    <w:multiLevelType w:val="hybridMultilevel"/>
    <w:tmpl w:val="A27E3ED4"/>
    <w:lvl w:ilvl="0" w:tplc="CF324B30">
      <w:start w:val="1"/>
      <w:numFmt w:val="bullet"/>
      <w:lvlText w:val=""/>
      <w:lvlJc w:val="left"/>
      <w:pPr>
        <w:ind w:left="720" w:hanging="360"/>
      </w:pPr>
      <w:rPr>
        <w:rFonts w:ascii="Symbol" w:hAnsi="Symbol" w:hint="default"/>
      </w:rPr>
    </w:lvl>
    <w:lvl w:ilvl="1" w:tplc="EB06089A">
      <w:start w:val="1"/>
      <w:numFmt w:val="bullet"/>
      <w:lvlText w:val="o"/>
      <w:lvlJc w:val="left"/>
      <w:pPr>
        <w:ind w:left="1440" w:hanging="360"/>
      </w:pPr>
      <w:rPr>
        <w:rFonts w:ascii="Courier New" w:hAnsi="Courier New" w:hint="default"/>
      </w:rPr>
    </w:lvl>
    <w:lvl w:ilvl="2" w:tplc="43FC84D6">
      <w:start w:val="1"/>
      <w:numFmt w:val="bullet"/>
      <w:lvlText w:val=""/>
      <w:lvlJc w:val="left"/>
      <w:pPr>
        <w:ind w:left="2160" w:hanging="360"/>
      </w:pPr>
      <w:rPr>
        <w:rFonts w:ascii="Wingdings" w:hAnsi="Wingdings" w:hint="default"/>
      </w:rPr>
    </w:lvl>
    <w:lvl w:ilvl="3" w:tplc="8CAAED5C">
      <w:start w:val="1"/>
      <w:numFmt w:val="bullet"/>
      <w:lvlText w:val=""/>
      <w:lvlJc w:val="left"/>
      <w:pPr>
        <w:ind w:left="2880" w:hanging="360"/>
      </w:pPr>
      <w:rPr>
        <w:rFonts w:ascii="Symbol" w:hAnsi="Symbol" w:hint="default"/>
      </w:rPr>
    </w:lvl>
    <w:lvl w:ilvl="4" w:tplc="7842F816">
      <w:start w:val="1"/>
      <w:numFmt w:val="bullet"/>
      <w:lvlText w:val="o"/>
      <w:lvlJc w:val="left"/>
      <w:pPr>
        <w:ind w:left="3600" w:hanging="360"/>
      </w:pPr>
      <w:rPr>
        <w:rFonts w:ascii="Courier New" w:hAnsi="Courier New" w:hint="default"/>
      </w:rPr>
    </w:lvl>
    <w:lvl w:ilvl="5" w:tplc="1BDE73E6">
      <w:start w:val="1"/>
      <w:numFmt w:val="bullet"/>
      <w:lvlText w:val=""/>
      <w:lvlJc w:val="left"/>
      <w:pPr>
        <w:ind w:left="4320" w:hanging="360"/>
      </w:pPr>
      <w:rPr>
        <w:rFonts w:ascii="Wingdings" w:hAnsi="Wingdings" w:hint="default"/>
      </w:rPr>
    </w:lvl>
    <w:lvl w:ilvl="6" w:tplc="D700D01E">
      <w:start w:val="1"/>
      <w:numFmt w:val="bullet"/>
      <w:lvlText w:val=""/>
      <w:lvlJc w:val="left"/>
      <w:pPr>
        <w:ind w:left="5040" w:hanging="360"/>
      </w:pPr>
      <w:rPr>
        <w:rFonts w:ascii="Symbol" w:hAnsi="Symbol" w:hint="default"/>
      </w:rPr>
    </w:lvl>
    <w:lvl w:ilvl="7" w:tplc="BC048B16">
      <w:start w:val="1"/>
      <w:numFmt w:val="bullet"/>
      <w:lvlText w:val="o"/>
      <w:lvlJc w:val="left"/>
      <w:pPr>
        <w:ind w:left="5760" w:hanging="360"/>
      </w:pPr>
      <w:rPr>
        <w:rFonts w:ascii="Courier New" w:hAnsi="Courier New" w:hint="default"/>
      </w:rPr>
    </w:lvl>
    <w:lvl w:ilvl="8" w:tplc="77542F6E">
      <w:start w:val="1"/>
      <w:numFmt w:val="bullet"/>
      <w:lvlText w:val=""/>
      <w:lvlJc w:val="left"/>
      <w:pPr>
        <w:ind w:left="6480" w:hanging="360"/>
      </w:pPr>
      <w:rPr>
        <w:rFonts w:ascii="Wingdings" w:hAnsi="Wingdings" w:hint="default"/>
      </w:rPr>
    </w:lvl>
  </w:abstractNum>
  <w:abstractNum w:abstractNumId="9" w15:restartNumberingAfterBreak="0">
    <w:nsid w:val="1141593A"/>
    <w:multiLevelType w:val="hybridMultilevel"/>
    <w:tmpl w:val="B900EEC6"/>
    <w:lvl w:ilvl="0" w:tplc="C9AA0BAA">
      <w:start w:val="1"/>
      <w:numFmt w:val="bullet"/>
      <w:lvlText w:val="-"/>
      <w:lvlJc w:val="left"/>
      <w:pPr>
        <w:ind w:left="720" w:hanging="360"/>
      </w:pPr>
      <w:rPr>
        <w:rFonts w:ascii="Calibri" w:hAnsi="Calibri" w:hint="default"/>
      </w:rPr>
    </w:lvl>
    <w:lvl w:ilvl="1" w:tplc="E350157A">
      <w:start w:val="1"/>
      <w:numFmt w:val="bullet"/>
      <w:lvlText w:val="o"/>
      <w:lvlJc w:val="left"/>
      <w:pPr>
        <w:ind w:left="1440" w:hanging="360"/>
      </w:pPr>
      <w:rPr>
        <w:rFonts w:ascii="Courier New" w:hAnsi="Courier New" w:hint="default"/>
      </w:rPr>
    </w:lvl>
    <w:lvl w:ilvl="2" w:tplc="6B76078C">
      <w:start w:val="1"/>
      <w:numFmt w:val="bullet"/>
      <w:lvlText w:val=""/>
      <w:lvlJc w:val="left"/>
      <w:pPr>
        <w:ind w:left="2160" w:hanging="360"/>
      </w:pPr>
      <w:rPr>
        <w:rFonts w:ascii="Wingdings" w:hAnsi="Wingdings" w:hint="default"/>
      </w:rPr>
    </w:lvl>
    <w:lvl w:ilvl="3" w:tplc="F3F83688">
      <w:start w:val="1"/>
      <w:numFmt w:val="bullet"/>
      <w:lvlText w:val=""/>
      <w:lvlJc w:val="left"/>
      <w:pPr>
        <w:ind w:left="2880" w:hanging="360"/>
      </w:pPr>
      <w:rPr>
        <w:rFonts w:ascii="Symbol" w:hAnsi="Symbol" w:hint="default"/>
      </w:rPr>
    </w:lvl>
    <w:lvl w:ilvl="4" w:tplc="47002824">
      <w:start w:val="1"/>
      <w:numFmt w:val="bullet"/>
      <w:lvlText w:val="o"/>
      <w:lvlJc w:val="left"/>
      <w:pPr>
        <w:ind w:left="3600" w:hanging="360"/>
      </w:pPr>
      <w:rPr>
        <w:rFonts w:ascii="Courier New" w:hAnsi="Courier New" w:hint="default"/>
      </w:rPr>
    </w:lvl>
    <w:lvl w:ilvl="5" w:tplc="34E82E34">
      <w:start w:val="1"/>
      <w:numFmt w:val="bullet"/>
      <w:lvlText w:val=""/>
      <w:lvlJc w:val="left"/>
      <w:pPr>
        <w:ind w:left="4320" w:hanging="360"/>
      </w:pPr>
      <w:rPr>
        <w:rFonts w:ascii="Wingdings" w:hAnsi="Wingdings" w:hint="default"/>
      </w:rPr>
    </w:lvl>
    <w:lvl w:ilvl="6" w:tplc="CCC4FE50">
      <w:start w:val="1"/>
      <w:numFmt w:val="bullet"/>
      <w:lvlText w:val=""/>
      <w:lvlJc w:val="left"/>
      <w:pPr>
        <w:ind w:left="5040" w:hanging="360"/>
      </w:pPr>
      <w:rPr>
        <w:rFonts w:ascii="Symbol" w:hAnsi="Symbol" w:hint="default"/>
      </w:rPr>
    </w:lvl>
    <w:lvl w:ilvl="7" w:tplc="C84C80C2">
      <w:start w:val="1"/>
      <w:numFmt w:val="bullet"/>
      <w:lvlText w:val="o"/>
      <w:lvlJc w:val="left"/>
      <w:pPr>
        <w:ind w:left="5760" w:hanging="360"/>
      </w:pPr>
      <w:rPr>
        <w:rFonts w:ascii="Courier New" w:hAnsi="Courier New" w:hint="default"/>
      </w:rPr>
    </w:lvl>
    <w:lvl w:ilvl="8" w:tplc="08E45334">
      <w:start w:val="1"/>
      <w:numFmt w:val="bullet"/>
      <w:lvlText w:val=""/>
      <w:lvlJc w:val="left"/>
      <w:pPr>
        <w:ind w:left="6480" w:hanging="360"/>
      </w:pPr>
      <w:rPr>
        <w:rFonts w:ascii="Wingdings" w:hAnsi="Wingdings" w:hint="default"/>
      </w:rPr>
    </w:lvl>
  </w:abstractNum>
  <w:abstractNum w:abstractNumId="10" w15:restartNumberingAfterBreak="0">
    <w:nsid w:val="18794B40"/>
    <w:multiLevelType w:val="hybridMultilevel"/>
    <w:tmpl w:val="2F901090"/>
    <w:lvl w:ilvl="0" w:tplc="E88E4CFC">
      <w:start w:val="1"/>
      <w:numFmt w:val="bullet"/>
      <w:lvlText w:val="-"/>
      <w:lvlJc w:val="left"/>
      <w:pPr>
        <w:ind w:left="720" w:hanging="360"/>
      </w:pPr>
      <w:rPr>
        <w:rFonts w:ascii="Calibri" w:hAnsi="Calibri" w:hint="default"/>
      </w:rPr>
    </w:lvl>
    <w:lvl w:ilvl="1" w:tplc="D22EC1FA">
      <w:start w:val="1"/>
      <w:numFmt w:val="bullet"/>
      <w:lvlText w:val="o"/>
      <w:lvlJc w:val="left"/>
      <w:pPr>
        <w:ind w:left="1440" w:hanging="360"/>
      </w:pPr>
      <w:rPr>
        <w:rFonts w:ascii="Courier New" w:hAnsi="Courier New" w:hint="default"/>
      </w:rPr>
    </w:lvl>
    <w:lvl w:ilvl="2" w:tplc="5094BDDA">
      <w:start w:val="1"/>
      <w:numFmt w:val="bullet"/>
      <w:lvlText w:val=""/>
      <w:lvlJc w:val="left"/>
      <w:pPr>
        <w:ind w:left="2160" w:hanging="360"/>
      </w:pPr>
      <w:rPr>
        <w:rFonts w:ascii="Wingdings" w:hAnsi="Wingdings" w:hint="default"/>
      </w:rPr>
    </w:lvl>
    <w:lvl w:ilvl="3" w:tplc="0C321B02">
      <w:start w:val="1"/>
      <w:numFmt w:val="bullet"/>
      <w:lvlText w:val=""/>
      <w:lvlJc w:val="left"/>
      <w:pPr>
        <w:ind w:left="2880" w:hanging="360"/>
      </w:pPr>
      <w:rPr>
        <w:rFonts w:ascii="Symbol" w:hAnsi="Symbol" w:hint="default"/>
      </w:rPr>
    </w:lvl>
    <w:lvl w:ilvl="4" w:tplc="9E50E7B0">
      <w:start w:val="1"/>
      <w:numFmt w:val="bullet"/>
      <w:lvlText w:val="o"/>
      <w:lvlJc w:val="left"/>
      <w:pPr>
        <w:ind w:left="3600" w:hanging="360"/>
      </w:pPr>
      <w:rPr>
        <w:rFonts w:ascii="Courier New" w:hAnsi="Courier New" w:hint="default"/>
      </w:rPr>
    </w:lvl>
    <w:lvl w:ilvl="5" w:tplc="0F22EC98">
      <w:start w:val="1"/>
      <w:numFmt w:val="bullet"/>
      <w:lvlText w:val=""/>
      <w:lvlJc w:val="left"/>
      <w:pPr>
        <w:ind w:left="4320" w:hanging="360"/>
      </w:pPr>
      <w:rPr>
        <w:rFonts w:ascii="Wingdings" w:hAnsi="Wingdings" w:hint="default"/>
      </w:rPr>
    </w:lvl>
    <w:lvl w:ilvl="6" w:tplc="2B9C76A6">
      <w:start w:val="1"/>
      <w:numFmt w:val="bullet"/>
      <w:lvlText w:val=""/>
      <w:lvlJc w:val="left"/>
      <w:pPr>
        <w:ind w:left="5040" w:hanging="360"/>
      </w:pPr>
      <w:rPr>
        <w:rFonts w:ascii="Symbol" w:hAnsi="Symbol" w:hint="default"/>
      </w:rPr>
    </w:lvl>
    <w:lvl w:ilvl="7" w:tplc="3CBEBA10">
      <w:start w:val="1"/>
      <w:numFmt w:val="bullet"/>
      <w:lvlText w:val="o"/>
      <w:lvlJc w:val="left"/>
      <w:pPr>
        <w:ind w:left="5760" w:hanging="360"/>
      </w:pPr>
      <w:rPr>
        <w:rFonts w:ascii="Courier New" w:hAnsi="Courier New" w:hint="default"/>
      </w:rPr>
    </w:lvl>
    <w:lvl w:ilvl="8" w:tplc="940C0F1C">
      <w:start w:val="1"/>
      <w:numFmt w:val="bullet"/>
      <w:lvlText w:val=""/>
      <w:lvlJc w:val="left"/>
      <w:pPr>
        <w:ind w:left="6480" w:hanging="360"/>
      </w:pPr>
      <w:rPr>
        <w:rFonts w:ascii="Wingdings" w:hAnsi="Wingdings" w:hint="default"/>
      </w:rPr>
    </w:lvl>
  </w:abstractNum>
  <w:abstractNum w:abstractNumId="11" w15:restartNumberingAfterBreak="0">
    <w:nsid w:val="19D88CAB"/>
    <w:multiLevelType w:val="hybridMultilevel"/>
    <w:tmpl w:val="7430B5CA"/>
    <w:lvl w:ilvl="0" w:tplc="73C4A426">
      <w:start w:val="1"/>
      <w:numFmt w:val="bullet"/>
      <w:lvlText w:val=""/>
      <w:lvlJc w:val="left"/>
      <w:pPr>
        <w:ind w:left="720" w:hanging="360"/>
      </w:pPr>
      <w:rPr>
        <w:rFonts w:ascii="Symbol" w:hAnsi="Symbol" w:hint="default"/>
      </w:rPr>
    </w:lvl>
    <w:lvl w:ilvl="1" w:tplc="DA2A38CE">
      <w:start w:val="1"/>
      <w:numFmt w:val="bullet"/>
      <w:lvlText w:val="o"/>
      <w:lvlJc w:val="left"/>
      <w:pPr>
        <w:ind w:left="1440" w:hanging="360"/>
      </w:pPr>
      <w:rPr>
        <w:rFonts w:ascii="Courier New" w:hAnsi="Courier New" w:hint="default"/>
      </w:rPr>
    </w:lvl>
    <w:lvl w:ilvl="2" w:tplc="9B268B1A">
      <w:start w:val="1"/>
      <w:numFmt w:val="bullet"/>
      <w:lvlText w:val=""/>
      <w:lvlJc w:val="left"/>
      <w:pPr>
        <w:ind w:left="2160" w:hanging="360"/>
      </w:pPr>
      <w:rPr>
        <w:rFonts w:ascii="Wingdings" w:hAnsi="Wingdings" w:hint="default"/>
      </w:rPr>
    </w:lvl>
    <w:lvl w:ilvl="3" w:tplc="F7181814">
      <w:start w:val="1"/>
      <w:numFmt w:val="bullet"/>
      <w:lvlText w:val=""/>
      <w:lvlJc w:val="left"/>
      <w:pPr>
        <w:ind w:left="2880" w:hanging="360"/>
      </w:pPr>
      <w:rPr>
        <w:rFonts w:ascii="Symbol" w:hAnsi="Symbol" w:hint="default"/>
      </w:rPr>
    </w:lvl>
    <w:lvl w:ilvl="4" w:tplc="289A0C22">
      <w:start w:val="1"/>
      <w:numFmt w:val="bullet"/>
      <w:lvlText w:val="o"/>
      <w:lvlJc w:val="left"/>
      <w:pPr>
        <w:ind w:left="3600" w:hanging="360"/>
      </w:pPr>
      <w:rPr>
        <w:rFonts w:ascii="Courier New" w:hAnsi="Courier New" w:hint="default"/>
      </w:rPr>
    </w:lvl>
    <w:lvl w:ilvl="5" w:tplc="E8906426">
      <w:start w:val="1"/>
      <w:numFmt w:val="bullet"/>
      <w:lvlText w:val=""/>
      <w:lvlJc w:val="left"/>
      <w:pPr>
        <w:ind w:left="4320" w:hanging="360"/>
      </w:pPr>
      <w:rPr>
        <w:rFonts w:ascii="Wingdings" w:hAnsi="Wingdings" w:hint="default"/>
      </w:rPr>
    </w:lvl>
    <w:lvl w:ilvl="6" w:tplc="7DFCB9F8">
      <w:start w:val="1"/>
      <w:numFmt w:val="bullet"/>
      <w:lvlText w:val=""/>
      <w:lvlJc w:val="left"/>
      <w:pPr>
        <w:ind w:left="5040" w:hanging="360"/>
      </w:pPr>
      <w:rPr>
        <w:rFonts w:ascii="Symbol" w:hAnsi="Symbol" w:hint="default"/>
      </w:rPr>
    </w:lvl>
    <w:lvl w:ilvl="7" w:tplc="16169DEA">
      <w:start w:val="1"/>
      <w:numFmt w:val="bullet"/>
      <w:lvlText w:val="o"/>
      <w:lvlJc w:val="left"/>
      <w:pPr>
        <w:ind w:left="5760" w:hanging="360"/>
      </w:pPr>
      <w:rPr>
        <w:rFonts w:ascii="Courier New" w:hAnsi="Courier New" w:hint="default"/>
      </w:rPr>
    </w:lvl>
    <w:lvl w:ilvl="8" w:tplc="87705FA2">
      <w:start w:val="1"/>
      <w:numFmt w:val="bullet"/>
      <w:lvlText w:val=""/>
      <w:lvlJc w:val="left"/>
      <w:pPr>
        <w:ind w:left="6480" w:hanging="360"/>
      </w:pPr>
      <w:rPr>
        <w:rFonts w:ascii="Wingdings" w:hAnsi="Wingdings" w:hint="default"/>
      </w:rPr>
    </w:lvl>
  </w:abstractNum>
  <w:abstractNum w:abstractNumId="12" w15:restartNumberingAfterBreak="0">
    <w:nsid w:val="20D14FDA"/>
    <w:multiLevelType w:val="hybridMultilevel"/>
    <w:tmpl w:val="76E6D9C2"/>
    <w:lvl w:ilvl="0" w:tplc="7E227776">
      <w:start w:val="1"/>
      <w:numFmt w:val="bullet"/>
      <w:lvlText w:val=""/>
      <w:lvlJc w:val="left"/>
      <w:pPr>
        <w:ind w:left="720" w:hanging="360"/>
      </w:pPr>
      <w:rPr>
        <w:rFonts w:ascii="Symbol" w:hAnsi="Symbol" w:hint="default"/>
      </w:rPr>
    </w:lvl>
    <w:lvl w:ilvl="1" w:tplc="4AEA4494">
      <w:start w:val="1"/>
      <w:numFmt w:val="bullet"/>
      <w:lvlText w:val="o"/>
      <w:lvlJc w:val="left"/>
      <w:pPr>
        <w:ind w:left="1440" w:hanging="360"/>
      </w:pPr>
      <w:rPr>
        <w:rFonts w:ascii="Courier New" w:hAnsi="Courier New" w:hint="default"/>
      </w:rPr>
    </w:lvl>
    <w:lvl w:ilvl="2" w:tplc="6A3AC234">
      <w:start w:val="1"/>
      <w:numFmt w:val="bullet"/>
      <w:lvlText w:val=""/>
      <w:lvlJc w:val="left"/>
      <w:pPr>
        <w:ind w:left="2160" w:hanging="360"/>
      </w:pPr>
      <w:rPr>
        <w:rFonts w:ascii="Wingdings" w:hAnsi="Wingdings" w:hint="default"/>
      </w:rPr>
    </w:lvl>
    <w:lvl w:ilvl="3" w:tplc="B7C6D428">
      <w:start w:val="1"/>
      <w:numFmt w:val="bullet"/>
      <w:lvlText w:val=""/>
      <w:lvlJc w:val="left"/>
      <w:pPr>
        <w:ind w:left="2880" w:hanging="360"/>
      </w:pPr>
      <w:rPr>
        <w:rFonts w:ascii="Symbol" w:hAnsi="Symbol" w:hint="default"/>
      </w:rPr>
    </w:lvl>
    <w:lvl w:ilvl="4" w:tplc="8A4AD2A8">
      <w:start w:val="1"/>
      <w:numFmt w:val="bullet"/>
      <w:lvlText w:val="o"/>
      <w:lvlJc w:val="left"/>
      <w:pPr>
        <w:ind w:left="3600" w:hanging="360"/>
      </w:pPr>
      <w:rPr>
        <w:rFonts w:ascii="Courier New" w:hAnsi="Courier New" w:hint="default"/>
      </w:rPr>
    </w:lvl>
    <w:lvl w:ilvl="5" w:tplc="17F8CB66">
      <w:start w:val="1"/>
      <w:numFmt w:val="bullet"/>
      <w:lvlText w:val=""/>
      <w:lvlJc w:val="left"/>
      <w:pPr>
        <w:ind w:left="4320" w:hanging="360"/>
      </w:pPr>
      <w:rPr>
        <w:rFonts w:ascii="Wingdings" w:hAnsi="Wingdings" w:hint="default"/>
      </w:rPr>
    </w:lvl>
    <w:lvl w:ilvl="6" w:tplc="956834AC">
      <w:start w:val="1"/>
      <w:numFmt w:val="bullet"/>
      <w:lvlText w:val=""/>
      <w:lvlJc w:val="left"/>
      <w:pPr>
        <w:ind w:left="5040" w:hanging="360"/>
      </w:pPr>
      <w:rPr>
        <w:rFonts w:ascii="Symbol" w:hAnsi="Symbol" w:hint="default"/>
      </w:rPr>
    </w:lvl>
    <w:lvl w:ilvl="7" w:tplc="16D6905E">
      <w:start w:val="1"/>
      <w:numFmt w:val="bullet"/>
      <w:lvlText w:val="o"/>
      <w:lvlJc w:val="left"/>
      <w:pPr>
        <w:ind w:left="5760" w:hanging="360"/>
      </w:pPr>
      <w:rPr>
        <w:rFonts w:ascii="Courier New" w:hAnsi="Courier New" w:hint="default"/>
      </w:rPr>
    </w:lvl>
    <w:lvl w:ilvl="8" w:tplc="E8F46482">
      <w:start w:val="1"/>
      <w:numFmt w:val="bullet"/>
      <w:lvlText w:val=""/>
      <w:lvlJc w:val="left"/>
      <w:pPr>
        <w:ind w:left="6480" w:hanging="360"/>
      </w:pPr>
      <w:rPr>
        <w:rFonts w:ascii="Wingdings" w:hAnsi="Wingdings" w:hint="default"/>
      </w:rPr>
    </w:lvl>
  </w:abstractNum>
  <w:abstractNum w:abstractNumId="13" w15:restartNumberingAfterBreak="0">
    <w:nsid w:val="239E16C3"/>
    <w:multiLevelType w:val="hybridMultilevel"/>
    <w:tmpl w:val="0C323366"/>
    <w:lvl w:ilvl="0" w:tplc="5BAAF96A">
      <w:start w:val="1"/>
      <w:numFmt w:val="bullet"/>
      <w:lvlText w:val=""/>
      <w:lvlJc w:val="left"/>
      <w:pPr>
        <w:ind w:left="720" w:hanging="360"/>
      </w:pPr>
      <w:rPr>
        <w:rFonts w:ascii="Symbol" w:hAnsi="Symbol" w:hint="default"/>
      </w:rPr>
    </w:lvl>
    <w:lvl w:ilvl="1" w:tplc="EF8ED310">
      <w:start w:val="1"/>
      <w:numFmt w:val="bullet"/>
      <w:lvlText w:val="o"/>
      <w:lvlJc w:val="left"/>
      <w:pPr>
        <w:ind w:left="1440" w:hanging="360"/>
      </w:pPr>
      <w:rPr>
        <w:rFonts w:ascii="Courier New" w:hAnsi="Courier New" w:hint="default"/>
      </w:rPr>
    </w:lvl>
    <w:lvl w:ilvl="2" w:tplc="BFB8AA32">
      <w:start w:val="1"/>
      <w:numFmt w:val="bullet"/>
      <w:lvlText w:val=""/>
      <w:lvlJc w:val="left"/>
      <w:pPr>
        <w:ind w:left="2160" w:hanging="360"/>
      </w:pPr>
      <w:rPr>
        <w:rFonts w:ascii="Wingdings" w:hAnsi="Wingdings" w:hint="default"/>
      </w:rPr>
    </w:lvl>
    <w:lvl w:ilvl="3" w:tplc="AF9CA58C">
      <w:start w:val="1"/>
      <w:numFmt w:val="bullet"/>
      <w:lvlText w:val=""/>
      <w:lvlJc w:val="left"/>
      <w:pPr>
        <w:ind w:left="2880" w:hanging="360"/>
      </w:pPr>
      <w:rPr>
        <w:rFonts w:ascii="Symbol" w:hAnsi="Symbol" w:hint="default"/>
      </w:rPr>
    </w:lvl>
    <w:lvl w:ilvl="4" w:tplc="96C80638">
      <w:start w:val="1"/>
      <w:numFmt w:val="bullet"/>
      <w:lvlText w:val="o"/>
      <w:lvlJc w:val="left"/>
      <w:pPr>
        <w:ind w:left="3600" w:hanging="360"/>
      </w:pPr>
      <w:rPr>
        <w:rFonts w:ascii="Courier New" w:hAnsi="Courier New" w:hint="default"/>
      </w:rPr>
    </w:lvl>
    <w:lvl w:ilvl="5" w:tplc="CBB2F1B8">
      <w:start w:val="1"/>
      <w:numFmt w:val="bullet"/>
      <w:lvlText w:val=""/>
      <w:lvlJc w:val="left"/>
      <w:pPr>
        <w:ind w:left="4320" w:hanging="360"/>
      </w:pPr>
      <w:rPr>
        <w:rFonts w:ascii="Wingdings" w:hAnsi="Wingdings" w:hint="default"/>
      </w:rPr>
    </w:lvl>
    <w:lvl w:ilvl="6" w:tplc="E00A7FFE">
      <w:start w:val="1"/>
      <w:numFmt w:val="bullet"/>
      <w:lvlText w:val=""/>
      <w:lvlJc w:val="left"/>
      <w:pPr>
        <w:ind w:left="5040" w:hanging="360"/>
      </w:pPr>
      <w:rPr>
        <w:rFonts w:ascii="Symbol" w:hAnsi="Symbol" w:hint="default"/>
      </w:rPr>
    </w:lvl>
    <w:lvl w:ilvl="7" w:tplc="AEBE481C">
      <w:start w:val="1"/>
      <w:numFmt w:val="bullet"/>
      <w:lvlText w:val="o"/>
      <w:lvlJc w:val="left"/>
      <w:pPr>
        <w:ind w:left="5760" w:hanging="360"/>
      </w:pPr>
      <w:rPr>
        <w:rFonts w:ascii="Courier New" w:hAnsi="Courier New" w:hint="default"/>
      </w:rPr>
    </w:lvl>
    <w:lvl w:ilvl="8" w:tplc="F1FABABE">
      <w:start w:val="1"/>
      <w:numFmt w:val="bullet"/>
      <w:lvlText w:val=""/>
      <w:lvlJc w:val="left"/>
      <w:pPr>
        <w:ind w:left="6480" w:hanging="360"/>
      </w:pPr>
      <w:rPr>
        <w:rFonts w:ascii="Wingdings" w:hAnsi="Wingdings" w:hint="default"/>
      </w:rPr>
    </w:lvl>
  </w:abstractNum>
  <w:abstractNum w:abstractNumId="14" w15:restartNumberingAfterBreak="0">
    <w:nsid w:val="3BD580DF"/>
    <w:multiLevelType w:val="hybridMultilevel"/>
    <w:tmpl w:val="2BEA3F8A"/>
    <w:lvl w:ilvl="0" w:tplc="E64A66AA">
      <w:start w:val="1"/>
      <w:numFmt w:val="bullet"/>
      <w:lvlText w:val="-"/>
      <w:lvlJc w:val="left"/>
      <w:pPr>
        <w:ind w:left="720" w:hanging="360"/>
      </w:pPr>
      <w:rPr>
        <w:rFonts w:ascii="Calibri" w:hAnsi="Calibri" w:hint="default"/>
      </w:rPr>
    </w:lvl>
    <w:lvl w:ilvl="1" w:tplc="1542F0EE">
      <w:start w:val="1"/>
      <w:numFmt w:val="bullet"/>
      <w:lvlText w:val="o"/>
      <w:lvlJc w:val="left"/>
      <w:pPr>
        <w:ind w:left="1440" w:hanging="360"/>
      </w:pPr>
      <w:rPr>
        <w:rFonts w:ascii="Courier New" w:hAnsi="Courier New" w:hint="default"/>
      </w:rPr>
    </w:lvl>
    <w:lvl w:ilvl="2" w:tplc="9258BF48">
      <w:start w:val="1"/>
      <w:numFmt w:val="bullet"/>
      <w:lvlText w:val=""/>
      <w:lvlJc w:val="left"/>
      <w:pPr>
        <w:ind w:left="2160" w:hanging="360"/>
      </w:pPr>
      <w:rPr>
        <w:rFonts w:ascii="Wingdings" w:hAnsi="Wingdings" w:hint="default"/>
      </w:rPr>
    </w:lvl>
    <w:lvl w:ilvl="3" w:tplc="CA9692DA">
      <w:start w:val="1"/>
      <w:numFmt w:val="bullet"/>
      <w:lvlText w:val=""/>
      <w:lvlJc w:val="left"/>
      <w:pPr>
        <w:ind w:left="2880" w:hanging="360"/>
      </w:pPr>
      <w:rPr>
        <w:rFonts w:ascii="Symbol" w:hAnsi="Symbol" w:hint="default"/>
      </w:rPr>
    </w:lvl>
    <w:lvl w:ilvl="4" w:tplc="18724B04">
      <w:start w:val="1"/>
      <w:numFmt w:val="bullet"/>
      <w:lvlText w:val="o"/>
      <w:lvlJc w:val="left"/>
      <w:pPr>
        <w:ind w:left="3600" w:hanging="360"/>
      </w:pPr>
      <w:rPr>
        <w:rFonts w:ascii="Courier New" w:hAnsi="Courier New" w:hint="default"/>
      </w:rPr>
    </w:lvl>
    <w:lvl w:ilvl="5" w:tplc="6320510A">
      <w:start w:val="1"/>
      <w:numFmt w:val="bullet"/>
      <w:lvlText w:val=""/>
      <w:lvlJc w:val="left"/>
      <w:pPr>
        <w:ind w:left="4320" w:hanging="360"/>
      </w:pPr>
      <w:rPr>
        <w:rFonts w:ascii="Wingdings" w:hAnsi="Wingdings" w:hint="default"/>
      </w:rPr>
    </w:lvl>
    <w:lvl w:ilvl="6" w:tplc="7744CCC6">
      <w:start w:val="1"/>
      <w:numFmt w:val="bullet"/>
      <w:lvlText w:val=""/>
      <w:lvlJc w:val="left"/>
      <w:pPr>
        <w:ind w:left="5040" w:hanging="360"/>
      </w:pPr>
      <w:rPr>
        <w:rFonts w:ascii="Symbol" w:hAnsi="Symbol" w:hint="default"/>
      </w:rPr>
    </w:lvl>
    <w:lvl w:ilvl="7" w:tplc="713EF11C">
      <w:start w:val="1"/>
      <w:numFmt w:val="bullet"/>
      <w:lvlText w:val="o"/>
      <w:lvlJc w:val="left"/>
      <w:pPr>
        <w:ind w:left="5760" w:hanging="360"/>
      </w:pPr>
      <w:rPr>
        <w:rFonts w:ascii="Courier New" w:hAnsi="Courier New" w:hint="default"/>
      </w:rPr>
    </w:lvl>
    <w:lvl w:ilvl="8" w:tplc="41C0EAC8">
      <w:start w:val="1"/>
      <w:numFmt w:val="bullet"/>
      <w:lvlText w:val=""/>
      <w:lvlJc w:val="left"/>
      <w:pPr>
        <w:ind w:left="6480" w:hanging="360"/>
      </w:pPr>
      <w:rPr>
        <w:rFonts w:ascii="Wingdings" w:hAnsi="Wingdings" w:hint="default"/>
      </w:rPr>
    </w:lvl>
  </w:abstractNum>
  <w:abstractNum w:abstractNumId="15" w15:restartNumberingAfterBreak="0">
    <w:nsid w:val="3FF5458C"/>
    <w:multiLevelType w:val="hybridMultilevel"/>
    <w:tmpl w:val="82848814"/>
    <w:lvl w:ilvl="0" w:tplc="109EEEF6">
      <w:start w:val="1"/>
      <w:numFmt w:val="bullet"/>
      <w:lvlText w:val=""/>
      <w:lvlJc w:val="left"/>
      <w:pPr>
        <w:ind w:left="720" w:hanging="360"/>
      </w:pPr>
      <w:rPr>
        <w:rFonts w:ascii="Symbol" w:hAnsi="Symbol" w:hint="default"/>
      </w:rPr>
    </w:lvl>
    <w:lvl w:ilvl="1" w:tplc="077677E2">
      <w:start w:val="1"/>
      <w:numFmt w:val="bullet"/>
      <w:lvlText w:val="o"/>
      <w:lvlJc w:val="left"/>
      <w:pPr>
        <w:ind w:left="1440" w:hanging="360"/>
      </w:pPr>
      <w:rPr>
        <w:rFonts w:ascii="Courier New" w:hAnsi="Courier New" w:hint="default"/>
      </w:rPr>
    </w:lvl>
    <w:lvl w:ilvl="2" w:tplc="B39624A2">
      <w:start w:val="1"/>
      <w:numFmt w:val="bullet"/>
      <w:lvlText w:val=""/>
      <w:lvlJc w:val="left"/>
      <w:pPr>
        <w:ind w:left="2160" w:hanging="360"/>
      </w:pPr>
      <w:rPr>
        <w:rFonts w:ascii="Wingdings" w:hAnsi="Wingdings" w:hint="default"/>
      </w:rPr>
    </w:lvl>
    <w:lvl w:ilvl="3" w:tplc="DB724B52">
      <w:start w:val="1"/>
      <w:numFmt w:val="bullet"/>
      <w:lvlText w:val=""/>
      <w:lvlJc w:val="left"/>
      <w:pPr>
        <w:ind w:left="2880" w:hanging="360"/>
      </w:pPr>
      <w:rPr>
        <w:rFonts w:ascii="Symbol" w:hAnsi="Symbol" w:hint="default"/>
      </w:rPr>
    </w:lvl>
    <w:lvl w:ilvl="4" w:tplc="EBC2F106">
      <w:start w:val="1"/>
      <w:numFmt w:val="bullet"/>
      <w:lvlText w:val="o"/>
      <w:lvlJc w:val="left"/>
      <w:pPr>
        <w:ind w:left="3600" w:hanging="360"/>
      </w:pPr>
      <w:rPr>
        <w:rFonts w:ascii="Courier New" w:hAnsi="Courier New" w:hint="default"/>
      </w:rPr>
    </w:lvl>
    <w:lvl w:ilvl="5" w:tplc="FB5239D0">
      <w:start w:val="1"/>
      <w:numFmt w:val="bullet"/>
      <w:lvlText w:val=""/>
      <w:lvlJc w:val="left"/>
      <w:pPr>
        <w:ind w:left="4320" w:hanging="360"/>
      </w:pPr>
      <w:rPr>
        <w:rFonts w:ascii="Wingdings" w:hAnsi="Wingdings" w:hint="default"/>
      </w:rPr>
    </w:lvl>
    <w:lvl w:ilvl="6" w:tplc="54E4369A">
      <w:start w:val="1"/>
      <w:numFmt w:val="bullet"/>
      <w:lvlText w:val=""/>
      <w:lvlJc w:val="left"/>
      <w:pPr>
        <w:ind w:left="5040" w:hanging="360"/>
      </w:pPr>
      <w:rPr>
        <w:rFonts w:ascii="Symbol" w:hAnsi="Symbol" w:hint="default"/>
      </w:rPr>
    </w:lvl>
    <w:lvl w:ilvl="7" w:tplc="F92473C6">
      <w:start w:val="1"/>
      <w:numFmt w:val="bullet"/>
      <w:lvlText w:val="o"/>
      <w:lvlJc w:val="left"/>
      <w:pPr>
        <w:ind w:left="5760" w:hanging="360"/>
      </w:pPr>
      <w:rPr>
        <w:rFonts w:ascii="Courier New" w:hAnsi="Courier New" w:hint="default"/>
      </w:rPr>
    </w:lvl>
    <w:lvl w:ilvl="8" w:tplc="DA7C4132">
      <w:start w:val="1"/>
      <w:numFmt w:val="bullet"/>
      <w:lvlText w:val=""/>
      <w:lvlJc w:val="left"/>
      <w:pPr>
        <w:ind w:left="6480" w:hanging="360"/>
      </w:pPr>
      <w:rPr>
        <w:rFonts w:ascii="Wingdings" w:hAnsi="Wingdings" w:hint="default"/>
      </w:rPr>
    </w:lvl>
  </w:abstractNum>
  <w:abstractNum w:abstractNumId="16" w15:restartNumberingAfterBreak="0">
    <w:nsid w:val="4368C5E1"/>
    <w:multiLevelType w:val="hybridMultilevel"/>
    <w:tmpl w:val="8CFE5B60"/>
    <w:lvl w:ilvl="0" w:tplc="E26E56FE">
      <w:start w:val="1"/>
      <w:numFmt w:val="bullet"/>
      <w:lvlText w:val=""/>
      <w:lvlJc w:val="left"/>
      <w:pPr>
        <w:ind w:left="720" w:hanging="360"/>
      </w:pPr>
      <w:rPr>
        <w:rFonts w:ascii="Symbol" w:hAnsi="Symbol" w:hint="default"/>
      </w:rPr>
    </w:lvl>
    <w:lvl w:ilvl="1" w:tplc="D80852AE">
      <w:start w:val="1"/>
      <w:numFmt w:val="bullet"/>
      <w:lvlText w:val="o"/>
      <w:lvlJc w:val="left"/>
      <w:pPr>
        <w:ind w:left="1440" w:hanging="360"/>
      </w:pPr>
      <w:rPr>
        <w:rFonts w:ascii="Courier New" w:hAnsi="Courier New" w:hint="default"/>
      </w:rPr>
    </w:lvl>
    <w:lvl w:ilvl="2" w:tplc="678857D0">
      <w:start w:val="1"/>
      <w:numFmt w:val="bullet"/>
      <w:lvlText w:val=""/>
      <w:lvlJc w:val="left"/>
      <w:pPr>
        <w:ind w:left="2160" w:hanging="360"/>
      </w:pPr>
      <w:rPr>
        <w:rFonts w:ascii="Wingdings" w:hAnsi="Wingdings" w:hint="default"/>
      </w:rPr>
    </w:lvl>
    <w:lvl w:ilvl="3" w:tplc="46A47F16">
      <w:start w:val="1"/>
      <w:numFmt w:val="bullet"/>
      <w:lvlText w:val=""/>
      <w:lvlJc w:val="left"/>
      <w:pPr>
        <w:ind w:left="2880" w:hanging="360"/>
      </w:pPr>
      <w:rPr>
        <w:rFonts w:ascii="Symbol" w:hAnsi="Symbol" w:hint="default"/>
      </w:rPr>
    </w:lvl>
    <w:lvl w:ilvl="4" w:tplc="E2FC8698">
      <w:start w:val="1"/>
      <w:numFmt w:val="bullet"/>
      <w:lvlText w:val="o"/>
      <w:lvlJc w:val="left"/>
      <w:pPr>
        <w:ind w:left="3600" w:hanging="360"/>
      </w:pPr>
      <w:rPr>
        <w:rFonts w:ascii="Courier New" w:hAnsi="Courier New" w:hint="default"/>
      </w:rPr>
    </w:lvl>
    <w:lvl w:ilvl="5" w:tplc="E06AE9C0">
      <w:start w:val="1"/>
      <w:numFmt w:val="bullet"/>
      <w:lvlText w:val=""/>
      <w:lvlJc w:val="left"/>
      <w:pPr>
        <w:ind w:left="4320" w:hanging="360"/>
      </w:pPr>
      <w:rPr>
        <w:rFonts w:ascii="Wingdings" w:hAnsi="Wingdings" w:hint="default"/>
      </w:rPr>
    </w:lvl>
    <w:lvl w:ilvl="6" w:tplc="23889632">
      <w:start w:val="1"/>
      <w:numFmt w:val="bullet"/>
      <w:lvlText w:val=""/>
      <w:lvlJc w:val="left"/>
      <w:pPr>
        <w:ind w:left="5040" w:hanging="360"/>
      </w:pPr>
      <w:rPr>
        <w:rFonts w:ascii="Symbol" w:hAnsi="Symbol" w:hint="default"/>
      </w:rPr>
    </w:lvl>
    <w:lvl w:ilvl="7" w:tplc="94366BF8">
      <w:start w:val="1"/>
      <w:numFmt w:val="bullet"/>
      <w:lvlText w:val="o"/>
      <w:lvlJc w:val="left"/>
      <w:pPr>
        <w:ind w:left="5760" w:hanging="360"/>
      </w:pPr>
      <w:rPr>
        <w:rFonts w:ascii="Courier New" w:hAnsi="Courier New" w:hint="default"/>
      </w:rPr>
    </w:lvl>
    <w:lvl w:ilvl="8" w:tplc="84923980">
      <w:start w:val="1"/>
      <w:numFmt w:val="bullet"/>
      <w:lvlText w:val=""/>
      <w:lvlJc w:val="left"/>
      <w:pPr>
        <w:ind w:left="6480" w:hanging="360"/>
      </w:pPr>
      <w:rPr>
        <w:rFonts w:ascii="Wingdings" w:hAnsi="Wingdings" w:hint="default"/>
      </w:rPr>
    </w:lvl>
  </w:abstractNum>
  <w:abstractNum w:abstractNumId="17" w15:restartNumberingAfterBreak="0">
    <w:nsid w:val="459D2A8F"/>
    <w:multiLevelType w:val="hybridMultilevel"/>
    <w:tmpl w:val="2DEE67CC"/>
    <w:lvl w:ilvl="0" w:tplc="78E8D3F2">
      <w:start w:val="1"/>
      <w:numFmt w:val="bullet"/>
      <w:lvlText w:val=""/>
      <w:lvlJc w:val="left"/>
      <w:pPr>
        <w:ind w:left="765" w:hanging="360"/>
      </w:pPr>
      <w:rPr>
        <w:rFonts w:ascii="Symbol" w:hAnsi="Symbol" w:hint="default"/>
      </w:rPr>
    </w:lvl>
    <w:lvl w:ilvl="1" w:tplc="8D16EB58">
      <w:start w:val="1"/>
      <w:numFmt w:val="bullet"/>
      <w:lvlText w:val="o"/>
      <w:lvlJc w:val="left"/>
      <w:pPr>
        <w:ind w:left="1485" w:hanging="360"/>
      </w:pPr>
      <w:rPr>
        <w:rFonts w:ascii="Symbol" w:hAnsi="Symbol" w:hint="default"/>
      </w:rPr>
    </w:lvl>
    <w:lvl w:ilvl="2" w:tplc="35021808">
      <w:start w:val="1"/>
      <w:numFmt w:val="bullet"/>
      <w:lvlText w:val=""/>
      <w:lvlJc w:val="left"/>
      <w:pPr>
        <w:ind w:left="2205" w:hanging="360"/>
      </w:pPr>
      <w:rPr>
        <w:rFonts w:ascii="Symbol" w:hAnsi="Symbol" w:hint="default"/>
      </w:rPr>
    </w:lvl>
    <w:lvl w:ilvl="3" w:tplc="703C0E54">
      <w:start w:val="1"/>
      <w:numFmt w:val="bullet"/>
      <w:lvlText w:val=""/>
      <w:lvlJc w:val="left"/>
      <w:pPr>
        <w:ind w:left="2925" w:hanging="360"/>
      </w:pPr>
      <w:rPr>
        <w:rFonts w:ascii="Symbol" w:hAnsi="Symbol" w:hint="default"/>
      </w:rPr>
    </w:lvl>
    <w:lvl w:ilvl="4" w:tplc="06483C10">
      <w:start w:val="1"/>
      <w:numFmt w:val="bullet"/>
      <w:lvlText w:val="o"/>
      <w:lvlJc w:val="left"/>
      <w:pPr>
        <w:ind w:left="3600" w:hanging="360"/>
      </w:pPr>
      <w:rPr>
        <w:rFonts w:ascii="Courier New" w:hAnsi="Courier New" w:hint="default"/>
      </w:rPr>
    </w:lvl>
    <w:lvl w:ilvl="5" w:tplc="B54A5DA6">
      <w:start w:val="1"/>
      <w:numFmt w:val="bullet"/>
      <w:lvlText w:val=""/>
      <w:lvlJc w:val="left"/>
      <w:pPr>
        <w:ind w:left="4320" w:hanging="360"/>
      </w:pPr>
      <w:rPr>
        <w:rFonts w:ascii="Wingdings" w:hAnsi="Wingdings" w:hint="default"/>
      </w:rPr>
    </w:lvl>
    <w:lvl w:ilvl="6" w:tplc="41722684">
      <w:start w:val="1"/>
      <w:numFmt w:val="bullet"/>
      <w:lvlText w:val=""/>
      <w:lvlJc w:val="left"/>
      <w:pPr>
        <w:ind w:left="5040" w:hanging="360"/>
      </w:pPr>
      <w:rPr>
        <w:rFonts w:ascii="Symbol" w:hAnsi="Symbol" w:hint="default"/>
      </w:rPr>
    </w:lvl>
    <w:lvl w:ilvl="7" w:tplc="DB9EB6B0">
      <w:start w:val="1"/>
      <w:numFmt w:val="bullet"/>
      <w:lvlText w:val="o"/>
      <w:lvlJc w:val="left"/>
      <w:pPr>
        <w:ind w:left="5760" w:hanging="360"/>
      </w:pPr>
      <w:rPr>
        <w:rFonts w:ascii="Courier New" w:hAnsi="Courier New" w:hint="default"/>
      </w:rPr>
    </w:lvl>
    <w:lvl w:ilvl="8" w:tplc="0BF8ADA6">
      <w:start w:val="1"/>
      <w:numFmt w:val="bullet"/>
      <w:lvlText w:val=""/>
      <w:lvlJc w:val="left"/>
      <w:pPr>
        <w:ind w:left="6480" w:hanging="360"/>
      </w:pPr>
      <w:rPr>
        <w:rFonts w:ascii="Wingdings" w:hAnsi="Wingdings" w:hint="default"/>
      </w:rPr>
    </w:lvl>
  </w:abstractNum>
  <w:abstractNum w:abstractNumId="18" w15:restartNumberingAfterBreak="0">
    <w:nsid w:val="4699FCB4"/>
    <w:multiLevelType w:val="hybridMultilevel"/>
    <w:tmpl w:val="26AC20AE"/>
    <w:lvl w:ilvl="0" w:tplc="3DDA5672">
      <w:start w:val="1"/>
      <w:numFmt w:val="bullet"/>
      <w:lvlText w:val="o"/>
      <w:lvlJc w:val="left"/>
      <w:pPr>
        <w:ind w:left="720" w:hanging="360"/>
      </w:pPr>
      <w:rPr>
        <w:rFonts w:ascii="Courier New" w:hAnsi="Courier New" w:hint="default"/>
      </w:rPr>
    </w:lvl>
    <w:lvl w:ilvl="1" w:tplc="EBAA8BCA">
      <w:start w:val="1"/>
      <w:numFmt w:val="bullet"/>
      <w:lvlText w:val="o"/>
      <w:lvlJc w:val="left"/>
      <w:pPr>
        <w:ind w:left="1440" w:hanging="360"/>
      </w:pPr>
      <w:rPr>
        <w:rFonts w:ascii="Courier New" w:hAnsi="Courier New" w:hint="default"/>
      </w:rPr>
    </w:lvl>
    <w:lvl w:ilvl="2" w:tplc="5A3E97B8">
      <w:start w:val="1"/>
      <w:numFmt w:val="bullet"/>
      <w:lvlText w:val=""/>
      <w:lvlJc w:val="left"/>
      <w:pPr>
        <w:ind w:left="2160" w:hanging="360"/>
      </w:pPr>
      <w:rPr>
        <w:rFonts w:ascii="Wingdings" w:hAnsi="Wingdings" w:hint="default"/>
      </w:rPr>
    </w:lvl>
    <w:lvl w:ilvl="3" w:tplc="1BEEF550">
      <w:start w:val="1"/>
      <w:numFmt w:val="bullet"/>
      <w:lvlText w:val=""/>
      <w:lvlJc w:val="left"/>
      <w:pPr>
        <w:ind w:left="2880" w:hanging="360"/>
      </w:pPr>
      <w:rPr>
        <w:rFonts w:ascii="Symbol" w:hAnsi="Symbol" w:hint="default"/>
      </w:rPr>
    </w:lvl>
    <w:lvl w:ilvl="4" w:tplc="B72A511C">
      <w:start w:val="1"/>
      <w:numFmt w:val="bullet"/>
      <w:lvlText w:val="o"/>
      <w:lvlJc w:val="left"/>
      <w:pPr>
        <w:ind w:left="3600" w:hanging="360"/>
      </w:pPr>
      <w:rPr>
        <w:rFonts w:ascii="Courier New" w:hAnsi="Courier New" w:hint="default"/>
      </w:rPr>
    </w:lvl>
    <w:lvl w:ilvl="5" w:tplc="F91A26E2">
      <w:start w:val="1"/>
      <w:numFmt w:val="bullet"/>
      <w:lvlText w:val=""/>
      <w:lvlJc w:val="left"/>
      <w:pPr>
        <w:ind w:left="4320" w:hanging="360"/>
      </w:pPr>
      <w:rPr>
        <w:rFonts w:ascii="Wingdings" w:hAnsi="Wingdings" w:hint="default"/>
      </w:rPr>
    </w:lvl>
    <w:lvl w:ilvl="6" w:tplc="F0E2B3D2">
      <w:start w:val="1"/>
      <w:numFmt w:val="bullet"/>
      <w:lvlText w:val=""/>
      <w:lvlJc w:val="left"/>
      <w:pPr>
        <w:ind w:left="5040" w:hanging="360"/>
      </w:pPr>
      <w:rPr>
        <w:rFonts w:ascii="Symbol" w:hAnsi="Symbol" w:hint="default"/>
      </w:rPr>
    </w:lvl>
    <w:lvl w:ilvl="7" w:tplc="FEC8D7E6">
      <w:start w:val="1"/>
      <w:numFmt w:val="bullet"/>
      <w:lvlText w:val="o"/>
      <w:lvlJc w:val="left"/>
      <w:pPr>
        <w:ind w:left="5760" w:hanging="360"/>
      </w:pPr>
      <w:rPr>
        <w:rFonts w:ascii="Courier New" w:hAnsi="Courier New" w:hint="default"/>
      </w:rPr>
    </w:lvl>
    <w:lvl w:ilvl="8" w:tplc="0C5EC1EC">
      <w:start w:val="1"/>
      <w:numFmt w:val="bullet"/>
      <w:lvlText w:val=""/>
      <w:lvlJc w:val="left"/>
      <w:pPr>
        <w:ind w:left="6480" w:hanging="360"/>
      </w:pPr>
      <w:rPr>
        <w:rFonts w:ascii="Wingdings" w:hAnsi="Wingdings" w:hint="default"/>
      </w:rPr>
    </w:lvl>
  </w:abstractNum>
  <w:abstractNum w:abstractNumId="19" w15:restartNumberingAfterBreak="0">
    <w:nsid w:val="4B764A73"/>
    <w:multiLevelType w:val="hybridMultilevel"/>
    <w:tmpl w:val="E45E7E74"/>
    <w:lvl w:ilvl="0" w:tplc="BFFA953A">
      <w:start w:val="1"/>
      <w:numFmt w:val="bullet"/>
      <w:lvlText w:val="-"/>
      <w:lvlJc w:val="left"/>
      <w:pPr>
        <w:ind w:left="720" w:hanging="360"/>
      </w:pPr>
      <w:rPr>
        <w:rFonts w:ascii="Calibri" w:hAnsi="Calibri" w:hint="default"/>
      </w:rPr>
    </w:lvl>
    <w:lvl w:ilvl="1" w:tplc="4E30E440">
      <w:start w:val="1"/>
      <w:numFmt w:val="bullet"/>
      <w:lvlText w:val="o"/>
      <w:lvlJc w:val="left"/>
      <w:pPr>
        <w:ind w:left="1440" w:hanging="360"/>
      </w:pPr>
      <w:rPr>
        <w:rFonts w:ascii="Courier New" w:hAnsi="Courier New" w:hint="default"/>
      </w:rPr>
    </w:lvl>
    <w:lvl w:ilvl="2" w:tplc="1DC8D50E">
      <w:start w:val="1"/>
      <w:numFmt w:val="bullet"/>
      <w:lvlText w:val=""/>
      <w:lvlJc w:val="left"/>
      <w:pPr>
        <w:ind w:left="2160" w:hanging="360"/>
      </w:pPr>
      <w:rPr>
        <w:rFonts w:ascii="Wingdings" w:hAnsi="Wingdings" w:hint="default"/>
      </w:rPr>
    </w:lvl>
    <w:lvl w:ilvl="3" w:tplc="FEF001E4">
      <w:start w:val="1"/>
      <w:numFmt w:val="bullet"/>
      <w:lvlText w:val=""/>
      <w:lvlJc w:val="left"/>
      <w:pPr>
        <w:ind w:left="2880" w:hanging="360"/>
      </w:pPr>
      <w:rPr>
        <w:rFonts w:ascii="Symbol" w:hAnsi="Symbol" w:hint="default"/>
      </w:rPr>
    </w:lvl>
    <w:lvl w:ilvl="4" w:tplc="E410DC4A">
      <w:start w:val="1"/>
      <w:numFmt w:val="bullet"/>
      <w:lvlText w:val="o"/>
      <w:lvlJc w:val="left"/>
      <w:pPr>
        <w:ind w:left="3600" w:hanging="360"/>
      </w:pPr>
      <w:rPr>
        <w:rFonts w:ascii="Courier New" w:hAnsi="Courier New" w:hint="default"/>
      </w:rPr>
    </w:lvl>
    <w:lvl w:ilvl="5" w:tplc="9FEA409C">
      <w:start w:val="1"/>
      <w:numFmt w:val="bullet"/>
      <w:lvlText w:val=""/>
      <w:lvlJc w:val="left"/>
      <w:pPr>
        <w:ind w:left="4320" w:hanging="360"/>
      </w:pPr>
      <w:rPr>
        <w:rFonts w:ascii="Wingdings" w:hAnsi="Wingdings" w:hint="default"/>
      </w:rPr>
    </w:lvl>
    <w:lvl w:ilvl="6" w:tplc="088C4EA6">
      <w:start w:val="1"/>
      <w:numFmt w:val="bullet"/>
      <w:lvlText w:val=""/>
      <w:lvlJc w:val="left"/>
      <w:pPr>
        <w:ind w:left="5040" w:hanging="360"/>
      </w:pPr>
      <w:rPr>
        <w:rFonts w:ascii="Symbol" w:hAnsi="Symbol" w:hint="default"/>
      </w:rPr>
    </w:lvl>
    <w:lvl w:ilvl="7" w:tplc="8FFE9AFE">
      <w:start w:val="1"/>
      <w:numFmt w:val="bullet"/>
      <w:lvlText w:val="o"/>
      <w:lvlJc w:val="left"/>
      <w:pPr>
        <w:ind w:left="5760" w:hanging="360"/>
      </w:pPr>
      <w:rPr>
        <w:rFonts w:ascii="Courier New" w:hAnsi="Courier New" w:hint="default"/>
      </w:rPr>
    </w:lvl>
    <w:lvl w:ilvl="8" w:tplc="68F4B1EA">
      <w:start w:val="1"/>
      <w:numFmt w:val="bullet"/>
      <w:lvlText w:val=""/>
      <w:lvlJc w:val="left"/>
      <w:pPr>
        <w:ind w:left="6480" w:hanging="360"/>
      </w:pPr>
      <w:rPr>
        <w:rFonts w:ascii="Wingdings" w:hAnsi="Wingdings" w:hint="default"/>
      </w:rPr>
    </w:lvl>
  </w:abstractNum>
  <w:abstractNum w:abstractNumId="20" w15:restartNumberingAfterBreak="0">
    <w:nsid w:val="50DAF96A"/>
    <w:multiLevelType w:val="hybridMultilevel"/>
    <w:tmpl w:val="70ECA436"/>
    <w:lvl w:ilvl="0" w:tplc="56207892">
      <w:start w:val="1"/>
      <w:numFmt w:val="bullet"/>
      <w:lvlText w:val=""/>
      <w:lvlJc w:val="left"/>
      <w:pPr>
        <w:ind w:left="720" w:hanging="360"/>
      </w:pPr>
      <w:rPr>
        <w:rFonts w:ascii="Symbol" w:hAnsi="Symbol" w:hint="default"/>
      </w:rPr>
    </w:lvl>
    <w:lvl w:ilvl="1" w:tplc="E8F80F60">
      <w:start w:val="1"/>
      <w:numFmt w:val="bullet"/>
      <w:lvlText w:val="o"/>
      <w:lvlJc w:val="left"/>
      <w:pPr>
        <w:ind w:left="1440" w:hanging="360"/>
      </w:pPr>
      <w:rPr>
        <w:rFonts w:ascii="Courier New" w:hAnsi="Courier New" w:hint="default"/>
      </w:rPr>
    </w:lvl>
    <w:lvl w:ilvl="2" w:tplc="56BA93DC">
      <w:start w:val="1"/>
      <w:numFmt w:val="bullet"/>
      <w:lvlText w:val=""/>
      <w:lvlJc w:val="left"/>
      <w:pPr>
        <w:ind w:left="2160" w:hanging="360"/>
      </w:pPr>
      <w:rPr>
        <w:rFonts w:ascii="Wingdings" w:hAnsi="Wingdings" w:hint="default"/>
      </w:rPr>
    </w:lvl>
    <w:lvl w:ilvl="3" w:tplc="D5E65B70">
      <w:start w:val="1"/>
      <w:numFmt w:val="bullet"/>
      <w:lvlText w:val=""/>
      <w:lvlJc w:val="left"/>
      <w:pPr>
        <w:ind w:left="2880" w:hanging="360"/>
      </w:pPr>
      <w:rPr>
        <w:rFonts w:ascii="Symbol" w:hAnsi="Symbol" w:hint="default"/>
      </w:rPr>
    </w:lvl>
    <w:lvl w:ilvl="4" w:tplc="583C8A58">
      <w:start w:val="1"/>
      <w:numFmt w:val="bullet"/>
      <w:lvlText w:val="o"/>
      <w:lvlJc w:val="left"/>
      <w:pPr>
        <w:ind w:left="3600" w:hanging="360"/>
      </w:pPr>
      <w:rPr>
        <w:rFonts w:ascii="Courier New" w:hAnsi="Courier New" w:hint="default"/>
      </w:rPr>
    </w:lvl>
    <w:lvl w:ilvl="5" w:tplc="D3284E0A">
      <w:start w:val="1"/>
      <w:numFmt w:val="bullet"/>
      <w:lvlText w:val=""/>
      <w:lvlJc w:val="left"/>
      <w:pPr>
        <w:ind w:left="4320" w:hanging="360"/>
      </w:pPr>
      <w:rPr>
        <w:rFonts w:ascii="Wingdings" w:hAnsi="Wingdings" w:hint="default"/>
      </w:rPr>
    </w:lvl>
    <w:lvl w:ilvl="6" w:tplc="452296C6">
      <w:start w:val="1"/>
      <w:numFmt w:val="bullet"/>
      <w:lvlText w:val=""/>
      <w:lvlJc w:val="left"/>
      <w:pPr>
        <w:ind w:left="5040" w:hanging="360"/>
      </w:pPr>
      <w:rPr>
        <w:rFonts w:ascii="Symbol" w:hAnsi="Symbol" w:hint="default"/>
      </w:rPr>
    </w:lvl>
    <w:lvl w:ilvl="7" w:tplc="D1A06302">
      <w:start w:val="1"/>
      <w:numFmt w:val="bullet"/>
      <w:lvlText w:val="o"/>
      <w:lvlJc w:val="left"/>
      <w:pPr>
        <w:ind w:left="5760" w:hanging="360"/>
      </w:pPr>
      <w:rPr>
        <w:rFonts w:ascii="Courier New" w:hAnsi="Courier New" w:hint="default"/>
      </w:rPr>
    </w:lvl>
    <w:lvl w:ilvl="8" w:tplc="B8D2D19C">
      <w:start w:val="1"/>
      <w:numFmt w:val="bullet"/>
      <w:lvlText w:val=""/>
      <w:lvlJc w:val="left"/>
      <w:pPr>
        <w:ind w:left="6480" w:hanging="360"/>
      </w:pPr>
      <w:rPr>
        <w:rFonts w:ascii="Wingdings" w:hAnsi="Wingdings" w:hint="default"/>
      </w:rPr>
    </w:lvl>
  </w:abstractNum>
  <w:abstractNum w:abstractNumId="21" w15:restartNumberingAfterBreak="0">
    <w:nsid w:val="5276F145"/>
    <w:multiLevelType w:val="hybridMultilevel"/>
    <w:tmpl w:val="1726527C"/>
    <w:lvl w:ilvl="0" w:tplc="F1E0BF46">
      <w:start w:val="1"/>
      <w:numFmt w:val="bullet"/>
      <w:lvlText w:val=""/>
      <w:lvlJc w:val="left"/>
      <w:pPr>
        <w:ind w:left="720" w:hanging="360"/>
      </w:pPr>
      <w:rPr>
        <w:rFonts w:ascii="Symbol" w:hAnsi="Symbol" w:hint="default"/>
      </w:rPr>
    </w:lvl>
    <w:lvl w:ilvl="1" w:tplc="895E5820">
      <w:start w:val="1"/>
      <w:numFmt w:val="bullet"/>
      <w:lvlText w:val="o"/>
      <w:lvlJc w:val="left"/>
      <w:pPr>
        <w:ind w:left="1440" w:hanging="360"/>
      </w:pPr>
      <w:rPr>
        <w:rFonts w:ascii="Courier New" w:hAnsi="Courier New" w:hint="default"/>
      </w:rPr>
    </w:lvl>
    <w:lvl w:ilvl="2" w:tplc="159AF51C">
      <w:start w:val="1"/>
      <w:numFmt w:val="bullet"/>
      <w:lvlText w:val=""/>
      <w:lvlJc w:val="left"/>
      <w:pPr>
        <w:ind w:left="2160" w:hanging="360"/>
      </w:pPr>
      <w:rPr>
        <w:rFonts w:ascii="Wingdings" w:hAnsi="Wingdings" w:hint="default"/>
      </w:rPr>
    </w:lvl>
    <w:lvl w:ilvl="3" w:tplc="DF0A05F6">
      <w:start w:val="1"/>
      <w:numFmt w:val="bullet"/>
      <w:lvlText w:val=""/>
      <w:lvlJc w:val="left"/>
      <w:pPr>
        <w:ind w:left="2880" w:hanging="360"/>
      </w:pPr>
      <w:rPr>
        <w:rFonts w:ascii="Symbol" w:hAnsi="Symbol" w:hint="default"/>
      </w:rPr>
    </w:lvl>
    <w:lvl w:ilvl="4" w:tplc="08B8B762">
      <w:start w:val="1"/>
      <w:numFmt w:val="bullet"/>
      <w:lvlText w:val="o"/>
      <w:lvlJc w:val="left"/>
      <w:pPr>
        <w:ind w:left="3600" w:hanging="360"/>
      </w:pPr>
      <w:rPr>
        <w:rFonts w:ascii="Courier New" w:hAnsi="Courier New" w:hint="default"/>
      </w:rPr>
    </w:lvl>
    <w:lvl w:ilvl="5" w:tplc="B510CCE6">
      <w:start w:val="1"/>
      <w:numFmt w:val="bullet"/>
      <w:lvlText w:val=""/>
      <w:lvlJc w:val="left"/>
      <w:pPr>
        <w:ind w:left="4320" w:hanging="360"/>
      </w:pPr>
      <w:rPr>
        <w:rFonts w:ascii="Wingdings" w:hAnsi="Wingdings" w:hint="default"/>
      </w:rPr>
    </w:lvl>
    <w:lvl w:ilvl="6" w:tplc="1B1C6658">
      <w:start w:val="1"/>
      <w:numFmt w:val="bullet"/>
      <w:lvlText w:val=""/>
      <w:lvlJc w:val="left"/>
      <w:pPr>
        <w:ind w:left="5040" w:hanging="360"/>
      </w:pPr>
      <w:rPr>
        <w:rFonts w:ascii="Symbol" w:hAnsi="Symbol" w:hint="default"/>
      </w:rPr>
    </w:lvl>
    <w:lvl w:ilvl="7" w:tplc="D04216CC">
      <w:start w:val="1"/>
      <w:numFmt w:val="bullet"/>
      <w:lvlText w:val="o"/>
      <w:lvlJc w:val="left"/>
      <w:pPr>
        <w:ind w:left="5760" w:hanging="360"/>
      </w:pPr>
      <w:rPr>
        <w:rFonts w:ascii="Courier New" w:hAnsi="Courier New" w:hint="default"/>
      </w:rPr>
    </w:lvl>
    <w:lvl w:ilvl="8" w:tplc="1690F6C8">
      <w:start w:val="1"/>
      <w:numFmt w:val="bullet"/>
      <w:lvlText w:val=""/>
      <w:lvlJc w:val="left"/>
      <w:pPr>
        <w:ind w:left="6480" w:hanging="360"/>
      </w:pPr>
      <w:rPr>
        <w:rFonts w:ascii="Wingdings" w:hAnsi="Wingdings" w:hint="default"/>
      </w:rPr>
    </w:lvl>
  </w:abstractNum>
  <w:abstractNum w:abstractNumId="22" w15:restartNumberingAfterBreak="0">
    <w:nsid w:val="556138B2"/>
    <w:multiLevelType w:val="hybridMultilevel"/>
    <w:tmpl w:val="2D9C0294"/>
    <w:lvl w:ilvl="0" w:tplc="5AAAB072">
      <w:start w:val="1"/>
      <w:numFmt w:val="decimal"/>
      <w:lvlText w:val="%1."/>
      <w:lvlJc w:val="left"/>
      <w:pPr>
        <w:ind w:left="720" w:hanging="360"/>
      </w:pPr>
    </w:lvl>
    <w:lvl w:ilvl="1" w:tplc="8A1A922A">
      <w:start w:val="1"/>
      <w:numFmt w:val="lowerLetter"/>
      <w:lvlText w:val="%2."/>
      <w:lvlJc w:val="left"/>
      <w:pPr>
        <w:ind w:left="1440" w:hanging="360"/>
      </w:pPr>
    </w:lvl>
    <w:lvl w:ilvl="2" w:tplc="CD500BFA">
      <w:start w:val="1"/>
      <w:numFmt w:val="lowerRoman"/>
      <w:lvlText w:val="%3."/>
      <w:lvlJc w:val="right"/>
      <w:pPr>
        <w:ind w:left="2160" w:hanging="180"/>
      </w:pPr>
    </w:lvl>
    <w:lvl w:ilvl="3" w:tplc="B3FAFCCC">
      <w:start w:val="1"/>
      <w:numFmt w:val="decimal"/>
      <w:lvlText w:val="%4."/>
      <w:lvlJc w:val="left"/>
      <w:pPr>
        <w:ind w:left="2880" w:hanging="360"/>
      </w:pPr>
    </w:lvl>
    <w:lvl w:ilvl="4" w:tplc="D854B26E">
      <w:start w:val="1"/>
      <w:numFmt w:val="lowerLetter"/>
      <w:lvlText w:val="%5."/>
      <w:lvlJc w:val="left"/>
      <w:pPr>
        <w:ind w:left="3600" w:hanging="360"/>
      </w:pPr>
    </w:lvl>
    <w:lvl w:ilvl="5" w:tplc="9C32B322">
      <w:start w:val="1"/>
      <w:numFmt w:val="lowerRoman"/>
      <w:lvlText w:val="%6."/>
      <w:lvlJc w:val="right"/>
      <w:pPr>
        <w:ind w:left="4320" w:hanging="180"/>
      </w:pPr>
    </w:lvl>
    <w:lvl w:ilvl="6" w:tplc="A63E0B16">
      <w:start w:val="1"/>
      <w:numFmt w:val="decimal"/>
      <w:lvlText w:val="%7."/>
      <w:lvlJc w:val="left"/>
      <w:pPr>
        <w:ind w:left="5040" w:hanging="360"/>
      </w:pPr>
    </w:lvl>
    <w:lvl w:ilvl="7" w:tplc="A650B4C6">
      <w:start w:val="1"/>
      <w:numFmt w:val="lowerLetter"/>
      <w:lvlText w:val="%8."/>
      <w:lvlJc w:val="left"/>
      <w:pPr>
        <w:ind w:left="5760" w:hanging="360"/>
      </w:pPr>
    </w:lvl>
    <w:lvl w:ilvl="8" w:tplc="AA88D090">
      <w:start w:val="1"/>
      <w:numFmt w:val="lowerRoman"/>
      <w:lvlText w:val="%9."/>
      <w:lvlJc w:val="right"/>
      <w:pPr>
        <w:ind w:left="6480" w:hanging="180"/>
      </w:pPr>
    </w:lvl>
  </w:abstractNum>
  <w:abstractNum w:abstractNumId="23" w15:restartNumberingAfterBreak="0">
    <w:nsid w:val="55FF030F"/>
    <w:multiLevelType w:val="hybridMultilevel"/>
    <w:tmpl w:val="9312879C"/>
    <w:lvl w:ilvl="0" w:tplc="F56858F6">
      <w:start w:val="1"/>
      <w:numFmt w:val="bullet"/>
      <w:lvlText w:val=""/>
      <w:lvlJc w:val="left"/>
      <w:pPr>
        <w:ind w:left="720" w:hanging="360"/>
      </w:pPr>
      <w:rPr>
        <w:rFonts w:ascii="Symbol" w:hAnsi="Symbol" w:hint="default"/>
      </w:rPr>
    </w:lvl>
    <w:lvl w:ilvl="1" w:tplc="52F4CCDC">
      <w:start w:val="1"/>
      <w:numFmt w:val="bullet"/>
      <w:lvlText w:val="o"/>
      <w:lvlJc w:val="left"/>
      <w:pPr>
        <w:ind w:left="1440" w:hanging="360"/>
      </w:pPr>
      <w:rPr>
        <w:rFonts w:ascii="Courier New" w:hAnsi="Courier New" w:hint="default"/>
      </w:rPr>
    </w:lvl>
    <w:lvl w:ilvl="2" w:tplc="B5AC1FF4">
      <w:start w:val="1"/>
      <w:numFmt w:val="bullet"/>
      <w:lvlText w:val=""/>
      <w:lvlJc w:val="left"/>
      <w:pPr>
        <w:ind w:left="2160" w:hanging="360"/>
      </w:pPr>
      <w:rPr>
        <w:rFonts w:ascii="Wingdings" w:hAnsi="Wingdings" w:hint="default"/>
      </w:rPr>
    </w:lvl>
    <w:lvl w:ilvl="3" w:tplc="3C6A251E">
      <w:start w:val="1"/>
      <w:numFmt w:val="bullet"/>
      <w:lvlText w:val=""/>
      <w:lvlJc w:val="left"/>
      <w:pPr>
        <w:ind w:left="2880" w:hanging="360"/>
      </w:pPr>
      <w:rPr>
        <w:rFonts w:ascii="Symbol" w:hAnsi="Symbol" w:hint="default"/>
      </w:rPr>
    </w:lvl>
    <w:lvl w:ilvl="4" w:tplc="67AC9E9A">
      <w:start w:val="1"/>
      <w:numFmt w:val="bullet"/>
      <w:lvlText w:val="o"/>
      <w:lvlJc w:val="left"/>
      <w:pPr>
        <w:ind w:left="3600" w:hanging="360"/>
      </w:pPr>
      <w:rPr>
        <w:rFonts w:ascii="Courier New" w:hAnsi="Courier New" w:hint="default"/>
      </w:rPr>
    </w:lvl>
    <w:lvl w:ilvl="5" w:tplc="F5BE2034">
      <w:start w:val="1"/>
      <w:numFmt w:val="bullet"/>
      <w:lvlText w:val=""/>
      <w:lvlJc w:val="left"/>
      <w:pPr>
        <w:ind w:left="4320" w:hanging="360"/>
      </w:pPr>
      <w:rPr>
        <w:rFonts w:ascii="Wingdings" w:hAnsi="Wingdings" w:hint="default"/>
      </w:rPr>
    </w:lvl>
    <w:lvl w:ilvl="6" w:tplc="C660E84C">
      <w:start w:val="1"/>
      <w:numFmt w:val="bullet"/>
      <w:lvlText w:val=""/>
      <w:lvlJc w:val="left"/>
      <w:pPr>
        <w:ind w:left="5040" w:hanging="360"/>
      </w:pPr>
      <w:rPr>
        <w:rFonts w:ascii="Symbol" w:hAnsi="Symbol" w:hint="default"/>
      </w:rPr>
    </w:lvl>
    <w:lvl w:ilvl="7" w:tplc="313045E6">
      <w:start w:val="1"/>
      <w:numFmt w:val="bullet"/>
      <w:lvlText w:val="o"/>
      <w:lvlJc w:val="left"/>
      <w:pPr>
        <w:ind w:left="5760" w:hanging="360"/>
      </w:pPr>
      <w:rPr>
        <w:rFonts w:ascii="Courier New" w:hAnsi="Courier New" w:hint="default"/>
      </w:rPr>
    </w:lvl>
    <w:lvl w:ilvl="8" w:tplc="0568CBA6">
      <w:start w:val="1"/>
      <w:numFmt w:val="bullet"/>
      <w:lvlText w:val=""/>
      <w:lvlJc w:val="left"/>
      <w:pPr>
        <w:ind w:left="6480" w:hanging="360"/>
      </w:pPr>
      <w:rPr>
        <w:rFonts w:ascii="Wingdings" w:hAnsi="Wingdings" w:hint="default"/>
      </w:rPr>
    </w:lvl>
  </w:abstractNum>
  <w:abstractNum w:abstractNumId="24" w15:restartNumberingAfterBreak="0">
    <w:nsid w:val="5CE05437"/>
    <w:multiLevelType w:val="hybridMultilevel"/>
    <w:tmpl w:val="8CAC1264"/>
    <w:lvl w:ilvl="0" w:tplc="E02A44AC">
      <w:start w:val="1"/>
      <w:numFmt w:val="bullet"/>
      <w:lvlText w:val="-"/>
      <w:lvlJc w:val="left"/>
      <w:pPr>
        <w:ind w:left="720" w:hanging="360"/>
      </w:pPr>
      <w:rPr>
        <w:rFonts w:ascii="Calibri" w:hAnsi="Calibri" w:hint="default"/>
      </w:rPr>
    </w:lvl>
    <w:lvl w:ilvl="1" w:tplc="F7A28784">
      <w:start w:val="1"/>
      <w:numFmt w:val="bullet"/>
      <w:lvlText w:val="o"/>
      <w:lvlJc w:val="left"/>
      <w:pPr>
        <w:ind w:left="1440" w:hanging="360"/>
      </w:pPr>
      <w:rPr>
        <w:rFonts w:ascii="Courier New" w:hAnsi="Courier New" w:hint="default"/>
      </w:rPr>
    </w:lvl>
    <w:lvl w:ilvl="2" w:tplc="38BE3768">
      <w:start w:val="1"/>
      <w:numFmt w:val="bullet"/>
      <w:lvlText w:val=""/>
      <w:lvlJc w:val="left"/>
      <w:pPr>
        <w:ind w:left="2160" w:hanging="360"/>
      </w:pPr>
      <w:rPr>
        <w:rFonts w:ascii="Wingdings" w:hAnsi="Wingdings" w:hint="default"/>
      </w:rPr>
    </w:lvl>
    <w:lvl w:ilvl="3" w:tplc="F12CB230">
      <w:start w:val="1"/>
      <w:numFmt w:val="bullet"/>
      <w:lvlText w:val=""/>
      <w:lvlJc w:val="left"/>
      <w:pPr>
        <w:ind w:left="2880" w:hanging="360"/>
      </w:pPr>
      <w:rPr>
        <w:rFonts w:ascii="Symbol" w:hAnsi="Symbol" w:hint="default"/>
      </w:rPr>
    </w:lvl>
    <w:lvl w:ilvl="4" w:tplc="6538708C">
      <w:start w:val="1"/>
      <w:numFmt w:val="bullet"/>
      <w:lvlText w:val="o"/>
      <w:lvlJc w:val="left"/>
      <w:pPr>
        <w:ind w:left="3600" w:hanging="360"/>
      </w:pPr>
      <w:rPr>
        <w:rFonts w:ascii="Courier New" w:hAnsi="Courier New" w:hint="default"/>
      </w:rPr>
    </w:lvl>
    <w:lvl w:ilvl="5" w:tplc="123E2794">
      <w:start w:val="1"/>
      <w:numFmt w:val="bullet"/>
      <w:lvlText w:val=""/>
      <w:lvlJc w:val="left"/>
      <w:pPr>
        <w:ind w:left="4320" w:hanging="360"/>
      </w:pPr>
      <w:rPr>
        <w:rFonts w:ascii="Wingdings" w:hAnsi="Wingdings" w:hint="default"/>
      </w:rPr>
    </w:lvl>
    <w:lvl w:ilvl="6" w:tplc="E5C8D25E">
      <w:start w:val="1"/>
      <w:numFmt w:val="bullet"/>
      <w:lvlText w:val=""/>
      <w:lvlJc w:val="left"/>
      <w:pPr>
        <w:ind w:left="5040" w:hanging="360"/>
      </w:pPr>
      <w:rPr>
        <w:rFonts w:ascii="Symbol" w:hAnsi="Symbol" w:hint="default"/>
      </w:rPr>
    </w:lvl>
    <w:lvl w:ilvl="7" w:tplc="D6700526">
      <w:start w:val="1"/>
      <w:numFmt w:val="bullet"/>
      <w:lvlText w:val="o"/>
      <w:lvlJc w:val="left"/>
      <w:pPr>
        <w:ind w:left="5760" w:hanging="360"/>
      </w:pPr>
      <w:rPr>
        <w:rFonts w:ascii="Courier New" w:hAnsi="Courier New" w:hint="default"/>
      </w:rPr>
    </w:lvl>
    <w:lvl w:ilvl="8" w:tplc="C8D2D9B4">
      <w:start w:val="1"/>
      <w:numFmt w:val="bullet"/>
      <w:lvlText w:val=""/>
      <w:lvlJc w:val="left"/>
      <w:pPr>
        <w:ind w:left="6480" w:hanging="360"/>
      </w:pPr>
      <w:rPr>
        <w:rFonts w:ascii="Wingdings" w:hAnsi="Wingdings" w:hint="default"/>
      </w:rPr>
    </w:lvl>
  </w:abstractNum>
  <w:abstractNum w:abstractNumId="25" w15:restartNumberingAfterBreak="0">
    <w:nsid w:val="5EF1CA8A"/>
    <w:multiLevelType w:val="hybridMultilevel"/>
    <w:tmpl w:val="00C4A0CA"/>
    <w:lvl w:ilvl="0" w:tplc="140EBE54">
      <w:start w:val="1"/>
      <w:numFmt w:val="bullet"/>
      <w:lvlText w:val=""/>
      <w:lvlJc w:val="left"/>
      <w:pPr>
        <w:ind w:left="720" w:hanging="360"/>
      </w:pPr>
      <w:rPr>
        <w:rFonts w:ascii="Symbol" w:hAnsi="Symbol" w:hint="default"/>
      </w:rPr>
    </w:lvl>
    <w:lvl w:ilvl="1" w:tplc="3F005A94">
      <w:start w:val="1"/>
      <w:numFmt w:val="bullet"/>
      <w:lvlText w:val="o"/>
      <w:lvlJc w:val="left"/>
      <w:pPr>
        <w:ind w:left="1440" w:hanging="360"/>
      </w:pPr>
      <w:rPr>
        <w:rFonts w:ascii="Courier New" w:hAnsi="Courier New" w:hint="default"/>
      </w:rPr>
    </w:lvl>
    <w:lvl w:ilvl="2" w:tplc="6E9CFA12">
      <w:start w:val="1"/>
      <w:numFmt w:val="bullet"/>
      <w:lvlText w:val=""/>
      <w:lvlJc w:val="left"/>
      <w:pPr>
        <w:ind w:left="2160" w:hanging="360"/>
      </w:pPr>
      <w:rPr>
        <w:rFonts w:ascii="Wingdings" w:hAnsi="Wingdings" w:hint="default"/>
      </w:rPr>
    </w:lvl>
    <w:lvl w:ilvl="3" w:tplc="0CFC65D6">
      <w:start w:val="1"/>
      <w:numFmt w:val="bullet"/>
      <w:lvlText w:val=""/>
      <w:lvlJc w:val="left"/>
      <w:pPr>
        <w:ind w:left="2880" w:hanging="360"/>
      </w:pPr>
      <w:rPr>
        <w:rFonts w:ascii="Symbol" w:hAnsi="Symbol" w:hint="default"/>
      </w:rPr>
    </w:lvl>
    <w:lvl w:ilvl="4" w:tplc="1FD8E8B0">
      <w:start w:val="1"/>
      <w:numFmt w:val="bullet"/>
      <w:lvlText w:val="o"/>
      <w:lvlJc w:val="left"/>
      <w:pPr>
        <w:ind w:left="3600" w:hanging="360"/>
      </w:pPr>
      <w:rPr>
        <w:rFonts w:ascii="Courier New" w:hAnsi="Courier New" w:hint="default"/>
      </w:rPr>
    </w:lvl>
    <w:lvl w:ilvl="5" w:tplc="4C0E368A">
      <w:start w:val="1"/>
      <w:numFmt w:val="bullet"/>
      <w:lvlText w:val=""/>
      <w:lvlJc w:val="left"/>
      <w:pPr>
        <w:ind w:left="4320" w:hanging="360"/>
      </w:pPr>
      <w:rPr>
        <w:rFonts w:ascii="Wingdings" w:hAnsi="Wingdings" w:hint="default"/>
      </w:rPr>
    </w:lvl>
    <w:lvl w:ilvl="6" w:tplc="AE849ED4">
      <w:start w:val="1"/>
      <w:numFmt w:val="bullet"/>
      <w:lvlText w:val=""/>
      <w:lvlJc w:val="left"/>
      <w:pPr>
        <w:ind w:left="5040" w:hanging="360"/>
      </w:pPr>
      <w:rPr>
        <w:rFonts w:ascii="Symbol" w:hAnsi="Symbol" w:hint="default"/>
      </w:rPr>
    </w:lvl>
    <w:lvl w:ilvl="7" w:tplc="A5BA8496">
      <w:start w:val="1"/>
      <w:numFmt w:val="bullet"/>
      <w:lvlText w:val="o"/>
      <w:lvlJc w:val="left"/>
      <w:pPr>
        <w:ind w:left="5760" w:hanging="360"/>
      </w:pPr>
      <w:rPr>
        <w:rFonts w:ascii="Courier New" w:hAnsi="Courier New" w:hint="default"/>
      </w:rPr>
    </w:lvl>
    <w:lvl w:ilvl="8" w:tplc="14F0A874">
      <w:start w:val="1"/>
      <w:numFmt w:val="bullet"/>
      <w:lvlText w:val=""/>
      <w:lvlJc w:val="left"/>
      <w:pPr>
        <w:ind w:left="6480" w:hanging="360"/>
      </w:pPr>
      <w:rPr>
        <w:rFonts w:ascii="Wingdings" w:hAnsi="Wingdings" w:hint="default"/>
      </w:rPr>
    </w:lvl>
  </w:abstractNum>
  <w:abstractNum w:abstractNumId="26" w15:restartNumberingAfterBreak="0">
    <w:nsid w:val="63335733"/>
    <w:multiLevelType w:val="hybridMultilevel"/>
    <w:tmpl w:val="AD5AE744"/>
    <w:lvl w:ilvl="0" w:tplc="DFF6A360">
      <w:start w:val="1"/>
      <w:numFmt w:val="bullet"/>
      <w:lvlText w:val=""/>
      <w:lvlJc w:val="left"/>
      <w:pPr>
        <w:ind w:left="720" w:hanging="360"/>
      </w:pPr>
      <w:rPr>
        <w:rFonts w:ascii="Symbol" w:hAnsi="Symbol" w:hint="default"/>
      </w:rPr>
    </w:lvl>
    <w:lvl w:ilvl="1" w:tplc="082E199E">
      <w:start w:val="1"/>
      <w:numFmt w:val="bullet"/>
      <w:lvlText w:val="o"/>
      <w:lvlJc w:val="left"/>
      <w:pPr>
        <w:ind w:left="1440" w:hanging="360"/>
      </w:pPr>
      <w:rPr>
        <w:rFonts w:ascii="Courier New" w:hAnsi="Courier New" w:hint="default"/>
      </w:rPr>
    </w:lvl>
    <w:lvl w:ilvl="2" w:tplc="35103898">
      <w:start w:val="1"/>
      <w:numFmt w:val="bullet"/>
      <w:lvlText w:val=""/>
      <w:lvlJc w:val="left"/>
      <w:pPr>
        <w:ind w:left="2160" w:hanging="360"/>
      </w:pPr>
      <w:rPr>
        <w:rFonts w:ascii="Wingdings" w:hAnsi="Wingdings" w:hint="default"/>
      </w:rPr>
    </w:lvl>
    <w:lvl w:ilvl="3" w:tplc="99306868">
      <w:start w:val="1"/>
      <w:numFmt w:val="bullet"/>
      <w:lvlText w:val=""/>
      <w:lvlJc w:val="left"/>
      <w:pPr>
        <w:ind w:left="2880" w:hanging="360"/>
      </w:pPr>
      <w:rPr>
        <w:rFonts w:ascii="Symbol" w:hAnsi="Symbol" w:hint="default"/>
      </w:rPr>
    </w:lvl>
    <w:lvl w:ilvl="4" w:tplc="B78C281A">
      <w:start w:val="1"/>
      <w:numFmt w:val="bullet"/>
      <w:lvlText w:val="o"/>
      <w:lvlJc w:val="left"/>
      <w:pPr>
        <w:ind w:left="3600" w:hanging="360"/>
      </w:pPr>
      <w:rPr>
        <w:rFonts w:ascii="Courier New" w:hAnsi="Courier New" w:hint="default"/>
      </w:rPr>
    </w:lvl>
    <w:lvl w:ilvl="5" w:tplc="C25A8B18">
      <w:start w:val="1"/>
      <w:numFmt w:val="bullet"/>
      <w:lvlText w:val=""/>
      <w:lvlJc w:val="left"/>
      <w:pPr>
        <w:ind w:left="4320" w:hanging="360"/>
      </w:pPr>
      <w:rPr>
        <w:rFonts w:ascii="Wingdings" w:hAnsi="Wingdings" w:hint="default"/>
      </w:rPr>
    </w:lvl>
    <w:lvl w:ilvl="6" w:tplc="B89A9AA8">
      <w:start w:val="1"/>
      <w:numFmt w:val="bullet"/>
      <w:lvlText w:val=""/>
      <w:lvlJc w:val="left"/>
      <w:pPr>
        <w:ind w:left="5040" w:hanging="360"/>
      </w:pPr>
      <w:rPr>
        <w:rFonts w:ascii="Symbol" w:hAnsi="Symbol" w:hint="default"/>
      </w:rPr>
    </w:lvl>
    <w:lvl w:ilvl="7" w:tplc="B4B0672C">
      <w:start w:val="1"/>
      <w:numFmt w:val="bullet"/>
      <w:lvlText w:val="o"/>
      <w:lvlJc w:val="left"/>
      <w:pPr>
        <w:ind w:left="5760" w:hanging="360"/>
      </w:pPr>
      <w:rPr>
        <w:rFonts w:ascii="Courier New" w:hAnsi="Courier New" w:hint="default"/>
      </w:rPr>
    </w:lvl>
    <w:lvl w:ilvl="8" w:tplc="6024C292">
      <w:start w:val="1"/>
      <w:numFmt w:val="bullet"/>
      <w:lvlText w:val=""/>
      <w:lvlJc w:val="left"/>
      <w:pPr>
        <w:ind w:left="6480" w:hanging="360"/>
      </w:pPr>
      <w:rPr>
        <w:rFonts w:ascii="Wingdings" w:hAnsi="Wingdings" w:hint="default"/>
      </w:rPr>
    </w:lvl>
  </w:abstractNum>
  <w:abstractNum w:abstractNumId="27" w15:restartNumberingAfterBreak="0">
    <w:nsid w:val="66402EE1"/>
    <w:multiLevelType w:val="hybridMultilevel"/>
    <w:tmpl w:val="EA463AAC"/>
    <w:lvl w:ilvl="0" w:tplc="68C2442A">
      <w:start w:val="1"/>
      <w:numFmt w:val="bullet"/>
      <w:lvlText w:val="-"/>
      <w:lvlJc w:val="left"/>
      <w:pPr>
        <w:ind w:left="720" w:hanging="360"/>
      </w:pPr>
      <w:rPr>
        <w:rFonts w:ascii="Calibri" w:hAnsi="Calibri" w:hint="default"/>
      </w:rPr>
    </w:lvl>
    <w:lvl w:ilvl="1" w:tplc="832EEA96">
      <w:start w:val="1"/>
      <w:numFmt w:val="bullet"/>
      <w:lvlText w:val="o"/>
      <w:lvlJc w:val="left"/>
      <w:pPr>
        <w:ind w:left="1440" w:hanging="360"/>
      </w:pPr>
      <w:rPr>
        <w:rFonts w:ascii="Courier New" w:hAnsi="Courier New" w:hint="default"/>
      </w:rPr>
    </w:lvl>
    <w:lvl w:ilvl="2" w:tplc="218C626C">
      <w:start w:val="1"/>
      <w:numFmt w:val="bullet"/>
      <w:lvlText w:val=""/>
      <w:lvlJc w:val="left"/>
      <w:pPr>
        <w:ind w:left="2160" w:hanging="360"/>
      </w:pPr>
      <w:rPr>
        <w:rFonts w:ascii="Wingdings" w:hAnsi="Wingdings" w:hint="default"/>
      </w:rPr>
    </w:lvl>
    <w:lvl w:ilvl="3" w:tplc="66B49BC4">
      <w:start w:val="1"/>
      <w:numFmt w:val="bullet"/>
      <w:lvlText w:val=""/>
      <w:lvlJc w:val="left"/>
      <w:pPr>
        <w:ind w:left="2880" w:hanging="360"/>
      </w:pPr>
      <w:rPr>
        <w:rFonts w:ascii="Symbol" w:hAnsi="Symbol" w:hint="default"/>
      </w:rPr>
    </w:lvl>
    <w:lvl w:ilvl="4" w:tplc="554E2634">
      <w:start w:val="1"/>
      <w:numFmt w:val="bullet"/>
      <w:lvlText w:val="o"/>
      <w:lvlJc w:val="left"/>
      <w:pPr>
        <w:ind w:left="3600" w:hanging="360"/>
      </w:pPr>
      <w:rPr>
        <w:rFonts w:ascii="Courier New" w:hAnsi="Courier New" w:hint="default"/>
      </w:rPr>
    </w:lvl>
    <w:lvl w:ilvl="5" w:tplc="204A36B2">
      <w:start w:val="1"/>
      <w:numFmt w:val="bullet"/>
      <w:lvlText w:val=""/>
      <w:lvlJc w:val="left"/>
      <w:pPr>
        <w:ind w:left="4320" w:hanging="360"/>
      </w:pPr>
      <w:rPr>
        <w:rFonts w:ascii="Wingdings" w:hAnsi="Wingdings" w:hint="default"/>
      </w:rPr>
    </w:lvl>
    <w:lvl w:ilvl="6" w:tplc="9D544532">
      <w:start w:val="1"/>
      <w:numFmt w:val="bullet"/>
      <w:lvlText w:val=""/>
      <w:lvlJc w:val="left"/>
      <w:pPr>
        <w:ind w:left="5040" w:hanging="360"/>
      </w:pPr>
      <w:rPr>
        <w:rFonts w:ascii="Symbol" w:hAnsi="Symbol" w:hint="default"/>
      </w:rPr>
    </w:lvl>
    <w:lvl w:ilvl="7" w:tplc="FDF2E354">
      <w:start w:val="1"/>
      <w:numFmt w:val="bullet"/>
      <w:lvlText w:val="o"/>
      <w:lvlJc w:val="left"/>
      <w:pPr>
        <w:ind w:left="5760" w:hanging="360"/>
      </w:pPr>
      <w:rPr>
        <w:rFonts w:ascii="Courier New" w:hAnsi="Courier New" w:hint="default"/>
      </w:rPr>
    </w:lvl>
    <w:lvl w:ilvl="8" w:tplc="A3EAED52">
      <w:start w:val="1"/>
      <w:numFmt w:val="bullet"/>
      <w:lvlText w:val=""/>
      <w:lvlJc w:val="left"/>
      <w:pPr>
        <w:ind w:left="6480" w:hanging="360"/>
      </w:pPr>
      <w:rPr>
        <w:rFonts w:ascii="Wingdings" w:hAnsi="Wingdings" w:hint="default"/>
      </w:rPr>
    </w:lvl>
  </w:abstractNum>
  <w:abstractNum w:abstractNumId="28" w15:restartNumberingAfterBreak="0">
    <w:nsid w:val="66A1F30D"/>
    <w:multiLevelType w:val="hybridMultilevel"/>
    <w:tmpl w:val="D35AD1BA"/>
    <w:lvl w:ilvl="0" w:tplc="FFFFFFFF">
      <w:start w:val="1"/>
      <w:numFmt w:val="bullet"/>
      <w:lvlText w:val=""/>
      <w:lvlJc w:val="left"/>
      <w:pPr>
        <w:ind w:left="720" w:hanging="360"/>
      </w:pPr>
      <w:rPr>
        <w:rFonts w:ascii="Symbol" w:hAnsi="Symbol" w:hint="default"/>
      </w:rPr>
    </w:lvl>
    <w:lvl w:ilvl="1" w:tplc="EBDA9F9C">
      <w:start w:val="1"/>
      <w:numFmt w:val="bullet"/>
      <w:lvlText w:val="o"/>
      <w:lvlJc w:val="left"/>
      <w:pPr>
        <w:ind w:left="1440" w:hanging="360"/>
      </w:pPr>
      <w:rPr>
        <w:rFonts w:ascii="Courier New" w:hAnsi="Courier New" w:hint="default"/>
      </w:rPr>
    </w:lvl>
    <w:lvl w:ilvl="2" w:tplc="BA4C6900">
      <w:start w:val="1"/>
      <w:numFmt w:val="bullet"/>
      <w:lvlText w:val=""/>
      <w:lvlJc w:val="left"/>
      <w:pPr>
        <w:ind w:left="2160" w:hanging="360"/>
      </w:pPr>
      <w:rPr>
        <w:rFonts w:ascii="Wingdings" w:hAnsi="Wingdings" w:hint="default"/>
      </w:rPr>
    </w:lvl>
    <w:lvl w:ilvl="3" w:tplc="86363BC2">
      <w:start w:val="1"/>
      <w:numFmt w:val="bullet"/>
      <w:lvlText w:val=""/>
      <w:lvlJc w:val="left"/>
      <w:pPr>
        <w:ind w:left="2880" w:hanging="360"/>
      </w:pPr>
      <w:rPr>
        <w:rFonts w:ascii="Symbol" w:hAnsi="Symbol" w:hint="default"/>
      </w:rPr>
    </w:lvl>
    <w:lvl w:ilvl="4" w:tplc="FB162310">
      <w:start w:val="1"/>
      <w:numFmt w:val="bullet"/>
      <w:lvlText w:val="o"/>
      <w:lvlJc w:val="left"/>
      <w:pPr>
        <w:ind w:left="3600" w:hanging="360"/>
      </w:pPr>
      <w:rPr>
        <w:rFonts w:ascii="Courier New" w:hAnsi="Courier New" w:hint="default"/>
      </w:rPr>
    </w:lvl>
    <w:lvl w:ilvl="5" w:tplc="641018CE">
      <w:start w:val="1"/>
      <w:numFmt w:val="bullet"/>
      <w:lvlText w:val=""/>
      <w:lvlJc w:val="left"/>
      <w:pPr>
        <w:ind w:left="4320" w:hanging="360"/>
      </w:pPr>
      <w:rPr>
        <w:rFonts w:ascii="Wingdings" w:hAnsi="Wingdings" w:hint="default"/>
      </w:rPr>
    </w:lvl>
    <w:lvl w:ilvl="6" w:tplc="D728A7BC">
      <w:start w:val="1"/>
      <w:numFmt w:val="bullet"/>
      <w:lvlText w:val=""/>
      <w:lvlJc w:val="left"/>
      <w:pPr>
        <w:ind w:left="5040" w:hanging="360"/>
      </w:pPr>
      <w:rPr>
        <w:rFonts w:ascii="Symbol" w:hAnsi="Symbol" w:hint="default"/>
      </w:rPr>
    </w:lvl>
    <w:lvl w:ilvl="7" w:tplc="492A33F2">
      <w:start w:val="1"/>
      <w:numFmt w:val="bullet"/>
      <w:lvlText w:val="o"/>
      <w:lvlJc w:val="left"/>
      <w:pPr>
        <w:ind w:left="5760" w:hanging="360"/>
      </w:pPr>
      <w:rPr>
        <w:rFonts w:ascii="Courier New" w:hAnsi="Courier New" w:hint="default"/>
      </w:rPr>
    </w:lvl>
    <w:lvl w:ilvl="8" w:tplc="12243236">
      <w:start w:val="1"/>
      <w:numFmt w:val="bullet"/>
      <w:lvlText w:val=""/>
      <w:lvlJc w:val="left"/>
      <w:pPr>
        <w:ind w:left="6480" w:hanging="360"/>
      </w:pPr>
      <w:rPr>
        <w:rFonts w:ascii="Wingdings" w:hAnsi="Wingdings" w:hint="default"/>
      </w:rPr>
    </w:lvl>
  </w:abstractNum>
  <w:abstractNum w:abstractNumId="29" w15:restartNumberingAfterBreak="0">
    <w:nsid w:val="66C20BF9"/>
    <w:multiLevelType w:val="hybridMultilevel"/>
    <w:tmpl w:val="3E187DA8"/>
    <w:lvl w:ilvl="0" w:tplc="18746C82">
      <w:start w:val="1"/>
      <w:numFmt w:val="bullet"/>
      <w:lvlText w:val=""/>
      <w:lvlJc w:val="left"/>
      <w:pPr>
        <w:ind w:left="720" w:hanging="360"/>
      </w:pPr>
      <w:rPr>
        <w:rFonts w:ascii="Symbol" w:hAnsi="Symbol" w:hint="default"/>
      </w:rPr>
    </w:lvl>
    <w:lvl w:ilvl="1" w:tplc="1BA4DF40">
      <w:start w:val="1"/>
      <w:numFmt w:val="bullet"/>
      <w:lvlText w:val="o"/>
      <w:lvlJc w:val="left"/>
      <w:pPr>
        <w:ind w:left="1440" w:hanging="360"/>
      </w:pPr>
      <w:rPr>
        <w:rFonts w:ascii="Courier New" w:hAnsi="Courier New" w:hint="default"/>
      </w:rPr>
    </w:lvl>
    <w:lvl w:ilvl="2" w:tplc="193C86DA">
      <w:start w:val="1"/>
      <w:numFmt w:val="bullet"/>
      <w:lvlText w:val=""/>
      <w:lvlJc w:val="left"/>
      <w:pPr>
        <w:ind w:left="2160" w:hanging="360"/>
      </w:pPr>
      <w:rPr>
        <w:rFonts w:ascii="Wingdings" w:hAnsi="Wingdings" w:hint="default"/>
      </w:rPr>
    </w:lvl>
    <w:lvl w:ilvl="3" w:tplc="CB6CA06A">
      <w:start w:val="1"/>
      <w:numFmt w:val="bullet"/>
      <w:lvlText w:val=""/>
      <w:lvlJc w:val="left"/>
      <w:pPr>
        <w:ind w:left="2880" w:hanging="360"/>
      </w:pPr>
      <w:rPr>
        <w:rFonts w:ascii="Symbol" w:hAnsi="Symbol" w:hint="default"/>
      </w:rPr>
    </w:lvl>
    <w:lvl w:ilvl="4" w:tplc="6D480638">
      <w:start w:val="1"/>
      <w:numFmt w:val="bullet"/>
      <w:lvlText w:val="o"/>
      <w:lvlJc w:val="left"/>
      <w:pPr>
        <w:ind w:left="3600" w:hanging="360"/>
      </w:pPr>
      <w:rPr>
        <w:rFonts w:ascii="Courier New" w:hAnsi="Courier New" w:hint="default"/>
      </w:rPr>
    </w:lvl>
    <w:lvl w:ilvl="5" w:tplc="E54E8B0A">
      <w:start w:val="1"/>
      <w:numFmt w:val="bullet"/>
      <w:lvlText w:val=""/>
      <w:lvlJc w:val="left"/>
      <w:pPr>
        <w:ind w:left="4320" w:hanging="360"/>
      </w:pPr>
      <w:rPr>
        <w:rFonts w:ascii="Wingdings" w:hAnsi="Wingdings" w:hint="default"/>
      </w:rPr>
    </w:lvl>
    <w:lvl w:ilvl="6" w:tplc="72EC2446">
      <w:start w:val="1"/>
      <w:numFmt w:val="bullet"/>
      <w:lvlText w:val=""/>
      <w:lvlJc w:val="left"/>
      <w:pPr>
        <w:ind w:left="5040" w:hanging="360"/>
      </w:pPr>
      <w:rPr>
        <w:rFonts w:ascii="Symbol" w:hAnsi="Symbol" w:hint="default"/>
      </w:rPr>
    </w:lvl>
    <w:lvl w:ilvl="7" w:tplc="06DA559A">
      <w:start w:val="1"/>
      <w:numFmt w:val="bullet"/>
      <w:lvlText w:val="o"/>
      <w:lvlJc w:val="left"/>
      <w:pPr>
        <w:ind w:left="5760" w:hanging="360"/>
      </w:pPr>
      <w:rPr>
        <w:rFonts w:ascii="Courier New" w:hAnsi="Courier New" w:hint="default"/>
      </w:rPr>
    </w:lvl>
    <w:lvl w:ilvl="8" w:tplc="5840FE0C">
      <w:start w:val="1"/>
      <w:numFmt w:val="bullet"/>
      <w:lvlText w:val=""/>
      <w:lvlJc w:val="left"/>
      <w:pPr>
        <w:ind w:left="6480" w:hanging="360"/>
      </w:pPr>
      <w:rPr>
        <w:rFonts w:ascii="Wingdings" w:hAnsi="Wingdings" w:hint="default"/>
      </w:rPr>
    </w:lvl>
  </w:abstractNum>
  <w:abstractNum w:abstractNumId="30" w15:restartNumberingAfterBreak="0">
    <w:nsid w:val="67D04050"/>
    <w:multiLevelType w:val="hybridMultilevel"/>
    <w:tmpl w:val="5B8EACB6"/>
    <w:lvl w:ilvl="0" w:tplc="512A0BAE">
      <w:start w:val="1"/>
      <w:numFmt w:val="bullet"/>
      <w:lvlText w:val=""/>
      <w:lvlJc w:val="left"/>
      <w:pPr>
        <w:ind w:left="720" w:hanging="360"/>
      </w:pPr>
      <w:rPr>
        <w:rFonts w:ascii="Symbol" w:hAnsi="Symbol" w:hint="default"/>
      </w:rPr>
    </w:lvl>
    <w:lvl w:ilvl="1" w:tplc="5B3A3B5C">
      <w:start w:val="1"/>
      <w:numFmt w:val="bullet"/>
      <w:lvlText w:val="o"/>
      <w:lvlJc w:val="left"/>
      <w:pPr>
        <w:ind w:left="1440" w:hanging="360"/>
      </w:pPr>
      <w:rPr>
        <w:rFonts w:ascii="Courier New" w:hAnsi="Courier New" w:hint="default"/>
      </w:rPr>
    </w:lvl>
    <w:lvl w:ilvl="2" w:tplc="B53C2D1A">
      <w:start w:val="1"/>
      <w:numFmt w:val="bullet"/>
      <w:lvlText w:val=""/>
      <w:lvlJc w:val="left"/>
      <w:pPr>
        <w:ind w:left="2160" w:hanging="360"/>
      </w:pPr>
      <w:rPr>
        <w:rFonts w:ascii="Wingdings" w:hAnsi="Wingdings" w:hint="default"/>
      </w:rPr>
    </w:lvl>
    <w:lvl w:ilvl="3" w:tplc="A3B62F3A">
      <w:start w:val="1"/>
      <w:numFmt w:val="bullet"/>
      <w:lvlText w:val=""/>
      <w:lvlJc w:val="left"/>
      <w:pPr>
        <w:ind w:left="2880" w:hanging="360"/>
      </w:pPr>
      <w:rPr>
        <w:rFonts w:ascii="Symbol" w:hAnsi="Symbol" w:hint="default"/>
      </w:rPr>
    </w:lvl>
    <w:lvl w:ilvl="4" w:tplc="4614E13E">
      <w:start w:val="1"/>
      <w:numFmt w:val="bullet"/>
      <w:lvlText w:val="o"/>
      <w:lvlJc w:val="left"/>
      <w:pPr>
        <w:ind w:left="3600" w:hanging="360"/>
      </w:pPr>
      <w:rPr>
        <w:rFonts w:ascii="Courier New" w:hAnsi="Courier New" w:hint="default"/>
      </w:rPr>
    </w:lvl>
    <w:lvl w:ilvl="5" w:tplc="99B6607E">
      <w:start w:val="1"/>
      <w:numFmt w:val="bullet"/>
      <w:lvlText w:val=""/>
      <w:lvlJc w:val="left"/>
      <w:pPr>
        <w:ind w:left="4320" w:hanging="360"/>
      </w:pPr>
      <w:rPr>
        <w:rFonts w:ascii="Wingdings" w:hAnsi="Wingdings" w:hint="default"/>
      </w:rPr>
    </w:lvl>
    <w:lvl w:ilvl="6" w:tplc="465A7AC8">
      <w:start w:val="1"/>
      <w:numFmt w:val="bullet"/>
      <w:lvlText w:val=""/>
      <w:lvlJc w:val="left"/>
      <w:pPr>
        <w:ind w:left="5040" w:hanging="360"/>
      </w:pPr>
      <w:rPr>
        <w:rFonts w:ascii="Symbol" w:hAnsi="Symbol" w:hint="default"/>
      </w:rPr>
    </w:lvl>
    <w:lvl w:ilvl="7" w:tplc="AE1037EA">
      <w:start w:val="1"/>
      <w:numFmt w:val="bullet"/>
      <w:lvlText w:val="o"/>
      <w:lvlJc w:val="left"/>
      <w:pPr>
        <w:ind w:left="5760" w:hanging="360"/>
      </w:pPr>
      <w:rPr>
        <w:rFonts w:ascii="Courier New" w:hAnsi="Courier New" w:hint="default"/>
      </w:rPr>
    </w:lvl>
    <w:lvl w:ilvl="8" w:tplc="73B2155C">
      <w:start w:val="1"/>
      <w:numFmt w:val="bullet"/>
      <w:lvlText w:val=""/>
      <w:lvlJc w:val="left"/>
      <w:pPr>
        <w:ind w:left="6480" w:hanging="360"/>
      </w:pPr>
      <w:rPr>
        <w:rFonts w:ascii="Wingdings" w:hAnsi="Wingdings" w:hint="default"/>
      </w:rPr>
    </w:lvl>
  </w:abstractNum>
  <w:abstractNum w:abstractNumId="31" w15:restartNumberingAfterBreak="0">
    <w:nsid w:val="67FCEF53"/>
    <w:multiLevelType w:val="hybridMultilevel"/>
    <w:tmpl w:val="65422354"/>
    <w:lvl w:ilvl="0" w:tplc="BDEEF966">
      <w:start w:val="1"/>
      <w:numFmt w:val="bullet"/>
      <w:lvlText w:val=""/>
      <w:lvlJc w:val="left"/>
      <w:pPr>
        <w:ind w:left="720" w:hanging="360"/>
      </w:pPr>
      <w:rPr>
        <w:rFonts w:ascii="Symbol" w:hAnsi="Symbol" w:hint="default"/>
      </w:rPr>
    </w:lvl>
    <w:lvl w:ilvl="1" w:tplc="855E0E46">
      <w:start w:val="1"/>
      <w:numFmt w:val="bullet"/>
      <w:lvlText w:val="o"/>
      <w:lvlJc w:val="left"/>
      <w:pPr>
        <w:ind w:left="1440" w:hanging="360"/>
      </w:pPr>
      <w:rPr>
        <w:rFonts w:ascii="Courier New" w:hAnsi="Courier New" w:hint="default"/>
      </w:rPr>
    </w:lvl>
    <w:lvl w:ilvl="2" w:tplc="E5F0D152">
      <w:start w:val="1"/>
      <w:numFmt w:val="bullet"/>
      <w:lvlText w:val=""/>
      <w:lvlJc w:val="left"/>
      <w:pPr>
        <w:ind w:left="2160" w:hanging="360"/>
      </w:pPr>
      <w:rPr>
        <w:rFonts w:ascii="Wingdings" w:hAnsi="Wingdings" w:hint="default"/>
      </w:rPr>
    </w:lvl>
    <w:lvl w:ilvl="3" w:tplc="DAACBB9E">
      <w:start w:val="1"/>
      <w:numFmt w:val="bullet"/>
      <w:lvlText w:val=""/>
      <w:lvlJc w:val="left"/>
      <w:pPr>
        <w:ind w:left="2880" w:hanging="360"/>
      </w:pPr>
      <w:rPr>
        <w:rFonts w:ascii="Symbol" w:hAnsi="Symbol" w:hint="default"/>
      </w:rPr>
    </w:lvl>
    <w:lvl w:ilvl="4" w:tplc="45E25CCE">
      <w:start w:val="1"/>
      <w:numFmt w:val="bullet"/>
      <w:lvlText w:val="o"/>
      <w:lvlJc w:val="left"/>
      <w:pPr>
        <w:ind w:left="3600" w:hanging="360"/>
      </w:pPr>
      <w:rPr>
        <w:rFonts w:ascii="Courier New" w:hAnsi="Courier New" w:hint="default"/>
      </w:rPr>
    </w:lvl>
    <w:lvl w:ilvl="5" w:tplc="B1D2335A">
      <w:start w:val="1"/>
      <w:numFmt w:val="bullet"/>
      <w:lvlText w:val=""/>
      <w:lvlJc w:val="left"/>
      <w:pPr>
        <w:ind w:left="4320" w:hanging="360"/>
      </w:pPr>
      <w:rPr>
        <w:rFonts w:ascii="Wingdings" w:hAnsi="Wingdings" w:hint="default"/>
      </w:rPr>
    </w:lvl>
    <w:lvl w:ilvl="6" w:tplc="8A7089D4">
      <w:start w:val="1"/>
      <w:numFmt w:val="bullet"/>
      <w:lvlText w:val=""/>
      <w:lvlJc w:val="left"/>
      <w:pPr>
        <w:ind w:left="5040" w:hanging="360"/>
      </w:pPr>
      <w:rPr>
        <w:rFonts w:ascii="Symbol" w:hAnsi="Symbol" w:hint="default"/>
      </w:rPr>
    </w:lvl>
    <w:lvl w:ilvl="7" w:tplc="35346FC8">
      <w:start w:val="1"/>
      <w:numFmt w:val="bullet"/>
      <w:lvlText w:val="o"/>
      <w:lvlJc w:val="left"/>
      <w:pPr>
        <w:ind w:left="5760" w:hanging="360"/>
      </w:pPr>
      <w:rPr>
        <w:rFonts w:ascii="Courier New" w:hAnsi="Courier New" w:hint="default"/>
      </w:rPr>
    </w:lvl>
    <w:lvl w:ilvl="8" w:tplc="C2445232">
      <w:start w:val="1"/>
      <w:numFmt w:val="bullet"/>
      <w:lvlText w:val=""/>
      <w:lvlJc w:val="left"/>
      <w:pPr>
        <w:ind w:left="6480" w:hanging="360"/>
      </w:pPr>
      <w:rPr>
        <w:rFonts w:ascii="Wingdings" w:hAnsi="Wingdings" w:hint="default"/>
      </w:rPr>
    </w:lvl>
  </w:abstractNum>
  <w:abstractNum w:abstractNumId="32" w15:restartNumberingAfterBreak="0">
    <w:nsid w:val="6D47066F"/>
    <w:multiLevelType w:val="hybridMultilevel"/>
    <w:tmpl w:val="D9DEB8AE"/>
    <w:lvl w:ilvl="0" w:tplc="89A04F40">
      <w:start w:val="1"/>
      <w:numFmt w:val="bullet"/>
      <w:lvlText w:val="-"/>
      <w:lvlJc w:val="left"/>
      <w:pPr>
        <w:ind w:left="720" w:hanging="360"/>
      </w:pPr>
      <w:rPr>
        <w:rFonts w:ascii="Calibri" w:hAnsi="Calibri" w:hint="default"/>
      </w:rPr>
    </w:lvl>
    <w:lvl w:ilvl="1" w:tplc="9B104A42">
      <w:start w:val="1"/>
      <w:numFmt w:val="bullet"/>
      <w:lvlText w:val="o"/>
      <w:lvlJc w:val="left"/>
      <w:pPr>
        <w:ind w:left="1440" w:hanging="360"/>
      </w:pPr>
      <w:rPr>
        <w:rFonts w:ascii="Courier New" w:hAnsi="Courier New" w:hint="default"/>
      </w:rPr>
    </w:lvl>
    <w:lvl w:ilvl="2" w:tplc="5F0A82C0">
      <w:start w:val="1"/>
      <w:numFmt w:val="bullet"/>
      <w:lvlText w:val=""/>
      <w:lvlJc w:val="left"/>
      <w:pPr>
        <w:ind w:left="2160" w:hanging="360"/>
      </w:pPr>
      <w:rPr>
        <w:rFonts w:ascii="Wingdings" w:hAnsi="Wingdings" w:hint="default"/>
      </w:rPr>
    </w:lvl>
    <w:lvl w:ilvl="3" w:tplc="5D5E6370">
      <w:start w:val="1"/>
      <w:numFmt w:val="bullet"/>
      <w:lvlText w:val=""/>
      <w:lvlJc w:val="left"/>
      <w:pPr>
        <w:ind w:left="2880" w:hanging="360"/>
      </w:pPr>
      <w:rPr>
        <w:rFonts w:ascii="Symbol" w:hAnsi="Symbol" w:hint="default"/>
      </w:rPr>
    </w:lvl>
    <w:lvl w:ilvl="4" w:tplc="57303ED0">
      <w:start w:val="1"/>
      <w:numFmt w:val="bullet"/>
      <w:lvlText w:val="o"/>
      <w:lvlJc w:val="left"/>
      <w:pPr>
        <w:ind w:left="3600" w:hanging="360"/>
      </w:pPr>
      <w:rPr>
        <w:rFonts w:ascii="Courier New" w:hAnsi="Courier New" w:hint="default"/>
      </w:rPr>
    </w:lvl>
    <w:lvl w:ilvl="5" w:tplc="0FD0FD60">
      <w:start w:val="1"/>
      <w:numFmt w:val="bullet"/>
      <w:lvlText w:val=""/>
      <w:lvlJc w:val="left"/>
      <w:pPr>
        <w:ind w:left="4320" w:hanging="360"/>
      </w:pPr>
      <w:rPr>
        <w:rFonts w:ascii="Wingdings" w:hAnsi="Wingdings" w:hint="default"/>
      </w:rPr>
    </w:lvl>
    <w:lvl w:ilvl="6" w:tplc="0C9AEF84">
      <w:start w:val="1"/>
      <w:numFmt w:val="bullet"/>
      <w:lvlText w:val=""/>
      <w:lvlJc w:val="left"/>
      <w:pPr>
        <w:ind w:left="5040" w:hanging="360"/>
      </w:pPr>
      <w:rPr>
        <w:rFonts w:ascii="Symbol" w:hAnsi="Symbol" w:hint="default"/>
      </w:rPr>
    </w:lvl>
    <w:lvl w:ilvl="7" w:tplc="4F98EA56">
      <w:start w:val="1"/>
      <w:numFmt w:val="bullet"/>
      <w:lvlText w:val="o"/>
      <w:lvlJc w:val="left"/>
      <w:pPr>
        <w:ind w:left="5760" w:hanging="360"/>
      </w:pPr>
      <w:rPr>
        <w:rFonts w:ascii="Courier New" w:hAnsi="Courier New" w:hint="default"/>
      </w:rPr>
    </w:lvl>
    <w:lvl w:ilvl="8" w:tplc="7A34B1F0">
      <w:start w:val="1"/>
      <w:numFmt w:val="bullet"/>
      <w:lvlText w:val=""/>
      <w:lvlJc w:val="left"/>
      <w:pPr>
        <w:ind w:left="6480" w:hanging="360"/>
      </w:pPr>
      <w:rPr>
        <w:rFonts w:ascii="Wingdings" w:hAnsi="Wingdings" w:hint="default"/>
      </w:rPr>
    </w:lvl>
  </w:abstractNum>
  <w:abstractNum w:abstractNumId="33" w15:restartNumberingAfterBreak="0">
    <w:nsid w:val="723994DC"/>
    <w:multiLevelType w:val="hybridMultilevel"/>
    <w:tmpl w:val="C0701C42"/>
    <w:lvl w:ilvl="0" w:tplc="77743870">
      <w:start w:val="1"/>
      <w:numFmt w:val="bullet"/>
      <w:lvlText w:val=""/>
      <w:lvlJc w:val="left"/>
      <w:pPr>
        <w:ind w:left="720" w:hanging="360"/>
      </w:pPr>
      <w:rPr>
        <w:rFonts w:ascii="Symbol" w:hAnsi="Symbol" w:hint="default"/>
      </w:rPr>
    </w:lvl>
    <w:lvl w:ilvl="1" w:tplc="93DA856C">
      <w:start w:val="1"/>
      <w:numFmt w:val="bullet"/>
      <w:lvlText w:val="o"/>
      <w:lvlJc w:val="left"/>
      <w:pPr>
        <w:ind w:left="1440" w:hanging="360"/>
      </w:pPr>
      <w:rPr>
        <w:rFonts w:ascii="Courier New" w:hAnsi="Courier New" w:hint="default"/>
      </w:rPr>
    </w:lvl>
    <w:lvl w:ilvl="2" w:tplc="1E8C26C8">
      <w:start w:val="1"/>
      <w:numFmt w:val="bullet"/>
      <w:lvlText w:val=""/>
      <w:lvlJc w:val="left"/>
      <w:pPr>
        <w:ind w:left="2160" w:hanging="360"/>
      </w:pPr>
      <w:rPr>
        <w:rFonts w:ascii="Wingdings" w:hAnsi="Wingdings" w:hint="default"/>
      </w:rPr>
    </w:lvl>
    <w:lvl w:ilvl="3" w:tplc="1FB250D4">
      <w:start w:val="1"/>
      <w:numFmt w:val="bullet"/>
      <w:lvlText w:val=""/>
      <w:lvlJc w:val="left"/>
      <w:pPr>
        <w:ind w:left="2880" w:hanging="360"/>
      </w:pPr>
      <w:rPr>
        <w:rFonts w:ascii="Symbol" w:hAnsi="Symbol" w:hint="default"/>
      </w:rPr>
    </w:lvl>
    <w:lvl w:ilvl="4" w:tplc="574C74FE">
      <w:start w:val="1"/>
      <w:numFmt w:val="bullet"/>
      <w:lvlText w:val="o"/>
      <w:lvlJc w:val="left"/>
      <w:pPr>
        <w:ind w:left="3600" w:hanging="360"/>
      </w:pPr>
      <w:rPr>
        <w:rFonts w:ascii="Courier New" w:hAnsi="Courier New" w:hint="default"/>
      </w:rPr>
    </w:lvl>
    <w:lvl w:ilvl="5" w:tplc="A2DEB2EA">
      <w:start w:val="1"/>
      <w:numFmt w:val="bullet"/>
      <w:lvlText w:val=""/>
      <w:lvlJc w:val="left"/>
      <w:pPr>
        <w:ind w:left="4320" w:hanging="360"/>
      </w:pPr>
      <w:rPr>
        <w:rFonts w:ascii="Wingdings" w:hAnsi="Wingdings" w:hint="default"/>
      </w:rPr>
    </w:lvl>
    <w:lvl w:ilvl="6" w:tplc="568E0B06">
      <w:start w:val="1"/>
      <w:numFmt w:val="bullet"/>
      <w:lvlText w:val=""/>
      <w:lvlJc w:val="left"/>
      <w:pPr>
        <w:ind w:left="5040" w:hanging="360"/>
      </w:pPr>
      <w:rPr>
        <w:rFonts w:ascii="Symbol" w:hAnsi="Symbol" w:hint="default"/>
      </w:rPr>
    </w:lvl>
    <w:lvl w:ilvl="7" w:tplc="6A362E10">
      <w:start w:val="1"/>
      <w:numFmt w:val="bullet"/>
      <w:lvlText w:val="o"/>
      <w:lvlJc w:val="left"/>
      <w:pPr>
        <w:ind w:left="5760" w:hanging="360"/>
      </w:pPr>
      <w:rPr>
        <w:rFonts w:ascii="Courier New" w:hAnsi="Courier New" w:hint="default"/>
      </w:rPr>
    </w:lvl>
    <w:lvl w:ilvl="8" w:tplc="8C341AEA">
      <w:start w:val="1"/>
      <w:numFmt w:val="bullet"/>
      <w:lvlText w:val=""/>
      <w:lvlJc w:val="left"/>
      <w:pPr>
        <w:ind w:left="6480" w:hanging="360"/>
      </w:pPr>
      <w:rPr>
        <w:rFonts w:ascii="Wingdings" w:hAnsi="Wingdings" w:hint="default"/>
      </w:rPr>
    </w:lvl>
  </w:abstractNum>
  <w:abstractNum w:abstractNumId="34" w15:restartNumberingAfterBreak="0">
    <w:nsid w:val="74C36E9D"/>
    <w:multiLevelType w:val="hybridMultilevel"/>
    <w:tmpl w:val="A0A6A42E"/>
    <w:lvl w:ilvl="0" w:tplc="F2E00784">
      <w:start w:val="1"/>
      <w:numFmt w:val="bullet"/>
      <w:lvlText w:val=""/>
      <w:lvlJc w:val="left"/>
      <w:pPr>
        <w:ind w:left="720" w:hanging="360"/>
      </w:pPr>
      <w:rPr>
        <w:rFonts w:ascii="Symbol" w:hAnsi="Symbol" w:hint="default"/>
      </w:rPr>
    </w:lvl>
    <w:lvl w:ilvl="1" w:tplc="AA20224C">
      <w:start w:val="1"/>
      <w:numFmt w:val="bullet"/>
      <w:lvlText w:val="o"/>
      <w:lvlJc w:val="left"/>
      <w:pPr>
        <w:ind w:left="1440" w:hanging="360"/>
      </w:pPr>
      <w:rPr>
        <w:rFonts w:ascii="Courier New" w:hAnsi="Courier New" w:hint="default"/>
      </w:rPr>
    </w:lvl>
    <w:lvl w:ilvl="2" w:tplc="2188AA46">
      <w:start w:val="1"/>
      <w:numFmt w:val="bullet"/>
      <w:lvlText w:val=""/>
      <w:lvlJc w:val="left"/>
      <w:pPr>
        <w:ind w:left="2160" w:hanging="360"/>
      </w:pPr>
      <w:rPr>
        <w:rFonts w:ascii="Wingdings" w:hAnsi="Wingdings" w:hint="default"/>
      </w:rPr>
    </w:lvl>
    <w:lvl w:ilvl="3" w:tplc="CE901C16">
      <w:start w:val="1"/>
      <w:numFmt w:val="bullet"/>
      <w:lvlText w:val=""/>
      <w:lvlJc w:val="left"/>
      <w:pPr>
        <w:ind w:left="2880" w:hanging="360"/>
      </w:pPr>
      <w:rPr>
        <w:rFonts w:ascii="Symbol" w:hAnsi="Symbol" w:hint="default"/>
      </w:rPr>
    </w:lvl>
    <w:lvl w:ilvl="4" w:tplc="B8B0CD70">
      <w:start w:val="1"/>
      <w:numFmt w:val="bullet"/>
      <w:lvlText w:val="o"/>
      <w:lvlJc w:val="left"/>
      <w:pPr>
        <w:ind w:left="3600" w:hanging="360"/>
      </w:pPr>
      <w:rPr>
        <w:rFonts w:ascii="Courier New" w:hAnsi="Courier New" w:hint="default"/>
      </w:rPr>
    </w:lvl>
    <w:lvl w:ilvl="5" w:tplc="EC2CD61A">
      <w:start w:val="1"/>
      <w:numFmt w:val="bullet"/>
      <w:lvlText w:val=""/>
      <w:lvlJc w:val="left"/>
      <w:pPr>
        <w:ind w:left="4320" w:hanging="360"/>
      </w:pPr>
      <w:rPr>
        <w:rFonts w:ascii="Wingdings" w:hAnsi="Wingdings" w:hint="default"/>
      </w:rPr>
    </w:lvl>
    <w:lvl w:ilvl="6" w:tplc="264EF3DA">
      <w:start w:val="1"/>
      <w:numFmt w:val="bullet"/>
      <w:lvlText w:val=""/>
      <w:lvlJc w:val="left"/>
      <w:pPr>
        <w:ind w:left="5040" w:hanging="360"/>
      </w:pPr>
      <w:rPr>
        <w:rFonts w:ascii="Symbol" w:hAnsi="Symbol" w:hint="default"/>
      </w:rPr>
    </w:lvl>
    <w:lvl w:ilvl="7" w:tplc="8AB00468">
      <w:start w:val="1"/>
      <w:numFmt w:val="bullet"/>
      <w:lvlText w:val="o"/>
      <w:lvlJc w:val="left"/>
      <w:pPr>
        <w:ind w:left="5760" w:hanging="360"/>
      </w:pPr>
      <w:rPr>
        <w:rFonts w:ascii="Courier New" w:hAnsi="Courier New" w:hint="default"/>
      </w:rPr>
    </w:lvl>
    <w:lvl w:ilvl="8" w:tplc="7FFAFB66">
      <w:start w:val="1"/>
      <w:numFmt w:val="bullet"/>
      <w:lvlText w:val=""/>
      <w:lvlJc w:val="left"/>
      <w:pPr>
        <w:ind w:left="6480" w:hanging="360"/>
      </w:pPr>
      <w:rPr>
        <w:rFonts w:ascii="Wingdings" w:hAnsi="Wingdings" w:hint="default"/>
      </w:rPr>
    </w:lvl>
  </w:abstractNum>
  <w:abstractNum w:abstractNumId="35" w15:restartNumberingAfterBreak="0">
    <w:nsid w:val="75610F45"/>
    <w:multiLevelType w:val="hybridMultilevel"/>
    <w:tmpl w:val="A1A0F958"/>
    <w:lvl w:ilvl="0" w:tplc="4BCADD5E">
      <w:start w:val="1"/>
      <w:numFmt w:val="bullet"/>
      <w:lvlText w:val=""/>
      <w:lvlJc w:val="left"/>
      <w:pPr>
        <w:ind w:left="720" w:hanging="360"/>
      </w:pPr>
      <w:rPr>
        <w:rFonts w:ascii="Symbol" w:hAnsi="Symbol" w:hint="default"/>
      </w:rPr>
    </w:lvl>
    <w:lvl w:ilvl="1" w:tplc="0B983FF2">
      <w:start w:val="1"/>
      <w:numFmt w:val="bullet"/>
      <w:lvlText w:val="o"/>
      <w:lvlJc w:val="left"/>
      <w:pPr>
        <w:ind w:left="1485" w:hanging="360"/>
      </w:pPr>
      <w:rPr>
        <w:rFonts w:ascii="Courier New" w:hAnsi="Courier New" w:hint="default"/>
      </w:rPr>
    </w:lvl>
    <w:lvl w:ilvl="2" w:tplc="9D7636AA">
      <w:start w:val="1"/>
      <w:numFmt w:val="bullet"/>
      <w:lvlText w:val=""/>
      <w:lvlJc w:val="left"/>
      <w:pPr>
        <w:ind w:left="2205" w:hanging="360"/>
      </w:pPr>
      <w:rPr>
        <w:rFonts w:ascii="Courier New" w:hAnsi="Courier New" w:hint="default"/>
      </w:rPr>
    </w:lvl>
    <w:lvl w:ilvl="3" w:tplc="90605A84">
      <w:start w:val="1"/>
      <w:numFmt w:val="bullet"/>
      <w:lvlText w:val=""/>
      <w:lvlJc w:val="left"/>
      <w:pPr>
        <w:ind w:left="2880" w:hanging="360"/>
      </w:pPr>
      <w:rPr>
        <w:rFonts w:ascii="Symbol" w:hAnsi="Symbol" w:hint="default"/>
      </w:rPr>
    </w:lvl>
    <w:lvl w:ilvl="4" w:tplc="14848BEC">
      <w:start w:val="1"/>
      <w:numFmt w:val="bullet"/>
      <w:lvlText w:val="o"/>
      <w:lvlJc w:val="left"/>
      <w:pPr>
        <w:ind w:left="3600" w:hanging="360"/>
      </w:pPr>
      <w:rPr>
        <w:rFonts w:ascii="Courier New" w:hAnsi="Courier New" w:hint="default"/>
      </w:rPr>
    </w:lvl>
    <w:lvl w:ilvl="5" w:tplc="86167B9E">
      <w:start w:val="1"/>
      <w:numFmt w:val="bullet"/>
      <w:lvlText w:val=""/>
      <w:lvlJc w:val="left"/>
      <w:pPr>
        <w:ind w:left="4320" w:hanging="360"/>
      </w:pPr>
      <w:rPr>
        <w:rFonts w:ascii="Wingdings" w:hAnsi="Wingdings" w:hint="default"/>
      </w:rPr>
    </w:lvl>
    <w:lvl w:ilvl="6" w:tplc="D800EF82">
      <w:start w:val="1"/>
      <w:numFmt w:val="bullet"/>
      <w:lvlText w:val=""/>
      <w:lvlJc w:val="left"/>
      <w:pPr>
        <w:ind w:left="5040" w:hanging="360"/>
      </w:pPr>
      <w:rPr>
        <w:rFonts w:ascii="Symbol" w:hAnsi="Symbol" w:hint="default"/>
      </w:rPr>
    </w:lvl>
    <w:lvl w:ilvl="7" w:tplc="E8FC936C">
      <w:start w:val="1"/>
      <w:numFmt w:val="bullet"/>
      <w:lvlText w:val="o"/>
      <w:lvlJc w:val="left"/>
      <w:pPr>
        <w:ind w:left="5760" w:hanging="360"/>
      </w:pPr>
      <w:rPr>
        <w:rFonts w:ascii="Courier New" w:hAnsi="Courier New" w:hint="default"/>
      </w:rPr>
    </w:lvl>
    <w:lvl w:ilvl="8" w:tplc="300E15A4">
      <w:start w:val="1"/>
      <w:numFmt w:val="bullet"/>
      <w:lvlText w:val=""/>
      <w:lvlJc w:val="left"/>
      <w:pPr>
        <w:ind w:left="6480" w:hanging="360"/>
      </w:pPr>
      <w:rPr>
        <w:rFonts w:ascii="Wingdings" w:hAnsi="Wingdings" w:hint="default"/>
      </w:rPr>
    </w:lvl>
  </w:abstractNum>
  <w:abstractNum w:abstractNumId="36" w15:restartNumberingAfterBreak="0">
    <w:nsid w:val="789A59BC"/>
    <w:multiLevelType w:val="hybridMultilevel"/>
    <w:tmpl w:val="C780F05A"/>
    <w:lvl w:ilvl="0" w:tplc="436C009E">
      <w:start w:val="1"/>
      <w:numFmt w:val="bullet"/>
      <w:lvlText w:val=""/>
      <w:lvlJc w:val="left"/>
      <w:pPr>
        <w:ind w:left="720" w:hanging="360"/>
      </w:pPr>
      <w:rPr>
        <w:rFonts w:ascii="Symbol" w:hAnsi="Symbol" w:hint="default"/>
      </w:rPr>
    </w:lvl>
    <w:lvl w:ilvl="1" w:tplc="EA94C61A">
      <w:start w:val="1"/>
      <w:numFmt w:val="bullet"/>
      <w:lvlText w:val="o"/>
      <w:lvlJc w:val="left"/>
      <w:pPr>
        <w:ind w:left="1440" w:hanging="360"/>
      </w:pPr>
      <w:rPr>
        <w:rFonts w:ascii="Courier New" w:hAnsi="Courier New" w:hint="default"/>
      </w:rPr>
    </w:lvl>
    <w:lvl w:ilvl="2" w:tplc="6EE6099E">
      <w:start w:val="1"/>
      <w:numFmt w:val="bullet"/>
      <w:lvlText w:val=""/>
      <w:lvlJc w:val="left"/>
      <w:pPr>
        <w:ind w:left="2160" w:hanging="360"/>
      </w:pPr>
      <w:rPr>
        <w:rFonts w:ascii="Wingdings" w:hAnsi="Wingdings" w:hint="default"/>
      </w:rPr>
    </w:lvl>
    <w:lvl w:ilvl="3" w:tplc="3A4AB51C">
      <w:start w:val="1"/>
      <w:numFmt w:val="bullet"/>
      <w:lvlText w:val=""/>
      <w:lvlJc w:val="left"/>
      <w:pPr>
        <w:ind w:left="2880" w:hanging="360"/>
      </w:pPr>
      <w:rPr>
        <w:rFonts w:ascii="Symbol" w:hAnsi="Symbol" w:hint="default"/>
      </w:rPr>
    </w:lvl>
    <w:lvl w:ilvl="4" w:tplc="A2CAAC50">
      <w:start w:val="1"/>
      <w:numFmt w:val="bullet"/>
      <w:lvlText w:val="o"/>
      <w:lvlJc w:val="left"/>
      <w:pPr>
        <w:ind w:left="3600" w:hanging="360"/>
      </w:pPr>
      <w:rPr>
        <w:rFonts w:ascii="Courier New" w:hAnsi="Courier New" w:hint="default"/>
      </w:rPr>
    </w:lvl>
    <w:lvl w:ilvl="5" w:tplc="113EB2F6">
      <w:start w:val="1"/>
      <w:numFmt w:val="bullet"/>
      <w:lvlText w:val=""/>
      <w:lvlJc w:val="left"/>
      <w:pPr>
        <w:ind w:left="4320" w:hanging="360"/>
      </w:pPr>
      <w:rPr>
        <w:rFonts w:ascii="Wingdings" w:hAnsi="Wingdings" w:hint="default"/>
      </w:rPr>
    </w:lvl>
    <w:lvl w:ilvl="6" w:tplc="FE7C7E1E">
      <w:start w:val="1"/>
      <w:numFmt w:val="bullet"/>
      <w:lvlText w:val=""/>
      <w:lvlJc w:val="left"/>
      <w:pPr>
        <w:ind w:left="5040" w:hanging="360"/>
      </w:pPr>
      <w:rPr>
        <w:rFonts w:ascii="Symbol" w:hAnsi="Symbol" w:hint="default"/>
      </w:rPr>
    </w:lvl>
    <w:lvl w:ilvl="7" w:tplc="AF0CEC7A">
      <w:start w:val="1"/>
      <w:numFmt w:val="bullet"/>
      <w:lvlText w:val="o"/>
      <w:lvlJc w:val="left"/>
      <w:pPr>
        <w:ind w:left="5760" w:hanging="360"/>
      </w:pPr>
      <w:rPr>
        <w:rFonts w:ascii="Courier New" w:hAnsi="Courier New" w:hint="default"/>
      </w:rPr>
    </w:lvl>
    <w:lvl w:ilvl="8" w:tplc="8CDA1D04">
      <w:start w:val="1"/>
      <w:numFmt w:val="bullet"/>
      <w:lvlText w:val=""/>
      <w:lvlJc w:val="left"/>
      <w:pPr>
        <w:ind w:left="6480" w:hanging="360"/>
      </w:pPr>
      <w:rPr>
        <w:rFonts w:ascii="Wingdings" w:hAnsi="Wingdings" w:hint="default"/>
      </w:rPr>
    </w:lvl>
  </w:abstractNum>
  <w:abstractNum w:abstractNumId="37" w15:restartNumberingAfterBreak="0">
    <w:nsid w:val="7C4BFD3C"/>
    <w:multiLevelType w:val="hybridMultilevel"/>
    <w:tmpl w:val="C8F01450"/>
    <w:lvl w:ilvl="0" w:tplc="92D0D608">
      <w:start w:val="1"/>
      <w:numFmt w:val="bullet"/>
      <w:lvlText w:val=""/>
      <w:lvlJc w:val="left"/>
      <w:pPr>
        <w:ind w:left="720" w:hanging="360"/>
      </w:pPr>
      <w:rPr>
        <w:rFonts w:ascii="Symbol" w:hAnsi="Symbol" w:hint="default"/>
      </w:rPr>
    </w:lvl>
    <w:lvl w:ilvl="1" w:tplc="9DBA7FCA">
      <w:start w:val="1"/>
      <w:numFmt w:val="bullet"/>
      <w:lvlText w:val="o"/>
      <w:lvlJc w:val="left"/>
      <w:pPr>
        <w:ind w:left="1440" w:hanging="360"/>
      </w:pPr>
      <w:rPr>
        <w:rFonts w:ascii="Courier New" w:hAnsi="Courier New" w:hint="default"/>
      </w:rPr>
    </w:lvl>
    <w:lvl w:ilvl="2" w:tplc="CAD857C8">
      <w:start w:val="1"/>
      <w:numFmt w:val="bullet"/>
      <w:lvlText w:val=""/>
      <w:lvlJc w:val="left"/>
      <w:pPr>
        <w:ind w:left="2160" w:hanging="360"/>
      </w:pPr>
      <w:rPr>
        <w:rFonts w:ascii="Wingdings" w:hAnsi="Wingdings" w:hint="default"/>
      </w:rPr>
    </w:lvl>
    <w:lvl w:ilvl="3" w:tplc="E4926D8C">
      <w:start w:val="1"/>
      <w:numFmt w:val="bullet"/>
      <w:lvlText w:val=""/>
      <w:lvlJc w:val="left"/>
      <w:pPr>
        <w:ind w:left="2880" w:hanging="360"/>
      </w:pPr>
      <w:rPr>
        <w:rFonts w:ascii="Symbol" w:hAnsi="Symbol" w:hint="default"/>
      </w:rPr>
    </w:lvl>
    <w:lvl w:ilvl="4" w:tplc="11F2DB2C">
      <w:start w:val="1"/>
      <w:numFmt w:val="bullet"/>
      <w:lvlText w:val="o"/>
      <w:lvlJc w:val="left"/>
      <w:pPr>
        <w:ind w:left="3600" w:hanging="360"/>
      </w:pPr>
      <w:rPr>
        <w:rFonts w:ascii="Courier New" w:hAnsi="Courier New" w:hint="default"/>
      </w:rPr>
    </w:lvl>
    <w:lvl w:ilvl="5" w:tplc="D9424B1E">
      <w:start w:val="1"/>
      <w:numFmt w:val="bullet"/>
      <w:lvlText w:val=""/>
      <w:lvlJc w:val="left"/>
      <w:pPr>
        <w:ind w:left="4320" w:hanging="360"/>
      </w:pPr>
      <w:rPr>
        <w:rFonts w:ascii="Wingdings" w:hAnsi="Wingdings" w:hint="default"/>
      </w:rPr>
    </w:lvl>
    <w:lvl w:ilvl="6" w:tplc="33246E46">
      <w:start w:val="1"/>
      <w:numFmt w:val="bullet"/>
      <w:lvlText w:val=""/>
      <w:lvlJc w:val="left"/>
      <w:pPr>
        <w:ind w:left="5040" w:hanging="360"/>
      </w:pPr>
      <w:rPr>
        <w:rFonts w:ascii="Symbol" w:hAnsi="Symbol" w:hint="default"/>
      </w:rPr>
    </w:lvl>
    <w:lvl w:ilvl="7" w:tplc="DBEC7BD0">
      <w:start w:val="1"/>
      <w:numFmt w:val="bullet"/>
      <w:lvlText w:val="o"/>
      <w:lvlJc w:val="left"/>
      <w:pPr>
        <w:ind w:left="5760" w:hanging="360"/>
      </w:pPr>
      <w:rPr>
        <w:rFonts w:ascii="Courier New" w:hAnsi="Courier New" w:hint="default"/>
      </w:rPr>
    </w:lvl>
    <w:lvl w:ilvl="8" w:tplc="58E26C56">
      <w:start w:val="1"/>
      <w:numFmt w:val="bullet"/>
      <w:lvlText w:val=""/>
      <w:lvlJc w:val="left"/>
      <w:pPr>
        <w:ind w:left="6480" w:hanging="360"/>
      </w:pPr>
      <w:rPr>
        <w:rFonts w:ascii="Wingdings" w:hAnsi="Wingdings" w:hint="default"/>
      </w:rPr>
    </w:lvl>
  </w:abstractNum>
  <w:num w:numId="1" w16cid:durableId="567764729">
    <w:abstractNumId w:val="34"/>
  </w:num>
  <w:num w:numId="2" w16cid:durableId="1233659102">
    <w:abstractNumId w:val="22"/>
  </w:num>
  <w:num w:numId="3" w16cid:durableId="1680306165">
    <w:abstractNumId w:val="26"/>
  </w:num>
  <w:num w:numId="4" w16cid:durableId="348676494">
    <w:abstractNumId w:val="13"/>
  </w:num>
  <w:num w:numId="5" w16cid:durableId="1302879426">
    <w:abstractNumId w:val="18"/>
  </w:num>
  <w:num w:numId="6" w16cid:durableId="2100758087">
    <w:abstractNumId w:val="16"/>
  </w:num>
  <w:num w:numId="7" w16cid:durableId="1658798620">
    <w:abstractNumId w:val="3"/>
  </w:num>
  <w:num w:numId="8" w16cid:durableId="61755387">
    <w:abstractNumId w:val="15"/>
  </w:num>
  <w:num w:numId="9" w16cid:durableId="1697148575">
    <w:abstractNumId w:val="2"/>
  </w:num>
  <w:num w:numId="10" w16cid:durableId="523248148">
    <w:abstractNumId w:val="29"/>
  </w:num>
  <w:num w:numId="11" w16cid:durableId="1165782331">
    <w:abstractNumId w:val="21"/>
  </w:num>
  <w:num w:numId="12" w16cid:durableId="506099767">
    <w:abstractNumId w:val="23"/>
  </w:num>
  <w:num w:numId="13" w16cid:durableId="1787043065">
    <w:abstractNumId w:val="0"/>
  </w:num>
  <w:num w:numId="14" w16cid:durableId="36393463">
    <w:abstractNumId w:val="8"/>
  </w:num>
  <w:num w:numId="15" w16cid:durableId="1729720186">
    <w:abstractNumId w:val="31"/>
  </w:num>
  <w:num w:numId="16" w16cid:durableId="2025546934">
    <w:abstractNumId w:val="33"/>
  </w:num>
  <w:num w:numId="17" w16cid:durableId="1566522792">
    <w:abstractNumId w:val="25"/>
  </w:num>
  <w:num w:numId="18" w16cid:durableId="1111050104">
    <w:abstractNumId w:val="7"/>
  </w:num>
  <w:num w:numId="19" w16cid:durableId="1624263869">
    <w:abstractNumId w:val="4"/>
  </w:num>
  <w:num w:numId="20" w16cid:durableId="1547909811">
    <w:abstractNumId w:val="5"/>
  </w:num>
  <w:num w:numId="21" w16cid:durableId="1007442950">
    <w:abstractNumId w:val="12"/>
  </w:num>
  <w:num w:numId="22" w16cid:durableId="1075128784">
    <w:abstractNumId w:val="37"/>
  </w:num>
  <w:num w:numId="23" w16cid:durableId="355078632">
    <w:abstractNumId w:val="1"/>
  </w:num>
  <w:num w:numId="24" w16cid:durableId="499272785">
    <w:abstractNumId w:val="20"/>
  </w:num>
  <w:num w:numId="25" w16cid:durableId="406614873">
    <w:abstractNumId w:val="30"/>
  </w:num>
  <w:num w:numId="26" w16cid:durableId="876117076">
    <w:abstractNumId w:val="36"/>
  </w:num>
  <w:num w:numId="27" w16cid:durableId="1915969890">
    <w:abstractNumId w:val="35"/>
  </w:num>
  <w:num w:numId="28" w16cid:durableId="881281723">
    <w:abstractNumId w:val="14"/>
  </w:num>
  <w:num w:numId="29" w16cid:durableId="347175014">
    <w:abstractNumId w:val="11"/>
  </w:num>
  <w:num w:numId="30" w16cid:durableId="302776966">
    <w:abstractNumId w:val="28"/>
  </w:num>
  <w:num w:numId="31" w16cid:durableId="2120831909">
    <w:abstractNumId w:val="19"/>
  </w:num>
  <w:num w:numId="32" w16cid:durableId="500699339">
    <w:abstractNumId w:val="6"/>
  </w:num>
  <w:num w:numId="33" w16cid:durableId="1092513283">
    <w:abstractNumId w:val="24"/>
  </w:num>
  <w:num w:numId="34" w16cid:durableId="1252161438">
    <w:abstractNumId w:val="32"/>
  </w:num>
  <w:num w:numId="35" w16cid:durableId="18361195">
    <w:abstractNumId w:val="9"/>
  </w:num>
  <w:num w:numId="36" w16cid:durableId="967249168">
    <w:abstractNumId w:val="10"/>
  </w:num>
  <w:num w:numId="37" w16cid:durableId="1103916492">
    <w:abstractNumId w:val="27"/>
  </w:num>
  <w:num w:numId="38" w16cid:durableId="40634064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10D"/>
    <w:rsid w:val="00034B57"/>
    <w:rsid w:val="00044385"/>
    <w:rsid w:val="00074A7C"/>
    <w:rsid w:val="0008359B"/>
    <w:rsid w:val="0008C4F8"/>
    <w:rsid w:val="000936E0"/>
    <w:rsid w:val="00096A54"/>
    <w:rsid w:val="000E0CC5"/>
    <w:rsid w:val="000F5782"/>
    <w:rsid w:val="000F7609"/>
    <w:rsid w:val="00156B4A"/>
    <w:rsid w:val="00163A96"/>
    <w:rsid w:val="001B6F33"/>
    <w:rsid w:val="0023436F"/>
    <w:rsid w:val="002458D6"/>
    <w:rsid w:val="00255B2D"/>
    <w:rsid w:val="0027403D"/>
    <w:rsid w:val="002E4841"/>
    <w:rsid w:val="002F563F"/>
    <w:rsid w:val="003E0562"/>
    <w:rsid w:val="00444FE4"/>
    <w:rsid w:val="004925B2"/>
    <w:rsid w:val="00495AE0"/>
    <w:rsid w:val="004F49DB"/>
    <w:rsid w:val="00520A3B"/>
    <w:rsid w:val="005454C5"/>
    <w:rsid w:val="00556A8D"/>
    <w:rsid w:val="0057074C"/>
    <w:rsid w:val="005803AB"/>
    <w:rsid w:val="005B41D6"/>
    <w:rsid w:val="005D233F"/>
    <w:rsid w:val="006132A0"/>
    <w:rsid w:val="00644210"/>
    <w:rsid w:val="006645E1"/>
    <w:rsid w:val="006A450B"/>
    <w:rsid w:val="006D64EC"/>
    <w:rsid w:val="006F07A8"/>
    <w:rsid w:val="00724765"/>
    <w:rsid w:val="00730EC1"/>
    <w:rsid w:val="0076274C"/>
    <w:rsid w:val="00796864"/>
    <w:rsid w:val="007D750A"/>
    <w:rsid w:val="00852715"/>
    <w:rsid w:val="008767E5"/>
    <w:rsid w:val="008C596B"/>
    <w:rsid w:val="008E1CDC"/>
    <w:rsid w:val="008F4719"/>
    <w:rsid w:val="009E2EDF"/>
    <w:rsid w:val="00A25706"/>
    <w:rsid w:val="00A34D01"/>
    <w:rsid w:val="00A7094E"/>
    <w:rsid w:val="00A95551"/>
    <w:rsid w:val="00A95F78"/>
    <w:rsid w:val="00AD3790"/>
    <w:rsid w:val="00BE310A"/>
    <w:rsid w:val="00C02ABE"/>
    <w:rsid w:val="00C55027"/>
    <w:rsid w:val="00CB3188"/>
    <w:rsid w:val="00CC6FA3"/>
    <w:rsid w:val="00D055FF"/>
    <w:rsid w:val="00D1010D"/>
    <w:rsid w:val="00D63DC2"/>
    <w:rsid w:val="00D70884"/>
    <w:rsid w:val="00D776CF"/>
    <w:rsid w:val="00D83177"/>
    <w:rsid w:val="00DA3E5A"/>
    <w:rsid w:val="00DB1C28"/>
    <w:rsid w:val="00DD7281"/>
    <w:rsid w:val="00DD7F77"/>
    <w:rsid w:val="00E0112A"/>
    <w:rsid w:val="00E8533C"/>
    <w:rsid w:val="00EE6E42"/>
    <w:rsid w:val="00F05C4F"/>
    <w:rsid w:val="00F55682"/>
    <w:rsid w:val="00F640CB"/>
    <w:rsid w:val="01038C16"/>
    <w:rsid w:val="0103D7DF"/>
    <w:rsid w:val="013B5A6F"/>
    <w:rsid w:val="017F3ADC"/>
    <w:rsid w:val="01BF184B"/>
    <w:rsid w:val="01CC9BBC"/>
    <w:rsid w:val="01EEE098"/>
    <w:rsid w:val="02800771"/>
    <w:rsid w:val="030AB481"/>
    <w:rsid w:val="0331FF3B"/>
    <w:rsid w:val="03B1DE21"/>
    <w:rsid w:val="03B72FA6"/>
    <w:rsid w:val="0471D440"/>
    <w:rsid w:val="047FCA8A"/>
    <w:rsid w:val="0482198B"/>
    <w:rsid w:val="05176EF4"/>
    <w:rsid w:val="05448959"/>
    <w:rsid w:val="063584D8"/>
    <w:rsid w:val="0651270A"/>
    <w:rsid w:val="0665C01B"/>
    <w:rsid w:val="0738843D"/>
    <w:rsid w:val="086E2001"/>
    <w:rsid w:val="08DC552A"/>
    <w:rsid w:val="0908C99E"/>
    <w:rsid w:val="093918E8"/>
    <w:rsid w:val="095C8AC6"/>
    <w:rsid w:val="096D63C0"/>
    <w:rsid w:val="0A04E638"/>
    <w:rsid w:val="0B9FFB04"/>
    <w:rsid w:val="0C0846D2"/>
    <w:rsid w:val="0CF78FCF"/>
    <w:rsid w:val="0CF9B67E"/>
    <w:rsid w:val="0D04516E"/>
    <w:rsid w:val="0EDCE93B"/>
    <w:rsid w:val="0EDFD8F4"/>
    <w:rsid w:val="0F397ACA"/>
    <w:rsid w:val="0FB0353F"/>
    <w:rsid w:val="0FB0A351"/>
    <w:rsid w:val="0FB4765B"/>
    <w:rsid w:val="0FF810B4"/>
    <w:rsid w:val="10899A8D"/>
    <w:rsid w:val="10D56DD1"/>
    <w:rsid w:val="1108FD61"/>
    <w:rsid w:val="1111AA0C"/>
    <w:rsid w:val="1127B03D"/>
    <w:rsid w:val="1151279E"/>
    <w:rsid w:val="11EC9899"/>
    <w:rsid w:val="1210B627"/>
    <w:rsid w:val="1212038B"/>
    <w:rsid w:val="12C48005"/>
    <w:rsid w:val="12E50920"/>
    <w:rsid w:val="133676FA"/>
    <w:rsid w:val="137CD84F"/>
    <w:rsid w:val="14628829"/>
    <w:rsid w:val="14CA6086"/>
    <w:rsid w:val="150FE5C8"/>
    <w:rsid w:val="1685C244"/>
    <w:rsid w:val="16A8D499"/>
    <w:rsid w:val="173BEE53"/>
    <w:rsid w:val="175E1C6C"/>
    <w:rsid w:val="179EBE66"/>
    <w:rsid w:val="1846A498"/>
    <w:rsid w:val="186A73E5"/>
    <w:rsid w:val="18E7F539"/>
    <w:rsid w:val="1947488F"/>
    <w:rsid w:val="1AFA08AF"/>
    <w:rsid w:val="1B03D9CE"/>
    <w:rsid w:val="1BBFD676"/>
    <w:rsid w:val="1C6519C7"/>
    <w:rsid w:val="1C7E1145"/>
    <w:rsid w:val="1D39AD52"/>
    <w:rsid w:val="1D538EDA"/>
    <w:rsid w:val="1D87AE44"/>
    <w:rsid w:val="1DA0AF04"/>
    <w:rsid w:val="1DA4EF4D"/>
    <w:rsid w:val="1DB974A4"/>
    <w:rsid w:val="1E1FF825"/>
    <w:rsid w:val="1E2E0390"/>
    <w:rsid w:val="1E718005"/>
    <w:rsid w:val="1E911D49"/>
    <w:rsid w:val="1ECE1E55"/>
    <w:rsid w:val="1F4625D8"/>
    <w:rsid w:val="1F4C6CFA"/>
    <w:rsid w:val="1F511B14"/>
    <w:rsid w:val="1FF9F8C2"/>
    <w:rsid w:val="207A6EE2"/>
    <w:rsid w:val="20F0A534"/>
    <w:rsid w:val="211D0E82"/>
    <w:rsid w:val="21ACCDD1"/>
    <w:rsid w:val="231E6122"/>
    <w:rsid w:val="23BC0051"/>
    <w:rsid w:val="242221A9"/>
    <w:rsid w:val="247A8F85"/>
    <w:rsid w:val="24DDD0AE"/>
    <w:rsid w:val="24E5D98C"/>
    <w:rsid w:val="24F7ECA3"/>
    <w:rsid w:val="2638E0FF"/>
    <w:rsid w:val="26B6085B"/>
    <w:rsid w:val="2700B356"/>
    <w:rsid w:val="27555370"/>
    <w:rsid w:val="27820390"/>
    <w:rsid w:val="27B8AAD4"/>
    <w:rsid w:val="29566218"/>
    <w:rsid w:val="29702E8F"/>
    <w:rsid w:val="29A02898"/>
    <w:rsid w:val="2A587C4C"/>
    <w:rsid w:val="2ACF2BD9"/>
    <w:rsid w:val="2AEA391E"/>
    <w:rsid w:val="2B0F7578"/>
    <w:rsid w:val="2B81EA5C"/>
    <w:rsid w:val="2BA97EF9"/>
    <w:rsid w:val="2BB6B1A8"/>
    <w:rsid w:val="2BE11FA0"/>
    <w:rsid w:val="2C63A40B"/>
    <w:rsid w:val="2CD57276"/>
    <w:rsid w:val="2DACEEA8"/>
    <w:rsid w:val="2DBE2C41"/>
    <w:rsid w:val="2DD226FA"/>
    <w:rsid w:val="2DE8737D"/>
    <w:rsid w:val="2E45C4B1"/>
    <w:rsid w:val="2EDA4280"/>
    <w:rsid w:val="2EE2D614"/>
    <w:rsid w:val="2F673B01"/>
    <w:rsid w:val="2F8B9343"/>
    <w:rsid w:val="2FAA840B"/>
    <w:rsid w:val="3072CACC"/>
    <w:rsid w:val="30BE61BF"/>
    <w:rsid w:val="30EE9053"/>
    <w:rsid w:val="3160A5C7"/>
    <w:rsid w:val="3169136A"/>
    <w:rsid w:val="3296FA7F"/>
    <w:rsid w:val="344C1879"/>
    <w:rsid w:val="34F50622"/>
    <w:rsid w:val="34F698DC"/>
    <w:rsid w:val="34F782C7"/>
    <w:rsid w:val="35651071"/>
    <w:rsid w:val="359DF7BF"/>
    <w:rsid w:val="3618A23E"/>
    <w:rsid w:val="3665BA79"/>
    <w:rsid w:val="368A1688"/>
    <w:rsid w:val="3718CCAD"/>
    <w:rsid w:val="3721B6B6"/>
    <w:rsid w:val="376BEFCF"/>
    <w:rsid w:val="37D521A0"/>
    <w:rsid w:val="38472225"/>
    <w:rsid w:val="38F2B7B7"/>
    <w:rsid w:val="39A34A11"/>
    <w:rsid w:val="3B13BCA4"/>
    <w:rsid w:val="3B67A36F"/>
    <w:rsid w:val="3C2DFAF2"/>
    <w:rsid w:val="3D676716"/>
    <w:rsid w:val="3E541B29"/>
    <w:rsid w:val="3E8DB3E6"/>
    <w:rsid w:val="3EA38639"/>
    <w:rsid w:val="3F5A503D"/>
    <w:rsid w:val="407F07C2"/>
    <w:rsid w:val="40F7A08C"/>
    <w:rsid w:val="4160CFED"/>
    <w:rsid w:val="4167EDE2"/>
    <w:rsid w:val="41DA4C5A"/>
    <w:rsid w:val="41E0EACD"/>
    <w:rsid w:val="41F3C7D1"/>
    <w:rsid w:val="429B4DCC"/>
    <w:rsid w:val="42F7F914"/>
    <w:rsid w:val="446AFFE6"/>
    <w:rsid w:val="446DD464"/>
    <w:rsid w:val="447251A4"/>
    <w:rsid w:val="450961E1"/>
    <w:rsid w:val="454B707B"/>
    <w:rsid w:val="455438C7"/>
    <w:rsid w:val="45C6F1A0"/>
    <w:rsid w:val="45CC0433"/>
    <w:rsid w:val="45FDB4B4"/>
    <w:rsid w:val="464AF01C"/>
    <w:rsid w:val="46562E77"/>
    <w:rsid w:val="46B4EE82"/>
    <w:rsid w:val="47A63889"/>
    <w:rsid w:val="47C499C8"/>
    <w:rsid w:val="47C60EEC"/>
    <w:rsid w:val="47CB4919"/>
    <w:rsid w:val="48ACBC56"/>
    <w:rsid w:val="48B9E45F"/>
    <w:rsid w:val="4B30511A"/>
    <w:rsid w:val="4C0371C6"/>
    <w:rsid w:val="4C05327D"/>
    <w:rsid w:val="4C096F26"/>
    <w:rsid w:val="4C17551E"/>
    <w:rsid w:val="4C940FF0"/>
    <w:rsid w:val="4CB5BFEE"/>
    <w:rsid w:val="4CEF1CE8"/>
    <w:rsid w:val="4D3CAE4B"/>
    <w:rsid w:val="4D55664B"/>
    <w:rsid w:val="4D5A86BD"/>
    <w:rsid w:val="4D6393DB"/>
    <w:rsid w:val="4D770F80"/>
    <w:rsid w:val="4DA7EA64"/>
    <w:rsid w:val="4DA879A7"/>
    <w:rsid w:val="4DBA18D0"/>
    <w:rsid w:val="4DF14D18"/>
    <w:rsid w:val="4E1A2A34"/>
    <w:rsid w:val="4E316792"/>
    <w:rsid w:val="4F0F78F1"/>
    <w:rsid w:val="4F420415"/>
    <w:rsid w:val="4FE2AB4B"/>
    <w:rsid w:val="4FEDF9E5"/>
    <w:rsid w:val="500BFD22"/>
    <w:rsid w:val="5083A6D1"/>
    <w:rsid w:val="5114E38D"/>
    <w:rsid w:val="523A8E6C"/>
    <w:rsid w:val="524A3067"/>
    <w:rsid w:val="525475B6"/>
    <w:rsid w:val="52C5C984"/>
    <w:rsid w:val="52DB7F5A"/>
    <w:rsid w:val="52E59971"/>
    <w:rsid w:val="5375F6A2"/>
    <w:rsid w:val="53774A06"/>
    <w:rsid w:val="53F440A8"/>
    <w:rsid w:val="542A2E77"/>
    <w:rsid w:val="54A7CBC5"/>
    <w:rsid w:val="55337032"/>
    <w:rsid w:val="559E2D92"/>
    <w:rsid w:val="55A5454D"/>
    <w:rsid w:val="55A68568"/>
    <w:rsid w:val="55E0ED90"/>
    <w:rsid w:val="56611E2B"/>
    <w:rsid w:val="56A4D4A7"/>
    <w:rsid w:val="56F0D478"/>
    <w:rsid w:val="56FF230C"/>
    <w:rsid w:val="578DD7C8"/>
    <w:rsid w:val="58FA0288"/>
    <w:rsid w:val="591CD856"/>
    <w:rsid w:val="59352FD5"/>
    <w:rsid w:val="5978FDAD"/>
    <w:rsid w:val="59B737B6"/>
    <w:rsid w:val="59FD2A91"/>
    <w:rsid w:val="5A66A7E0"/>
    <w:rsid w:val="5A7BE540"/>
    <w:rsid w:val="5A96142B"/>
    <w:rsid w:val="5ABE5C5A"/>
    <w:rsid w:val="5AD817EE"/>
    <w:rsid w:val="5B413A59"/>
    <w:rsid w:val="5C3B0628"/>
    <w:rsid w:val="5C42192C"/>
    <w:rsid w:val="5C6A179E"/>
    <w:rsid w:val="5C6AE426"/>
    <w:rsid w:val="5C7C87D0"/>
    <w:rsid w:val="5DEE405A"/>
    <w:rsid w:val="606A8F86"/>
    <w:rsid w:val="6095E1DC"/>
    <w:rsid w:val="6188C470"/>
    <w:rsid w:val="619B7BF2"/>
    <w:rsid w:val="62046AAA"/>
    <w:rsid w:val="6226F64C"/>
    <w:rsid w:val="62CFDC2B"/>
    <w:rsid w:val="62FEA994"/>
    <w:rsid w:val="63141BCC"/>
    <w:rsid w:val="6359FAB6"/>
    <w:rsid w:val="63B0E8E6"/>
    <w:rsid w:val="64499B14"/>
    <w:rsid w:val="648D215E"/>
    <w:rsid w:val="64943575"/>
    <w:rsid w:val="64E5F1BF"/>
    <w:rsid w:val="67A9B7A4"/>
    <w:rsid w:val="67B472E2"/>
    <w:rsid w:val="683E0A42"/>
    <w:rsid w:val="68762DFF"/>
    <w:rsid w:val="688A7864"/>
    <w:rsid w:val="688E552B"/>
    <w:rsid w:val="698E6ADF"/>
    <w:rsid w:val="6A8483A2"/>
    <w:rsid w:val="6A877F59"/>
    <w:rsid w:val="6C39DBF8"/>
    <w:rsid w:val="6C5E0EED"/>
    <w:rsid w:val="6CCE9254"/>
    <w:rsid w:val="6CE99482"/>
    <w:rsid w:val="6CF06405"/>
    <w:rsid w:val="6DEF7573"/>
    <w:rsid w:val="6E6B843C"/>
    <w:rsid w:val="6EAD6193"/>
    <w:rsid w:val="6F02A08E"/>
    <w:rsid w:val="6F78BAD5"/>
    <w:rsid w:val="700FC8F7"/>
    <w:rsid w:val="7084535C"/>
    <w:rsid w:val="71022934"/>
    <w:rsid w:val="711D63E4"/>
    <w:rsid w:val="7120FF23"/>
    <w:rsid w:val="713EC5B7"/>
    <w:rsid w:val="72AE036A"/>
    <w:rsid w:val="73265BA3"/>
    <w:rsid w:val="73FF3FC1"/>
    <w:rsid w:val="74206A9D"/>
    <w:rsid w:val="743658C8"/>
    <w:rsid w:val="7465FC79"/>
    <w:rsid w:val="756C309D"/>
    <w:rsid w:val="757BA1D6"/>
    <w:rsid w:val="7584B75F"/>
    <w:rsid w:val="75E4F9EA"/>
    <w:rsid w:val="7617AA0B"/>
    <w:rsid w:val="76467C6B"/>
    <w:rsid w:val="765C0F08"/>
    <w:rsid w:val="7680A083"/>
    <w:rsid w:val="7690F606"/>
    <w:rsid w:val="76DD037B"/>
    <w:rsid w:val="772A992C"/>
    <w:rsid w:val="77F878C8"/>
    <w:rsid w:val="77FE3010"/>
    <w:rsid w:val="787F6518"/>
    <w:rsid w:val="78C11D39"/>
    <w:rsid w:val="78DECB99"/>
    <w:rsid w:val="7933149F"/>
    <w:rsid w:val="7953F762"/>
    <w:rsid w:val="79999810"/>
    <w:rsid w:val="79DDF265"/>
    <w:rsid w:val="7AE6D133"/>
    <w:rsid w:val="7AFA8B55"/>
    <w:rsid w:val="7B1281AC"/>
    <w:rsid w:val="7B305214"/>
    <w:rsid w:val="7B703B1B"/>
    <w:rsid w:val="7C59CDB5"/>
    <w:rsid w:val="7CF36087"/>
    <w:rsid w:val="7D517BD8"/>
    <w:rsid w:val="7DEA4255"/>
    <w:rsid w:val="7E0C4F93"/>
    <w:rsid w:val="7ECE3B6A"/>
    <w:rsid w:val="7F0EF4C3"/>
    <w:rsid w:val="7F41FBD5"/>
    <w:rsid w:val="7FACBB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877C3"/>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rsid w:val="4D6393DB"/>
    <w:pPr>
      <w:keepNext/>
      <w:keepLines/>
      <w:spacing w:before="360" w:after="80"/>
      <w:outlineLvl w:val="0"/>
    </w:pPr>
    <w:rPr>
      <w:rFonts w:asciiTheme="majorHAnsi" w:eastAsiaTheme="minorEastAsia" w:hAnsiTheme="majorHAnsi" w:cstheme="majorEastAsia"/>
      <w:color w:val="2E74B5" w:themeColor="accent1" w:themeShade="BF"/>
      <w:sz w:val="40"/>
      <w:szCs w:val="40"/>
    </w:rPr>
  </w:style>
  <w:style w:type="paragraph" w:styleId="Heading2">
    <w:name w:val="heading 2"/>
    <w:basedOn w:val="Normal"/>
    <w:next w:val="Normal"/>
    <w:uiPriority w:val="9"/>
    <w:unhideWhenUsed/>
    <w:qFormat/>
    <w:rsid w:val="4D6393DB"/>
    <w:pPr>
      <w:keepNext/>
      <w:keepLines/>
      <w:spacing w:before="160" w:after="80"/>
      <w:outlineLvl w:val="1"/>
    </w:pPr>
    <w:rPr>
      <w:rFonts w:asciiTheme="majorHAnsi" w:eastAsiaTheme="minorEastAsia" w:hAnsiTheme="majorHAnsi" w:cstheme="majorEastAsia"/>
      <w:color w:val="2E74B5" w:themeColor="accent1" w:themeShade="BF"/>
      <w:sz w:val="32"/>
      <w:szCs w:val="32"/>
    </w:rPr>
  </w:style>
  <w:style w:type="paragraph" w:styleId="Heading3">
    <w:name w:val="heading 3"/>
    <w:basedOn w:val="Normal"/>
    <w:next w:val="Normal"/>
    <w:uiPriority w:val="9"/>
    <w:unhideWhenUsed/>
    <w:qFormat/>
    <w:rsid w:val="4D6393DB"/>
    <w:pPr>
      <w:keepNext/>
      <w:keepLines/>
      <w:spacing w:before="160" w:after="80"/>
      <w:outlineLvl w:val="2"/>
    </w:pPr>
    <w:rPr>
      <w:rFonts w:eastAsiaTheme="minorEastAsia" w:cstheme="majorEastAsia"/>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DD7281"/>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DD7281"/>
  </w:style>
  <w:style w:type="character" w:customStyle="1" w:styleId="eop">
    <w:name w:val="eop"/>
    <w:basedOn w:val="DefaultParagraphFont"/>
    <w:rsid w:val="00DD7281"/>
  </w:style>
  <w:style w:type="paragraph" w:styleId="Header">
    <w:name w:val="header"/>
    <w:basedOn w:val="Normal"/>
    <w:link w:val="HeaderChar"/>
    <w:uiPriority w:val="99"/>
    <w:unhideWhenUsed/>
    <w:rsid w:val="00DD7281"/>
    <w:pPr>
      <w:tabs>
        <w:tab w:val="center" w:pos="4680"/>
        <w:tab w:val="right" w:pos="9360"/>
      </w:tabs>
    </w:pPr>
  </w:style>
  <w:style w:type="character" w:customStyle="1" w:styleId="HeaderChar">
    <w:name w:val="Header Char"/>
    <w:basedOn w:val="DefaultParagraphFont"/>
    <w:link w:val="Header"/>
    <w:uiPriority w:val="99"/>
    <w:rsid w:val="00DD7281"/>
  </w:style>
  <w:style w:type="paragraph" w:styleId="Footer">
    <w:name w:val="footer"/>
    <w:basedOn w:val="Normal"/>
    <w:link w:val="FooterChar"/>
    <w:uiPriority w:val="99"/>
    <w:unhideWhenUsed/>
    <w:rsid w:val="00DD7281"/>
    <w:pPr>
      <w:tabs>
        <w:tab w:val="center" w:pos="4680"/>
        <w:tab w:val="right" w:pos="9360"/>
      </w:tabs>
    </w:pPr>
  </w:style>
  <w:style w:type="character" w:customStyle="1" w:styleId="FooterChar">
    <w:name w:val="Footer Char"/>
    <w:basedOn w:val="DefaultParagraphFont"/>
    <w:link w:val="Footer"/>
    <w:uiPriority w:val="99"/>
    <w:rsid w:val="00DD7281"/>
  </w:style>
  <w:style w:type="character" w:styleId="CommentReference">
    <w:name w:val="annotation reference"/>
    <w:basedOn w:val="DefaultParagraphFont"/>
    <w:uiPriority w:val="99"/>
    <w:semiHidden/>
    <w:unhideWhenUsed/>
    <w:rsid w:val="0057074C"/>
    <w:rPr>
      <w:sz w:val="16"/>
      <w:szCs w:val="16"/>
    </w:rPr>
  </w:style>
  <w:style w:type="paragraph" w:styleId="CommentText">
    <w:name w:val="annotation text"/>
    <w:basedOn w:val="Normal"/>
    <w:link w:val="CommentTextChar"/>
    <w:uiPriority w:val="99"/>
    <w:unhideWhenUsed/>
    <w:rsid w:val="0057074C"/>
    <w:rPr>
      <w:sz w:val="20"/>
      <w:szCs w:val="20"/>
    </w:rPr>
  </w:style>
  <w:style w:type="character" w:customStyle="1" w:styleId="CommentTextChar">
    <w:name w:val="Comment Text Char"/>
    <w:basedOn w:val="DefaultParagraphFont"/>
    <w:link w:val="CommentText"/>
    <w:uiPriority w:val="99"/>
    <w:rsid w:val="0057074C"/>
    <w:rPr>
      <w:sz w:val="20"/>
      <w:szCs w:val="20"/>
    </w:rPr>
  </w:style>
  <w:style w:type="paragraph" w:styleId="CommentSubject">
    <w:name w:val="annotation subject"/>
    <w:basedOn w:val="CommentText"/>
    <w:next w:val="CommentText"/>
    <w:link w:val="CommentSubjectChar"/>
    <w:uiPriority w:val="99"/>
    <w:semiHidden/>
    <w:unhideWhenUsed/>
    <w:rsid w:val="0057074C"/>
    <w:rPr>
      <w:b/>
      <w:bCs/>
    </w:rPr>
  </w:style>
  <w:style w:type="character" w:customStyle="1" w:styleId="CommentSubjectChar">
    <w:name w:val="Comment Subject Char"/>
    <w:basedOn w:val="CommentTextChar"/>
    <w:link w:val="CommentSubject"/>
    <w:uiPriority w:val="99"/>
    <w:semiHidden/>
    <w:rsid w:val="0057074C"/>
    <w:rPr>
      <w:b/>
      <w:bCs/>
      <w:sz w:val="20"/>
      <w:szCs w:val="20"/>
    </w:rPr>
  </w:style>
  <w:style w:type="paragraph" w:styleId="ListParagraph">
    <w:name w:val="List Paragraph"/>
    <w:basedOn w:val="Normal"/>
    <w:uiPriority w:val="34"/>
    <w:qFormat/>
    <w:rsid w:val="6C5E0EED"/>
    <w:pPr>
      <w:ind w:left="720"/>
      <w:contextualSpacing/>
    </w:pPr>
  </w:style>
  <w:style w:type="paragraph" w:styleId="Revision">
    <w:name w:val="Revision"/>
    <w:hidden/>
    <w:uiPriority w:val="99"/>
    <w:semiHidden/>
    <w:rsid w:val="00D055FF"/>
  </w:style>
  <w:style w:type="character" w:styleId="Hyperlink">
    <w:name w:val="Hyperlink"/>
    <w:basedOn w:val="DefaultParagraphFont"/>
    <w:uiPriority w:val="99"/>
    <w:unhideWhenUsed/>
    <w:rsid w:val="00A34D01"/>
    <w:rPr>
      <w:color w:val="0563C1" w:themeColor="hyperlink"/>
      <w:u w:val="single"/>
    </w:rPr>
  </w:style>
  <w:style w:type="character" w:styleId="UnresolvedMention">
    <w:name w:val="Unresolved Mention"/>
    <w:basedOn w:val="DefaultParagraphFont"/>
    <w:uiPriority w:val="99"/>
    <w:rsid w:val="00A34D01"/>
    <w:rPr>
      <w:color w:val="605E5C"/>
      <w:shd w:val="clear" w:color="auto" w:fill="E1DFDD"/>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DB1C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7378028">
      <w:bodyDiv w:val="1"/>
      <w:marLeft w:val="0"/>
      <w:marRight w:val="0"/>
      <w:marTop w:val="0"/>
      <w:marBottom w:val="0"/>
      <w:divBdr>
        <w:top w:val="none" w:sz="0" w:space="0" w:color="auto"/>
        <w:left w:val="none" w:sz="0" w:space="0" w:color="auto"/>
        <w:bottom w:val="none" w:sz="0" w:space="0" w:color="auto"/>
        <w:right w:val="none" w:sz="0" w:space="0" w:color="auto"/>
      </w:divBdr>
      <w:divsChild>
        <w:div w:id="14046023">
          <w:marLeft w:val="0"/>
          <w:marRight w:val="0"/>
          <w:marTop w:val="0"/>
          <w:marBottom w:val="0"/>
          <w:divBdr>
            <w:top w:val="none" w:sz="0" w:space="0" w:color="auto"/>
            <w:left w:val="none" w:sz="0" w:space="0" w:color="auto"/>
            <w:bottom w:val="none" w:sz="0" w:space="0" w:color="auto"/>
            <w:right w:val="none" w:sz="0" w:space="0" w:color="auto"/>
          </w:divBdr>
        </w:div>
        <w:div w:id="1580675549">
          <w:marLeft w:val="0"/>
          <w:marRight w:val="0"/>
          <w:marTop w:val="0"/>
          <w:marBottom w:val="0"/>
          <w:divBdr>
            <w:top w:val="none" w:sz="0" w:space="0" w:color="auto"/>
            <w:left w:val="none" w:sz="0" w:space="0" w:color="auto"/>
            <w:bottom w:val="none" w:sz="0" w:space="0" w:color="auto"/>
            <w:right w:val="none" w:sz="0" w:space="0" w:color="auto"/>
          </w:divBdr>
        </w:div>
        <w:div w:id="260452122">
          <w:marLeft w:val="0"/>
          <w:marRight w:val="0"/>
          <w:marTop w:val="0"/>
          <w:marBottom w:val="0"/>
          <w:divBdr>
            <w:top w:val="none" w:sz="0" w:space="0" w:color="auto"/>
            <w:left w:val="none" w:sz="0" w:space="0" w:color="auto"/>
            <w:bottom w:val="none" w:sz="0" w:space="0" w:color="auto"/>
            <w:right w:val="none" w:sz="0" w:space="0" w:color="auto"/>
          </w:divBdr>
        </w:div>
        <w:div w:id="95635690">
          <w:marLeft w:val="0"/>
          <w:marRight w:val="0"/>
          <w:marTop w:val="0"/>
          <w:marBottom w:val="0"/>
          <w:divBdr>
            <w:top w:val="none" w:sz="0" w:space="0" w:color="auto"/>
            <w:left w:val="none" w:sz="0" w:space="0" w:color="auto"/>
            <w:bottom w:val="none" w:sz="0" w:space="0" w:color="auto"/>
            <w:right w:val="none" w:sz="0" w:space="0" w:color="auto"/>
          </w:divBdr>
        </w:div>
        <w:div w:id="1578052340">
          <w:marLeft w:val="0"/>
          <w:marRight w:val="0"/>
          <w:marTop w:val="0"/>
          <w:marBottom w:val="0"/>
          <w:divBdr>
            <w:top w:val="none" w:sz="0" w:space="0" w:color="auto"/>
            <w:left w:val="none" w:sz="0" w:space="0" w:color="auto"/>
            <w:bottom w:val="none" w:sz="0" w:space="0" w:color="auto"/>
            <w:right w:val="none" w:sz="0" w:space="0" w:color="auto"/>
          </w:divBdr>
        </w:div>
        <w:div w:id="1698583792">
          <w:marLeft w:val="0"/>
          <w:marRight w:val="0"/>
          <w:marTop w:val="0"/>
          <w:marBottom w:val="0"/>
          <w:divBdr>
            <w:top w:val="none" w:sz="0" w:space="0" w:color="auto"/>
            <w:left w:val="none" w:sz="0" w:space="0" w:color="auto"/>
            <w:bottom w:val="none" w:sz="0" w:space="0" w:color="auto"/>
            <w:right w:val="none" w:sz="0" w:space="0" w:color="auto"/>
          </w:divBdr>
        </w:div>
        <w:div w:id="701246897">
          <w:marLeft w:val="0"/>
          <w:marRight w:val="0"/>
          <w:marTop w:val="0"/>
          <w:marBottom w:val="0"/>
          <w:divBdr>
            <w:top w:val="none" w:sz="0" w:space="0" w:color="auto"/>
            <w:left w:val="none" w:sz="0" w:space="0" w:color="auto"/>
            <w:bottom w:val="none" w:sz="0" w:space="0" w:color="auto"/>
            <w:right w:val="none" w:sz="0" w:space="0" w:color="auto"/>
          </w:divBdr>
        </w:div>
        <w:div w:id="1692755739">
          <w:marLeft w:val="0"/>
          <w:marRight w:val="0"/>
          <w:marTop w:val="0"/>
          <w:marBottom w:val="0"/>
          <w:divBdr>
            <w:top w:val="none" w:sz="0" w:space="0" w:color="auto"/>
            <w:left w:val="none" w:sz="0" w:space="0" w:color="auto"/>
            <w:bottom w:val="none" w:sz="0" w:space="0" w:color="auto"/>
            <w:right w:val="none" w:sz="0" w:space="0" w:color="auto"/>
          </w:divBdr>
        </w:div>
        <w:div w:id="706101219">
          <w:marLeft w:val="0"/>
          <w:marRight w:val="0"/>
          <w:marTop w:val="0"/>
          <w:marBottom w:val="0"/>
          <w:divBdr>
            <w:top w:val="none" w:sz="0" w:space="0" w:color="auto"/>
            <w:left w:val="none" w:sz="0" w:space="0" w:color="auto"/>
            <w:bottom w:val="none" w:sz="0" w:space="0" w:color="auto"/>
            <w:right w:val="none" w:sz="0" w:space="0" w:color="auto"/>
          </w:divBdr>
        </w:div>
        <w:div w:id="1923951029">
          <w:marLeft w:val="0"/>
          <w:marRight w:val="0"/>
          <w:marTop w:val="0"/>
          <w:marBottom w:val="0"/>
          <w:divBdr>
            <w:top w:val="none" w:sz="0" w:space="0" w:color="auto"/>
            <w:left w:val="none" w:sz="0" w:space="0" w:color="auto"/>
            <w:bottom w:val="none" w:sz="0" w:space="0" w:color="auto"/>
            <w:right w:val="none" w:sz="0" w:space="0" w:color="auto"/>
          </w:divBdr>
        </w:div>
        <w:div w:id="139737882">
          <w:marLeft w:val="0"/>
          <w:marRight w:val="0"/>
          <w:marTop w:val="0"/>
          <w:marBottom w:val="0"/>
          <w:divBdr>
            <w:top w:val="none" w:sz="0" w:space="0" w:color="auto"/>
            <w:left w:val="none" w:sz="0" w:space="0" w:color="auto"/>
            <w:bottom w:val="none" w:sz="0" w:space="0" w:color="auto"/>
            <w:right w:val="none" w:sz="0" w:space="0" w:color="auto"/>
          </w:divBdr>
        </w:div>
        <w:div w:id="2086753844">
          <w:marLeft w:val="0"/>
          <w:marRight w:val="0"/>
          <w:marTop w:val="0"/>
          <w:marBottom w:val="0"/>
          <w:divBdr>
            <w:top w:val="none" w:sz="0" w:space="0" w:color="auto"/>
            <w:left w:val="none" w:sz="0" w:space="0" w:color="auto"/>
            <w:bottom w:val="none" w:sz="0" w:space="0" w:color="auto"/>
            <w:right w:val="none" w:sz="0" w:space="0" w:color="auto"/>
          </w:divBdr>
        </w:div>
        <w:div w:id="811795509">
          <w:marLeft w:val="0"/>
          <w:marRight w:val="0"/>
          <w:marTop w:val="0"/>
          <w:marBottom w:val="0"/>
          <w:divBdr>
            <w:top w:val="none" w:sz="0" w:space="0" w:color="auto"/>
            <w:left w:val="none" w:sz="0" w:space="0" w:color="auto"/>
            <w:bottom w:val="none" w:sz="0" w:space="0" w:color="auto"/>
            <w:right w:val="none" w:sz="0" w:space="0" w:color="auto"/>
          </w:divBdr>
        </w:div>
        <w:div w:id="1836259791">
          <w:marLeft w:val="0"/>
          <w:marRight w:val="0"/>
          <w:marTop w:val="0"/>
          <w:marBottom w:val="0"/>
          <w:divBdr>
            <w:top w:val="none" w:sz="0" w:space="0" w:color="auto"/>
            <w:left w:val="none" w:sz="0" w:space="0" w:color="auto"/>
            <w:bottom w:val="none" w:sz="0" w:space="0" w:color="auto"/>
            <w:right w:val="none" w:sz="0" w:space="0" w:color="auto"/>
          </w:divBdr>
        </w:div>
      </w:divsChild>
    </w:div>
    <w:div w:id="541480434">
      <w:bodyDiv w:val="1"/>
      <w:marLeft w:val="0"/>
      <w:marRight w:val="0"/>
      <w:marTop w:val="0"/>
      <w:marBottom w:val="0"/>
      <w:divBdr>
        <w:top w:val="none" w:sz="0" w:space="0" w:color="auto"/>
        <w:left w:val="none" w:sz="0" w:space="0" w:color="auto"/>
        <w:bottom w:val="none" w:sz="0" w:space="0" w:color="auto"/>
        <w:right w:val="none" w:sz="0" w:space="0" w:color="auto"/>
      </w:divBdr>
    </w:div>
    <w:div w:id="1866022305">
      <w:bodyDiv w:val="1"/>
      <w:marLeft w:val="0"/>
      <w:marRight w:val="0"/>
      <w:marTop w:val="0"/>
      <w:marBottom w:val="0"/>
      <w:divBdr>
        <w:top w:val="none" w:sz="0" w:space="0" w:color="auto"/>
        <w:left w:val="none" w:sz="0" w:space="0" w:color="auto"/>
        <w:bottom w:val="none" w:sz="0" w:space="0" w:color="auto"/>
        <w:right w:val="none" w:sz="0" w:space="0" w:color="auto"/>
      </w:divBdr>
      <w:divsChild>
        <w:div w:id="1388532464">
          <w:marLeft w:val="0"/>
          <w:marRight w:val="0"/>
          <w:marTop w:val="0"/>
          <w:marBottom w:val="0"/>
          <w:divBdr>
            <w:top w:val="none" w:sz="0" w:space="0" w:color="auto"/>
            <w:left w:val="none" w:sz="0" w:space="0" w:color="auto"/>
            <w:bottom w:val="none" w:sz="0" w:space="0" w:color="auto"/>
            <w:right w:val="none" w:sz="0" w:space="0" w:color="auto"/>
          </w:divBdr>
        </w:div>
        <w:div w:id="1336104118">
          <w:marLeft w:val="0"/>
          <w:marRight w:val="0"/>
          <w:marTop w:val="0"/>
          <w:marBottom w:val="0"/>
          <w:divBdr>
            <w:top w:val="none" w:sz="0" w:space="0" w:color="auto"/>
            <w:left w:val="none" w:sz="0" w:space="0" w:color="auto"/>
            <w:bottom w:val="none" w:sz="0" w:space="0" w:color="auto"/>
            <w:right w:val="none" w:sz="0" w:space="0" w:color="auto"/>
          </w:divBdr>
        </w:div>
        <w:div w:id="2118061914">
          <w:marLeft w:val="0"/>
          <w:marRight w:val="0"/>
          <w:marTop w:val="0"/>
          <w:marBottom w:val="0"/>
          <w:divBdr>
            <w:top w:val="none" w:sz="0" w:space="0" w:color="auto"/>
            <w:left w:val="none" w:sz="0" w:space="0" w:color="auto"/>
            <w:bottom w:val="none" w:sz="0" w:space="0" w:color="auto"/>
            <w:right w:val="none" w:sz="0" w:space="0" w:color="auto"/>
          </w:divBdr>
        </w:div>
        <w:div w:id="74017248">
          <w:marLeft w:val="0"/>
          <w:marRight w:val="0"/>
          <w:marTop w:val="0"/>
          <w:marBottom w:val="0"/>
          <w:divBdr>
            <w:top w:val="none" w:sz="0" w:space="0" w:color="auto"/>
            <w:left w:val="none" w:sz="0" w:space="0" w:color="auto"/>
            <w:bottom w:val="none" w:sz="0" w:space="0" w:color="auto"/>
            <w:right w:val="none" w:sz="0" w:space="0" w:color="auto"/>
          </w:divBdr>
        </w:div>
        <w:div w:id="1557160673">
          <w:marLeft w:val="0"/>
          <w:marRight w:val="0"/>
          <w:marTop w:val="0"/>
          <w:marBottom w:val="0"/>
          <w:divBdr>
            <w:top w:val="none" w:sz="0" w:space="0" w:color="auto"/>
            <w:left w:val="none" w:sz="0" w:space="0" w:color="auto"/>
            <w:bottom w:val="none" w:sz="0" w:space="0" w:color="auto"/>
            <w:right w:val="none" w:sz="0" w:space="0" w:color="auto"/>
          </w:divBdr>
        </w:div>
        <w:div w:id="2092193058">
          <w:marLeft w:val="0"/>
          <w:marRight w:val="0"/>
          <w:marTop w:val="0"/>
          <w:marBottom w:val="0"/>
          <w:divBdr>
            <w:top w:val="none" w:sz="0" w:space="0" w:color="auto"/>
            <w:left w:val="none" w:sz="0" w:space="0" w:color="auto"/>
            <w:bottom w:val="none" w:sz="0" w:space="0" w:color="auto"/>
            <w:right w:val="none" w:sz="0" w:space="0" w:color="auto"/>
          </w:divBdr>
        </w:div>
        <w:div w:id="688062712">
          <w:marLeft w:val="0"/>
          <w:marRight w:val="0"/>
          <w:marTop w:val="0"/>
          <w:marBottom w:val="0"/>
          <w:divBdr>
            <w:top w:val="none" w:sz="0" w:space="0" w:color="auto"/>
            <w:left w:val="none" w:sz="0" w:space="0" w:color="auto"/>
            <w:bottom w:val="none" w:sz="0" w:space="0" w:color="auto"/>
            <w:right w:val="none" w:sz="0" w:space="0" w:color="auto"/>
          </w:divBdr>
        </w:div>
        <w:div w:id="606238059">
          <w:marLeft w:val="0"/>
          <w:marRight w:val="0"/>
          <w:marTop w:val="0"/>
          <w:marBottom w:val="0"/>
          <w:divBdr>
            <w:top w:val="none" w:sz="0" w:space="0" w:color="auto"/>
            <w:left w:val="none" w:sz="0" w:space="0" w:color="auto"/>
            <w:bottom w:val="none" w:sz="0" w:space="0" w:color="auto"/>
            <w:right w:val="none" w:sz="0" w:space="0" w:color="auto"/>
          </w:divBdr>
        </w:div>
        <w:div w:id="734625637">
          <w:marLeft w:val="0"/>
          <w:marRight w:val="0"/>
          <w:marTop w:val="0"/>
          <w:marBottom w:val="0"/>
          <w:divBdr>
            <w:top w:val="none" w:sz="0" w:space="0" w:color="auto"/>
            <w:left w:val="none" w:sz="0" w:space="0" w:color="auto"/>
            <w:bottom w:val="none" w:sz="0" w:space="0" w:color="auto"/>
            <w:right w:val="none" w:sz="0" w:space="0" w:color="auto"/>
          </w:divBdr>
        </w:div>
        <w:div w:id="2026981792">
          <w:marLeft w:val="0"/>
          <w:marRight w:val="0"/>
          <w:marTop w:val="0"/>
          <w:marBottom w:val="0"/>
          <w:divBdr>
            <w:top w:val="none" w:sz="0" w:space="0" w:color="auto"/>
            <w:left w:val="none" w:sz="0" w:space="0" w:color="auto"/>
            <w:bottom w:val="none" w:sz="0" w:space="0" w:color="auto"/>
            <w:right w:val="none" w:sz="0" w:space="0" w:color="auto"/>
          </w:divBdr>
        </w:div>
        <w:div w:id="336660443">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cms.gov/files/document/navigating-obstacles-ecqm-reporting-acos.pdf" TargetMode="External"/><Relationship Id="rId18" Type="http://schemas.openxmlformats.org/officeDocument/2006/relationships/hyperlink" Target="https://pmc.ncbi.nlm.nih.gov/articles/PMC11100129/"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ncqa.org/bulk-fhir-api-quality-coalition/" TargetMode="External"/><Relationship Id="rId7" Type="http://schemas.openxmlformats.org/officeDocument/2006/relationships/webSettings" Target="webSettings.xml"/><Relationship Id="rId12" Type="http://schemas.openxmlformats.org/officeDocument/2006/relationships/hyperlink" Target="https://www.federalregister.gov/documents/2020/05/01/2020-07419/21st-century-cures-act-interoperability-information-blocking-and-the-onc-health-it-certification" TargetMode="External"/><Relationship Id="rId17" Type="http://schemas.openxmlformats.org/officeDocument/2006/relationships/hyperlink" Target="https://www.cdc.gov/diabetes-prevention/hcp/lifestyle-change-program/index.html"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ecqi.healthit.gov/sites/default/files/dQMStrategicRoadmapExecSummarySlides_032022.pdf" TargetMode="External"/><Relationship Id="rId20" Type="http://schemas.openxmlformats.org/officeDocument/2006/relationships/hyperlink" Target="https://ajmc.s3.amazonaws.com/_media/_pdf/AJMC_10_2018_Parsons%20final.pdf"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regulations.gov/comment/CMS-2024-0008-0453" TargetMode="External"/><Relationship Id="rId24" Type="http://schemas.openxmlformats.org/officeDocument/2006/relationships/footer" Target="footer1.xml"/><Relationship Id="rId5" Type="http://schemas.openxmlformats.org/officeDocument/2006/relationships/styles" Target="styles.xml"/><Relationship Id="rId15" Type="http://schemas.openxmlformats.org/officeDocument/2006/relationships/hyperlink" Target="https://www.nejm.org/doi/full/10.1056/NEJMp2215539" TargetMode="External"/><Relationship Id="rId23" Type="http://schemas.openxmlformats.org/officeDocument/2006/relationships/header" Target="header1.xml"/><Relationship Id="rId10" Type="http://schemas.openxmlformats.org/officeDocument/2006/relationships/hyperlink" Target="https://www.cms.gov/priorities/innovation/about/strategic-direction" TargetMode="External"/><Relationship Id="rId19" Type="http://schemas.openxmlformats.org/officeDocument/2006/relationships/hyperlink" Target="https://pmc.ncbi.nlm.nih.gov/articles/PMC11100129/"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healthpolicy.duke.edu/sites/default/files/2024-12/Building%20Value%20into%20Reimbursement%20for%20Prescription%20Digital%20Therapeutics.pdf" TargetMode="External"/><Relationship Id="rId22" Type="http://schemas.openxmlformats.org/officeDocument/2006/relationships/hyperlink" Target="mailto:Frank.McStay@Duke.edu" TargetMode="External"/><Relationship Id="rId27" Type="http://schemas.microsoft.com/office/2020/10/relationships/intelligence" Target="intelligence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54A784CC3B4EC4CB67B27B354C02D55" ma:contentTypeVersion="12" ma:contentTypeDescription="Create a new document." ma:contentTypeScope="" ma:versionID="1f40877d9e5a4a9156488b98a159aaa3">
  <xsd:schema xmlns:xsd="http://www.w3.org/2001/XMLSchema" xmlns:xs="http://www.w3.org/2001/XMLSchema" xmlns:p="http://schemas.microsoft.com/office/2006/metadata/properties" xmlns:ns3="35b05ae0-40f0-4165-8604-7058f74f073f" targetNamespace="http://schemas.microsoft.com/office/2006/metadata/properties" ma:root="true" ma:fieldsID="6a597bc08adafb316afadb6e6f125028" ns3:_="">
    <xsd:import namespace="35b05ae0-40f0-4165-8604-7058f74f073f"/>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SearchProperties" minOccurs="0"/>
                <xsd:element ref="ns3:MediaServiceObjectDetectorVersions" minOccurs="0"/>
                <xsd:element ref="ns3:MediaServiceDateTaken" minOccurs="0"/>
                <xsd:element ref="ns3:_activity" minOccurs="0"/>
                <xsd:element ref="ns3:MediaServiceSystem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b05ae0-40f0-4165-8604-7058f74f07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35b05ae0-40f0-4165-8604-7058f74f073f" xsi:nil="true"/>
  </documentManagement>
</p:properties>
</file>

<file path=customXml/itemProps1.xml><?xml version="1.0" encoding="utf-8"?>
<ds:datastoreItem xmlns:ds="http://schemas.openxmlformats.org/officeDocument/2006/customXml" ds:itemID="{B749FEB2-B1AF-4AD2-9C22-4DE90E5D7E48}">
  <ds:schemaRefs>
    <ds:schemaRef ds:uri="http://schemas.microsoft.com/sharepoint/v3/contenttype/forms"/>
  </ds:schemaRefs>
</ds:datastoreItem>
</file>

<file path=customXml/itemProps2.xml><?xml version="1.0" encoding="utf-8"?>
<ds:datastoreItem xmlns:ds="http://schemas.openxmlformats.org/officeDocument/2006/customXml" ds:itemID="{F7DDE85C-28F1-4EA6-AD64-354132713D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b05ae0-40f0-4165-8604-7058f74f07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43CA40A-AD3D-430E-A974-6007004695F9}">
  <ds:schemaRefs>
    <ds:schemaRef ds:uri="http://schemas.microsoft.com/office/2006/metadata/properties"/>
    <ds:schemaRef ds:uri="http://schemas.microsoft.com/office/infopath/2007/PartnerControls"/>
    <ds:schemaRef ds:uri="35b05ae0-40f0-4165-8604-7058f74f073f"/>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4120</Words>
  <Characters>23487</Characters>
  <Application>Microsoft Office Word</Application>
  <DocSecurity>0</DocSecurity>
  <Lines>195</Lines>
  <Paragraphs>55</Paragraphs>
  <ScaleCrop>false</ScaleCrop>
  <Company>Duke University</Company>
  <LinksUpToDate>false</LinksUpToDate>
  <CharactersWithSpaces>27552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Wenbo Bai</cp:lastModifiedBy>
  <cp:revision>6</cp:revision>
  <dcterms:created xsi:type="dcterms:W3CDTF">2025-06-16T22:02:00Z</dcterms:created>
  <dcterms:modified xsi:type="dcterms:W3CDTF">2025-06-16T22:10:00Z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0x010100554A784CC3B4EC4CB67B27B354C02D55</vt:lpwstr>
  </property>
</Properties>
</file>