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A6F13" w14:textId="4CFA9C5C" w:rsidR="00B532AE" w:rsidRPr="001004BB" w:rsidRDefault="00B532AE">
      <w:pPr>
        <w:rPr>
          <w:b/>
          <w:bCs/>
        </w:rPr>
      </w:pPr>
      <w:r w:rsidRPr="001004BB">
        <w:rPr>
          <w:b/>
          <w:bCs/>
        </w:rPr>
        <w:t>INTRODUCTION</w:t>
      </w:r>
    </w:p>
    <w:p w14:paraId="41EC4EC1" w14:textId="7E49AACB" w:rsidR="00B532AE" w:rsidRDefault="00084B5B">
      <w:r>
        <w:t>BillHCO, LLC is a sole proprietorship</w:t>
      </w:r>
      <w:r w:rsidR="00832A6E">
        <w:t>,</w:t>
      </w:r>
      <w:r>
        <w:t xml:space="preserve"> Healthcare IT consulting firm leveraging ~35 years of interoperability experience including connecting lab instruments to information systems, scaling up an EDI X12 clearinghouse during the HIPAA transition, implementing dozens of HIEs (in 6 continents), implementing stat</w:t>
      </w:r>
      <w:r w:rsidR="00021572">
        <w:t>e</w:t>
      </w:r>
      <w:r>
        <w:t>wide encounter alert services in ~10 states, as well as being the board chair of a national network for ~5 years (</w:t>
      </w:r>
      <w:r w:rsidR="00832A6E">
        <w:t xml:space="preserve">during its transition to be a </w:t>
      </w:r>
      <w:r>
        <w:t>TEFCA QHIN).</w:t>
      </w:r>
    </w:p>
    <w:p w14:paraId="0CCDA206" w14:textId="4F7DD4C8" w:rsidR="00B82D6B" w:rsidRDefault="00B82D6B">
      <w:r>
        <w:t xml:space="preserve">This RFI response is built on a career of experiences and </w:t>
      </w:r>
      <w:r w:rsidR="00021572">
        <w:t>represents</w:t>
      </w:r>
      <w:r>
        <w:t xml:space="preserve"> my personal opinions only!</w:t>
      </w:r>
    </w:p>
    <w:tbl>
      <w:tblPr>
        <w:tblStyle w:val="TableGrid"/>
        <w:tblW w:w="0" w:type="auto"/>
        <w:tblLook w:val="04A0" w:firstRow="1" w:lastRow="0" w:firstColumn="1" w:lastColumn="0" w:noHBand="0" w:noVBand="1"/>
      </w:tblPr>
      <w:tblGrid>
        <w:gridCol w:w="2075"/>
        <w:gridCol w:w="8715"/>
      </w:tblGrid>
      <w:tr w:rsidR="001A4092" w:rsidRPr="00CC5922" w14:paraId="3D5E9BC6" w14:textId="77777777" w:rsidTr="00AA12AF">
        <w:tc>
          <w:tcPr>
            <w:tcW w:w="10255" w:type="dxa"/>
            <w:gridSpan w:val="2"/>
          </w:tcPr>
          <w:p w14:paraId="0AE990A4" w14:textId="77777777" w:rsidR="001A4092" w:rsidRPr="00CC5922" w:rsidRDefault="001A4092" w:rsidP="00D44F61">
            <w:pPr>
              <w:rPr>
                <w:b/>
                <w:bCs/>
              </w:rPr>
            </w:pPr>
            <w:r w:rsidRPr="001A4092">
              <w:rPr>
                <w:b/>
                <w:bCs/>
              </w:rPr>
              <w:t>TD-1</w:t>
            </w:r>
            <w:proofErr w:type="gramStart"/>
            <w:r w:rsidRPr="001A4092">
              <w:rPr>
                <w:b/>
                <w:bCs/>
              </w:rPr>
              <w:t xml:space="preserve">. </w:t>
            </w:r>
            <w:proofErr w:type="gramEnd"/>
            <w:r w:rsidRPr="001A4092">
              <w:rPr>
                <w:b/>
                <w:bCs/>
              </w:rPr>
              <w:t>What short term (in the next 2 years</w:t>
            </w:r>
            <w:proofErr w:type="gramStart"/>
            <w:r w:rsidRPr="001A4092">
              <w:rPr>
                <w:b/>
                <w:bCs/>
              </w:rPr>
              <w:t>)</w:t>
            </w:r>
            <w:proofErr w:type="gramEnd"/>
            <w:r w:rsidRPr="001A4092">
              <w:rPr>
                <w:b/>
                <w:bCs/>
              </w:rPr>
              <w:t xml:space="preserve"> and longer-term steps can CMS take to stimulate developer interest in building digital health products for Medicare beneficiaries and caregivers?</w:t>
            </w:r>
          </w:p>
        </w:tc>
      </w:tr>
      <w:tr w:rsidR="001A4092" w14:paraId="675ADBA5" w14:textId="77777777" w:rsidTr="00832A6E">
        <w:tc>
          <w:tcPr>
            <w:tcW w:w="1165" w:type="dxa"/>
          </w:tcPr>
          <w:p w14:paraId="718ADD9C" w14:textId="77777777" w:rsidR="001A4092" w:rsidRDefault="001A4092" w:rsidP="00D44F61">
            <w:r>
              <w:t>Analysis</w:t>
            </w:r>
          </w:p>
        </w:tc>
        <w:tc>
          <w:tcPr>
            <w:tcW w:w="9090" w:type="dxa"/>
          </w:tcPr>
          <w:p w14:paraId="69728AF6" w14:textId="77777777" w:rsidR="00832A6E" w:rsidRDefault="002A6B00" w:rsidP="002A6B00">
            <w:r>
              <w:t xml:space="preserve">For inter-Participant exchange (e.g. Provider-to-Payer, Provider-to-Public Health), </w:t>
            </w:r>
            <w:r w:rsidR="00832A6E">
              <w:t xml:space="preserve">there are advantages and disadvantages to using FHIR APIs compared with a </w:t>
            </w:r>
            <w:r>
              <w:t xml:space="preserve">CDA </w:t>
            </w:r>
            <w:r w:rsidR="00832A6E">
              <w:t xml:space="preserve">+ AI </w:t>
            </w:r>
            <w:r>
              <w:t xml:space="preserve">approach </w:t>
            </w:r>
            <w:r w:rsidR="00832A6E">
              <w:t xml:space="preserve">that is already at-scale and time-to-value </w:t>
            </w:r>
            <w:r>
              <w:t>can be immediately realized</w:t>
            </w:r>
            <w:r w:rsidR="00D82222">
              <w:t xml:space="preserve"> (as it was during COVID)</w:t>
            </w:r>
            <w:r w:rsidR="00832A6E">
              <w:t>.</w:t>
            </w:r>
          </w:p>
          <w:p w14:paraId="337C9A1C" w14:textId="77777777" w:rsidR="00832A6E" w:rsidRDefault="00832A6E" w:rsidP="002A6B00"/>
          <w:p w14:paraId="14F73FE2" w14:textId="42235331" w:rsidR="002A6B00" w:rsidRDefault="00832A6E" w:rsidP="002A6B00">
            <w:r>
              <w:t xml:space="preserve">Here are some of the </w:t>
            </w:r>
            <w:r w:rsidR="002A6B00">
              <w:t xml:space="preserve">pros/cons </w:t>
            </w:r>
            <w:r>
              <w:t>of the different approaches</w:t>
            </w:r>
            <w:r w:rsidR="002A6B00">
              <w:t>:</w:t>
            </w:r>
          </w:p>
          <w:p w14:paraId="675C2ABC" w14:textId="77777777" w:rsidR="002A6B00" w:rsidRDefault="002A6B00" w:rsidP="002A6B00"/>
          <w:p w14:paraId="64F9DBB3" w14:textId="322088B9" w:rsidR="002A6B00" w:rsidRPr="002A6B00" w:rsidRDefault="002A6B00" w:rsidP="002A6B00">
            <w:pPr>
              <w:rPr>
                <w:b/>
                <w:bCs/>
                <w:u w:val="single"/>
              </w:rPr>
            </w:pPr>
            <w:r w:rsidRPr="002A6B00">
              <w:rPr>
                <w:b/>
                <w:bCs/>
                <w:u w:val="single"/>
              </w:rPr>
              <w:t>FHIR</w:t>
            </w:r>
            <w:r w:rsidR="00D82222">
              <w:rPr>
                <w:b/>
                <w:bCs/>
                <w:u w:val="single"/>
              </w:rPr>
              <w:t xml:space="preserve"> Pro’s</w:t>
            </w:r>
            <w:r w:rsidRPr="002A6B00">
              <w:rPr>
                <w:b/>
                <w:bCs/>
                <w:u w:val="single"/>
              </w:rPr>
              <w:t>:</w:t>
            </w:r>
          </w:p>
          <w:p w14:paraId="606E526B" w14:textId="5939BCAE" w:rsidR="002A6B00" w:rsidRDefault="002A6B00" w:rsidP="002A6B00">
            <w:r w:rsidRPr="00D82222">
              <w:rPr>
                <w:b/>
                <w:bCs/>
              </w:rPr>
              <w:t xml:space="preserve">1. </w:t>
            </w:r>
            <w:r w:rsidR="00D82222" w:rsidRPr="00D82222">
              <w:rPr>
                <w:b/>
                <w:bCs/>
              </w:rPr>
              <w:t>Modern approach:</w:t>
            </w:r>
            <w:r w:rsidR="00D82222">
              <w:t xml:space="preserve"> FHIR </w:t>
            </w:r>
            <w:r>
              <w:t xml:space="preserve">is </w:t>
            </w:r>
            <w:r w:rsidR="00D82222">
              <w:t xml:space="preserve">a </w:t>
            </w:r>
            <w:r>
              <w:t>more elegant and modern API-centric approach</w:t>
            </w:r>
            <w:r w:rsidR="00D82222">
              <w:t>.</w:t>
            </w:r>
          </w:p>
          <w:p w14:paraId="035CBE66" w14:textId="25877E06" w:rsidR="002A6B00" w:rsidRDefault="002A6B00" w:rsidP="002A6B00">
            <w:r w:rsidRPr="00D82222">
              <w:rPr>
                <w:b/>
                <w:bCs/>
              </w:rPr>
              <w:t>2.</w:t>
            </w:r>
            <w:r w:rsidR="00D82222" w:rsidRPr="00D82222">
              <w:rPr>
                <w:b/>
                <w:bCs/>
              </w:rPr>
              <w:t xml:space="preserve"> Regulations</w:t>
            </w:r>
            <w:r w:rsidRPr="00D82222">
              <w:rPr>
                <w:b/>
                <w:bCs/>
              </w:rPr>
              <w:t>:</w:t>
            </w:r>
            <w:r>
              <w:t xml:space="preserve"> </w:t>
            </w:r>
            <w:r w:rsidR="00D82222">
              <w:t xml:space="preserve">FHIR </w:t>
            </w:r>
            <w:r>
              <w:t>is called-out in many regulations (CMS-9115 (Patient Access), CMS-0057 (ePA, Provider Access) as well as CEHRT (which is called out in CMS MU/PI/MIPS)) … so, FHIR must be deployed by specific dates!!!</w:t>
            </w:r>
          </w:p>
          <w:p w14:paraId="257C0244" w14:textId="77777777" w:rsidR="00D82222" w:rsidRDefault="00D82222" w:rsidP="002A6B00"/>
          <w:p w14:paraId="75683F5F" w14:textId="542623EF" w:rsidR="00D82222" w:rsidRPr="00D82222" w:rsidRDefault="00D82222" w:rsidP="002A6B00">
            <w:pPr>
              <w:rPr>
                <w:b/>
                <w:bCs/>
                <w:u w:val="single"/>
              </w:rPr>
            </w:pPr>
            <w:r w:rsidRPr="00D82222">
              <w:rPr>
                <w:b/>
                <w:bCs/>
                <w:u w:val="single"/>
              </w:rPr>
              <w:t>FHIR Con’s</w:t>
            </w:r>
            <w:r>
              <w:rPr>
                <w:b/>
                <w:bCs/>
                <w:u w:val="single"/>
              </w:rPr>
              <w:t>:</w:t>
            </w:r>
          </w:p>
          <w:p w14:paraId="1800F545" w14:textId="0FD152D4" w:rsidR="002A6B00" w:rsidRDefault="002A6B00" w:rsidP="002A6B00">
            <w:r w:rsidRPr="00D82222">
              <w:rPr>
                <w:b/>
                <w:bCs/>
              </w:rPr>
              <w:t>3.</w:t>
            </w:r>
            <w:r w:rsidR="00D82222" w:rsidRPr="00D82222">
              <w:rPr>
                <w:b/>
                <w:bCs/>
              </w:rPr>
              <w:t xml:space="preserve"> Adoption: </w:t>
            </w:r>
            <w:r>
              <w:t>has limited production adoption for “inter-</w:t>
            </w:r>
            <w:r w:rsidR="00D82222">
              <w:t>Participant</w:t>
            </w:r>
            <w:r>
              <w:t>, B2B” (which is quite different than “intra-</w:t>
            </w:r>
            <w:r w:rsidR="00D82222">
              <w:t>Participant</w:t>
            </w:r>
            <w:r>
              <w:t>” (sidecar apps used by health systems) or “B2C” (very low adoption, consumer-limited usage))</w:t>
            </w:r>
          </w:p>
          <w:p w14:paraId="77CE23F7" w14:textId="069BAB0B" w:rsidR="002A6B00" w:rsidRDefault="002A6B00" w:rsidP="002A6B00">
            <w:r w:rsidRPr="00D82222">
              <w:rPr>
                <w:b/>
                <w:bCs/>
              </w:rPr>
              <w:t>4.</w:t>
            </w:r>
            <w:r w:rsidR="00D82222" w:rsidRPr="00D82222">
              <w:rPr>
                <w:b/>
                <w:bCs/>
              </w:rPr>
              <w:t xml:space="preserve"> FHIR Client Registration:</w:t>
            </w:r>
            <w:r>
              <w:t xml:space="preserve"> requires either a “Networked FHIR” approach (like eH</w:t>
            </w:r>
            <w:r w:rsidR="00D82222">
              <w:t>ealth Exchange</w:t>
            </w:r>
            <w:r>
              <w:t xml:space="preserve"> or Epic) or </w:t>
            </w:r>
            <w:r w:rsidR="00D82222">
              <w:t xml:space="preserve">OAuth </w:t>
            </w:r>
            <w:r>
              <w:t xml:space="preserve">UDAP Dynamic Client Registration (not proven technically nor by CISO scrutiny (not to mention the long timeline for </w:t>
            </w:r>
            <w:r w:rsidR="00D82222">
              <w:t xml:space="preserve">adding to </w:t>
            </w:r>
            <w:r>
              <w:t xml:space="preserve">EHR CEHRT &amp; </w:t>
            </w:r>
            <w:r w:rsidR="00D82222">
              <w:t xml:space="preserve">then market </w:t>
            </w:r>
            <w:r>
              <w:t>adoption))</w:t>
            </w:r>
          </w:p>
          <w:p w14:paraId="3A46BB02" w14:textId="46EFD9F3" w:rsidR="002A6B00" w:rsidRDefault="002A6B00" w:rsidP="002A6B00">
            <w:r w:rsidRPr="00D82222">
              <w:rPr>
                <w:b/>
                <w:bCs/>
              </w:rPr>
              <w:t>5.</w:t>
            </w:r>
            <w:r w:rsidR="00D82222" w:rsidRPr="00D82222">
              <w:rPr>
                <w:b/>
                <w:bCs/>
              </w:rPr>
              <w:t xml:space="preserve"> Chatty</w:t>
            </w:r>
            <w:r w:rsidRPr="00D82222">
              <w:rPr>
                <w:b/>
                <w:bCs/>
              </w:rPr>
              <w:t>:</w:t>
            </w:r>
            <w:r>
              <w:t xml:space="preserve"> </w:t>
            </w:r>
            <w:r w:rsidR="00D82222">
              <w:t xml:space="preserve">FHIR </w:t>
            </w:r>
            <w:r>
              <w:t xml:space="preserve">is </w:t>
            </w:r>
            <w:r w:rsidR="00D82222">
              <w:t>“</w:t>
            </w:r>
            <w:r>
              <w:t>chatty</w:t>
            </w:r>
            <w:r w:rsidR="00D82222">
              <w:t>”</w:t>
            </w:r>
            <w:r>
              <w:t xml:space="preserve"> and likely to be expensive to deploy due to the # of transactions traversing disparate systems (whereas “OnDemandCDA’s” do the heavy-lifting on the server-side (as does BulkFHIR, conceptually)).</w:t>
            </w:r>
          </w:p>
          <w:p w14:paraId="4681145E" w14:textId="3E28D3CD" w:rsidR="002A6B00" w:rsidRDefault="002A6B00" w:rsidP="002A6B00">
            <w:r w:rsidRPr="00D82222">
              <w:rPr>
                <w:b/>
                <w:bCs/>
              </w:rPr>
              <w:t>6.</w:t>
            </w:r>
            <w:r w:rsidR="00D82222" w:rsidRPr="00D82222">
              <w:rPr>
                <w:b/>
                <w:bCs/>
              </w:rPr>
              <w:t xml:space="preserve"> Unproven IGs</w:t>
            </w:r>
            <w:r w:rsidRPr="00D82222">
              <w:rPr>
                <w:b/>
                <w:bCs/>
              </w:rPr>
              <w:t>:</w:t>
            </w:r>
            <w:r>
              <w:t xml:space="preserve"> still has unproven integration patterns (Facilitated point-to-point vs Brokered vs Networked FHIR) … the C</w:t>
            </w:r>
            <w:r w:rsidR="00832A6E">
              <w:t xml:space="preserve">arequality and </w:t>
            </w:r>
            <w:r>
              <w:t xml:space="preserve">TEFCA FHIR specs </w:t>
            </w:r>
            <w:r w:rsidR="00832A6E">
              <w:t xml:space="preserve">have not been </w:t>
            </w:r>
            <w:r w:rsidR="00021572">
              <w:t>implement</w:t>
            </w:r>
            <w:r w:rsidR="00832A6E">
              <w:t xml:space="preserve">ed in production </w:t>
            </w:r>
            <w:r>
              <w:t xml:space="preserve">(and </w:t>
            </w:r>
            <w:r w:rsidR="00832A6E">
              <w:t>thus will still need refinement</w:t>
            </w:r>
            <w:r>
              <w:t>)</w:t>
            </w:r>
            <w:r w:rsidR="00832A6E">
              <w:t>.</w:t>
            </w:r>
          </w:p>
          <w:p w14:paraId="60F72F6A" w14:textId="0A931456" w:rsidR="002A6B00" w:rsidRDefault="002A6B00" w:rsidP="002A6B00">
            <w:r w:rsidRPr="00D82222">
              <w:rPr>
                <w:b/>
                <w:bCs/>
              </w:rPr>
              <w:t>7.</w:t>
            </w:r>
            <w:r w:rsidR="00D82222" w:rsidRPr="00D82222">
              <w:rPr>
                <w:b/>
                <w:bCs/>
              </w:rPr>
              <w:t>Bulk FHIR:</w:t>
            </w:r>
            <w:r w:rsidR="00D82222">
              <w:t xml:space="preserve"> is</w:t>
            </w:r>
            <w:r>
              <w:t xml:space="preserve"> not scalable for </w:t>
            </w:r>
            <w:r w:rsidR="00D82222">
              <w:t xml:space="preserve">many use cases </w:t>
            </w:r>
            <w:r>
              <w:t>at least two reasons: #1: there’s no support for posting a “group” (e.g. a Payer or ACO asserting a member roster), and #2: FHIR performance when querying a transaction server</w:t>
            </w:r>
            <w:r w:rsidR="00832A6E">
              <w:t xml:space="preserve"> (not to mention the need to manage large rosters across many providers and many payers)</w:t>
            </w:r>
            <w:r>
              <w:t>.</w:t>
            </w:r>
          </w:p>
          <w:p w14:paraId="3AFD4CB9" w14:textId="77777777" w:rsidR="002A6B00" w:rsidRDefault="002A6B00" w:rsidP="002A6B00"/>
          <w:p w14:paraId="05E2EA7A" w14:textId="0CB4D083" w:rsidR="002A6B00" w:rsidRPr="002A6B00" w:rsidRDefault="002A6B00" w:rsidP="002A6B00">
            <w:pPr>
              <w:rPr>
                <w:b/>
                <w:bCs/>
                <w:u w:val="single"/>
              </w:rPr>
            </w:pPr>
            <w:r w:rsidRPr="002A6B00">
              <w:rPr>
                <w:b/>
                <w:bCs/>
                <w:u w:val="single"/>
              </w:rPr>
              <w:t>CDA</w:t>
            </w:r>
            <w:r w:rsidR="00D82222">
              <w:rPr>
                <w:b/>
                <w:bCs/>
                <w:u w:val="single"/>
              </w:rPr>
              <w:t xml:space="preserve"> Pro’s</w:t>
            </w:r>
            <w:r w:rsidR="00832A6E">
              <w:rPr>
                <w:b/>
                <w:bCs/>
                <w:u w:val="single"/>
              </w:rPr>
              <w:t>:</w:t>
            </w:r>
          </w:p>
          <w:p w14:paraId="6D49EC2F" w14:textId="1454B4AC" w:rsidR="002A6B00" w:rsidRDefault="00D82222" w:rsidP="002A6B00">
            <w:r w:rsidRPr="00D82222">
              <w:rPr>
                <w:b/>
                <w:bCs/>
              </w:rPr>
              <w:t>9</w:t>
            </w:r>
            <w:r w:rsidR="002A6B00" w:rsidRPr="00D82222">
              <w:rPr>
                <w:b/>
                <w:bCs/>
              </w:rPr>
              <w:t>.</w:t>
            </w:r>
            <w:r w:rsidRPr="00D82222">
              <w:rPr>
                <w:b/>
                <w:bCs/>
              </w:rPr>
              <w:t xml:space="preserve"> Production Use</w:t>
            </w:r>
            <w:r w:rsidR="002A6B00" w:rsidRPr="00D82222">
              <w:rPr>
                <w:b/>
                <w:bCs/>
              </w:rPr>
              <w:t>:</w:t>
            </w:r>
            <w:r w:rsidR="002A6B00">
              <w:t xml:space="preserve"> </w:t>
            </w:r>
            <w:r>
              <w:t xml:space="preserve">National Networks transact </w:t>
            </w:r>
            <w:r w:rsidR="002A6B00">
              <w:t xml:space="preserve">billions of transactions per month which are in production and solving real-world issues for which users are “willing </w:t>
            </w:r>
            <w:r w:rsidR="002A6B00">
              <w:lastRenderedPageBreak/>
              <w:t xml:space="preserve">to pay” (the litmus test for product management: CDA’s go for $1-10 </w:t>
            </w:r>
            <w:proofErr w:type="gramStart"/>
            <w:r w:rsidR="002A6B00">
              <w:t>PMPY</w:t>
            </w:r>
            <w:proofErr w:type="gramEnd"/>
            <w:r>
              <w:t xml:space="preserve"> and </w:t>
            </w:r>
            <w:r w:rsidR="00832A6E">
              <w:t xml:space="preserve">this is </w:t>
            </w:r>
            <w:r>
              <w:t>much cheaper than manual chart pulls</w:t>
            </w:r>
            <w:r w:rsidR="00832A6E">
              <w:t xml:space="preserve"> ($10-$50/patient)</w:t>
            </w:r>
            <w:r w:rsidR="002A6B00">
              <w:t>)</w:t>
            </w:r>
            <w:r w:rsidR="00832A6E">
              <w:t>.</w:t>
            </w:r>
          </w:p>
          <w:p w14:paraId="47F6CB2C" w14:textId="453E6E11" w:rsidR="002A6B00" w:rsidRDefault="00D82222" w:rsidP="002A6B00">
            <w:r w:rsidRPr="00D82222">
              <w:rPr>
                <w:b/>
                <w:bCs/>
              </w:rPr>
              <w:t>10. Time-to-Market:</w:t>
            </w:r>
            <w:r w:rsidR="002A6B00">
              <w:t xml:space="preserve"> we know </w:t>
            </w:r>
            <w:r>
              <w:t xml:space="preserve">extending the Purposes of Use for Health Care Operations and Public Health </w:t>
            </w:r>
            <w:r w:rsidR="002A6B00">
              <w:t>could be quickly adopted (given COVID experiences where PoU=T</w:t>
            </w:r>
            <w:r>
              <w:t xml:space="preserve"> </w:t>
            </w:r>
            <w:r w:rsidR="002A6B00">
              <w:t xml:space="preserve">was </w:t>
            </w:r>
            <w:r w:rsidR="00A15166">
              <w:t xml:space="preserve">used in combination with a </w:t>
            </w:r>
            <w:r w:rsidR="002A6B00">
              <w:t xml:space="preserve">SAML </w:t>
            </w:r>
            <w:r w:rsidR="00A15166">
              <w:t xml:space="preserve">header which included </w:t>
            </w:r>
            <w:r w:rsidR="002A6B00">
              <w:t xml:space="preserve">additional query initiator details </w:t>
            </w:r>
            <w:r w:rsidR="00A15166">
              <w:t xml:space="preserve">to allow proper </w:t>
            </w:r>
            <w:r>
              <w:t>audit log</w:t>
            </w:r>
            <w:r w:rsidR="00A15166">
              <w:t>ging</w:t>
            </w:r>
            <w:r>
              <w:t>.</w:t>
            </w:r>
          </w:p>
          <w:p w14:paraId="61DD39D0" w14:textId="164FD761" w:rsidR="002A6B00" w:rsidRDefault="00D82222" w:rsidP="002A6B00">
            <w:r w:rsidRPr="00D82222">
              <w:rPr>
                <w:b/>
                <w:bCs/>
              </w:rPr>
              <w:t>11</w:t>
            </w:r>
            <w:r w:rsidR="002A6B00" w:rsidRPr="00D82222">
              <w:rPr>
                <w:b/>
                <w:bCs/>
              </w:rPr>
              <w:t>.</w:t>
            </w:r>
            <w:r w:rsidRPr="00D82222">
              <w:rPr>
                <w:b/>
                <w:bCs/>
              </w:rPr>
              <w:t xml:space="preserve"> Legal Authenticator:</w:t>
            </w:r>
            <w:r>
              <w:t xml:space="preserve"> CDA’s have </w:t>
            </w:r>
            <w:r w:rsidR="002A6B00">
              <w:t xml:space="preserve">“legal authenticator” which is critical for many data quality program audits (e.g. CMS RADV for Medicare Advantage).  </w:t>
            </w:r>
            <w:r>
              <w:t xml:space="preserve">It is not clear how this would be implemented within </w:t>
            </w:r>
            <w:r w:rsidR="002A6B00">
              <w:t xml:space="preserve">FHIR </w:t>
            </w:r>
            <w:r>
              <w:t>given the flexibility querying for any type of</w:t>
            </w:r>
            <w:r w:rsidR="002A6B00">
              <w:t xml:space="preserve"> </w:t>
            </w:r>
            <w:r w:rsidR="00A15166">
              <w:t xml:space="preserve">combination of </w:t>
            </w:r>
            <w:r w:rsidR="002A6B00">
              <w:t>resources?</w:t>
            </w:r>
          </w:p>
          <w:p w14:paraId="7EFFD0CD" w14:textId="3F56FD0A" w:rsidR="002A6B00" w:rsidRDefault="00D82222" w:rsidP="002A6B00">
            <w:r w:rsidRPr="00D82222">
              <w:rPr>
                <w:b/>
                <w:bCs/>
              </w:rPr>
              <w:t>12. Sensitive Data</w:t>
            </w:r>
            <w:r w:rsidR="002A6B00" w:rsidRPr="00D82222">
              <w:rPr>
                <w:b/>
                <w:bCs/>
              </w:rPr>
              <w:t>:</w:t>
            </w:r>
            <w:r w:rsidR="002A6B00">
              <w:t xml:space="preserve"> </w:t>
            </w:r>
            <w:r>
              <w:t xml:space="preserve">CDA implementations </w:t>
            </w:r>
            <w:r w:rsidR="002A6B00">
              <w:t>properly handle</w:t>
            </w:r>
            <w:r>
              <w:t xml:space="preserve"> </w:t>
            </w:r>
            <w:r w:rsidR="002A6B00">
              <w:t xml:space="preserve">sensitive data (whereas the FHIR APIs are unfiltered, causing concerns about handling of sensitive data and the need for additional tooling (non-trivial, even if </w:t>
            </w:r>
            <w:r w:rsidR="00A15166">
              <w:t>filtered</w:t>
            </w:r>
            <w:r>
              <w:t xml:space="preserve"> </w:t>
            </w:r>
            <w:r w:rsidR="002A6B00">
              <w:t>by an Encounter ID))</w:t>
            </w:r>
            <w:r>
              <w:t xml:space="preserve">.  This has not been built by EHRs nor </w:t>
            </w:r>
            <w:r w:rsidR="00A15166">
              <w:t xml:space="preserve">is this </w:t>
            </w:r>
            <w:r>
              <w:t>part of CEHRT</w:t>
            </w:r>
            <w:r w:rsidR="00A15166">
              <w:t>.</w:t>
            </w:r>
          </w:p>
          <w:p w14:paraId="36FA4C6C" w14:textId="0F1DA3F7" w:rsidR="002A6B00" w:rsidRDefault="00E55032" w:rsidP="002A6B00">
            <w:r w:rsidRPr="00E55032">
              <w:rPr>
                <w:b/>
                <w:bCs/>
              </w:rPr>
              <w:t xml:space="preserve">13. AI-Tools: </w:t>
            </w:r>
            <w:r w:rsidR="002A6B00">
              <w:t xml:space="preserve">in an “agentic AI’ world, the “kitchen-sink” CDA approach may be adequate and more effective than the discrete data queried </w:t>
            </w:r>
            <w:r w:rsidR="00A15166">
              <w:t xml:space="preserve">using </w:t>
            </w:r>
            <w:r w:rsidR="002A6B00">
              <w:t>FHIR</w:t>
            </w:r>
            <w:r w:rsidR="00A15166">
              <w:t>.</w:t>
            </w:r>
          </w:p>
          <w:p w14:paraId="77648BFA" w14:textId="7529F46F" w:rsidR="002A6B00" w:rsidRDefault="00E55032" w:rsidP="00D44F61">
            <w:r w:rsidRPr="00E55032">
              <w:rPr>
                <w:b/>
                <w:bCs/>
              </w:rPr>
              <w:t>14. Proof-Points</w:t>
            </w:r>
            <w:r w:rsidR="002A6B00" w:rsidRPr="00E55032">
              <w:rPr>
                <w:b/>
                <w:bCs/>
              </w:rPr>
              <w:t>:</w:t>
            </w:r>
            <w:r w:rsidR="002A6B00">
              <w:t xml:space="preserve"> CDA is good enough for </w:t>
            </w:r>
            <w:r>
              <w:t>many of the EHR vendor’s “</w:t>
            </w:r>
            <w:r w:rsidR="002A6B00">
              <w:t>Payer Platform</w:t>
            </w:r>
            <w:r>
              <w:t>s”</w:t>
            </w:r>
            <w:r w:rsidR="002A6B00">
              <w:t xml:space="preserve"> (where additional administrative data and access to CDA discharge summaries </w:t>
            </w:r>
            <w:r w:rsidR="00A15166">
              <w:t xml:space="preserve">are </w:t>
            </w:r>
            <w:r w:rsidR="002A6B00">
              <w:t xml:space="preserve">state of the art and </w:t>
            </w:r>
            <w:proofErr w:type="gramStart"/>
            <w:r w:rsidR="00A15166">
              <w:t xml:space="preserve">are </w:t>
            </w:r>
            <w:r>
              <w:t>able to</w:t>
            </w:r>
            <w:proofErr w:type="gramEnd"/>
            <w:r>
              <w:t xml:space="preserve"> provide </w:t>
            </w:r>
            <w:r w:rsidR="002A6B00">
              <w:t xml:space="preserve">adequate </w:t>
            </w:r>
            <w:r w:rsidR="00A15166">
              <w:t xml:space="preserve">data </w:t>
            </w:r>
            <w:r w:rsidR="002A6B00">
              <w:t>for Payers</w:t>
            </w:r>
            <w:r>
              <w:t xml:space="preserve"> (</w:t>
            </w:r>
            <w:r w:rsidR="00A15166">
              <w:t>in addition to</w:t>
            </w:r>
            <w:r>
              <w:t xml:space="preserve"> Provider-to-Provider exchanges which are integrated into the end-user workflows given the </w:t>
            </w:r>
            <w:r w:rsidR="00A15166">
              <w:t xml:space="preserve">CEHRT </w:t>
            </w:r>
            <w:r>
              <w:t>Clinical Information Reconciliation requirement</w:t>
            </w:r>
            <w:r w:rsidR="002A6B00">
              <w:t>)</w:t>
            </w:r>
            <w:r>
              <w:t>.</w:t>
            </w:r>
          </w:p>
        </w:tc>
      </w:tr>
      <w:tr w:rsidR="001A4092" w14:paraId="5F72DC3C" w14:textId="77777777" w:rsidTr="00832A6E">
        <w:tc>
          <w:tcPr>
            <w:tcW w:w="1165" w:type="dxa"/>
          </w:tcPr>
          <w:p w14:paraId="23A94374" w14:textId="77777777" w:rsidR="001A4092" w:rsidRPr="00A77218" w:rsidRDefault="001A4092" w:rsidP="00D44F61">
            <w:pPr>
              <w:rPr>
                <w:color w:val="EE0000"/>
              </w:rPr>
            </w:pPr>
            <w:r w:rsidRPr="00A77218">
              <w:rPr>
                <w:color w:val="EE0000"/>
              </w:rPr>
              <w:lastRenderedPageBreak/>
              <w:t>Recommendation</w:t>
            </w:r>
          </w:p>
        </w:tc>
        <w:tc>
          <w:tcPr>
            <w:tcW w:w="9090" w:type="dxa"/>
          </w:tcPr>
          <w:p w14:paraId="2F8D6BF1" w14:textId="22046568" w:rsidR="001A4092" w:rsidRPr="00A77218" w:rsidRDefault="002A6B00" w:rsidP="00D44F61">
            <w:pPr>
              <w:rPr>
                <w:color w:val="EE0000"/>
              </w:rPr>
            </w:pPr>
            <w:r w:rsidRPr="00A77218">
              <w:rPr>
                <w:color w:val="EE0000"/>
              </w:rPr>
              <w:t xml:space="preserve">As was successfully done </w:t>
            </w:r>
            <w:r w:rsidR="00E55032" w:rsidRPr="00A77218">
              <w:rPr>
                <w:color w:val="EE0000"/>
              </w:rPr>
              <w:t xml:space="preserve">within days </w:t>
            </w:r>
            <w:r w:rsidRPr="00A77218">
              <w:rPr>
                <w:color w:val="EE0000"/>
              </w:rPr>
              <w:t>during COVID, make small policy and techn</w:t>
            </w:r>
            <w:r w:rsidR="00A15166">
              <w:rPr>
                <w:color w:val="EE0000"/>
              </w:rPr>
              <w:t xml:space="preserve">ology </w:t>
            </w:r>
            <w:r w:rsidRPr="00A77218">
              <w:rPr>
                <w:color w:val="EE0000"/>
              </w:rPr>
              <w:t>changes to enable the current IHE SOAP CDA national networks to be used for inter-Participant exchange</w:t>
            </w:r>
            <w:r w:rsidR="00A15166">
              <w:rPr>
                <w:color w:val="EE0000"/>
              </w:rPr>
              <w:t xml:space="preserve">.  This, </w:t>
            </w:r>
            <w:r w:rsidRPr="00A77218">
              <w:rPr>
                <w:color w:val="EE0000"/>
              </w:rPr>
              <w:t>combined with the use of AI tools</w:t>
            </w:r>
            <w:r w:rsidR="00E55032" w:rsidRPr="00A77218">
              <w:rPr>
                <w:color w:val="EE0000"/>
              </w:rPr>
              <w:t>,</w:t>
            </w:r>
            <w:r w:rsidRPr="00A77218">
              <w:rPr>
                <w:color w:val="EE0000"/>
              </w:rPr>
              <w:t xml:space="preserve"> </w:t>
            </w:r>
            <w:r w:rsidR="00A15166">
              <w:rPr>
                <w:color w:val="EE0000"/>
              </w:rPr>
              <w:t xml:space="preserve">can stimulate innovation and </w:t>
            </w:r>
            <w:r w:rsidRPr="00A77218">
              <w:rPr>
                <w:color w:val="EE0000"/>
              </w:rPr>
              <w:t xml:space="preserve">maximize the value of </w:t>
            </w:r>
            <w:r w:rsidR="00A15166">
              <w:rPr>
                <w:color w:val="EE0000"/>
              </w:rPr>
              <w:t xml:space="preserve">readily available (but </w:t>
            </w:r>
            <w:r w:rsidRPr="00A77218">
              <w:rPr>
                <w:color w:val="EE0000"/>
              </w:rPr>
              <w:t>“verbose”</w:t>
            </w:r>
            <w:r w:rsidR="00A15166">
              <w:rPr>
                <w:color w:val="EE0000"/>
              </w:rPr>
              <w:t>)</w:t>
            </w:r>
            <w:r w:rsidRPr="00A77218">
              <w:rPr>
                <w:color w:val="EE0000"/>
              </w:rPr>
              <w:t xml:space="preserve"> CDA documents (both </w:t>
            </w:r>
            <w:r w:rsidR="00A15166">
              <w:rPr>
                <w:color w:val="EE0000"/>
              </w:rPr>
              <w:t xml:space="preserve">for </w:t>
            </w:r>
            <w:r w:rsidRPr="00A77218">
              <w:rPr>
                <w:color w:val="EE0000"/>
              </w:rPr>
              <w:t>unstructured and structured but not compliant</w:t>
            </w:r>
            <w:r w:rsidR="00A15166">
              <w:rPr>
                <w:color w:val="EE0000"/>
              </w:rPr>
              <w:t xml:space="preserve"> CDAs</w:t>
            </w:r>
            <w:r w:rsidRPr="00A77218">
              <w:rPr>
                <w:color w:val="EE0000"/>
              </w:rPr>
              <w:t>).</w:t>
            </w:r>
          </w:p>
        </w:tc>
      </w:tr>
      <w:tr w:rsidR="001A4092" w14:paraId="5095FB5E" w14:textId="77777777" w:rsidTr="00832A6E">
        <w:tc>
          <w:tcPr>
            <w:tcW w:w="1165" w:type="dxa"/>
          </w:tcPr>
          <w:p w14:paraId="5477C1E9" w14:textId="77777777" w:rsidR="001A4092" w:rsidRDefault="001A4092" w:rsidP="00D44F61">
            <w:r>
              <w:t>Conclusion</w:t>
            </w:r>
          </w:p>
        </w:tc>
        <w:tc>
          <w:tcPr>
            <w:tcW w:w="9090" w:type="dxa"/>
          </w:tcPr>
          <w:p w14:paraId="1156F8DD" w14:textId="329057A5" w:rsidR="001A4092" w:rsidRDefault="002A6B00" w:rsidP="00D44F61">
            <w:r>
              <w:t>FHIR is a great technical advancement that is well-suited today for specific use cases (like Patient Apps or Provider side-car apps within a health system’ EHR).  However, immediate value could be realized (in months, not years) by leveraging the IHE SOAP / CDA approach across National Networks for cross-entity exchange (e.g. Provider-to-Payer and Public Health).</w:t>
            </w:r>
          </w:p>
        </w:tc>
      </w:tr>
    </w:tbl>
    <w:p w14:paraId="42BA0F0B" w14:textId="77777777" w:rsidR="001A4092" w:rsidRDefault="001A4092" w:rsidP="001A4092"/>
    <w:tbl>
      <w:tblPr>
        <w:tblStyle w:val="TableGrid"/>
        <w:tblW w:w="0" w:type="auto"/>
        <w:tblLook w:val="04A0" w:firstRow="1" w:lastRow="0" w:firstColumn="1" w:lastColumn="0" w:noHBand="0" w:noVBand="1"/>
      </w:tblPr>
      <w:tblGrid>
        <w:gridCol w:w="2155"/>
        <w:gridCol w:w="8100"/>
      </w:tblGrid>
      <w:tr w:rsidR="00CC5922" w14:paraId="04E4F888" w14:textId="77777777" w:rsidTr="00AA12AF">
        <w:tc>
          <w:tcPr>
            <w:tcW w:w="10255" w:type="dxa"/>
            <w:gridSpan w:val="2"/>
          </w:tcPr>
          <w:p w14:paraId="6875A918" w14:textId="3F8C165F" w:rsidR="00CC5922" w:rsidRPr="00CC5922" w:rsidRDefault="00CC5922">
            <w:pPr>
              <w:rPr>
                <w:b/>
                <w:bCs/>
              </w:rPr>
            </w:pPr>
            <w:r w:rsidRPr="00CC5922">
              <w:rPr>
                <w:b/>
                <w:bCs/>
              </w:rPr>
              <w:t>TD-4</w:t>
            </w:r>
            <w:proofErr w:type="gramStart"/>
            <w:r w:rsidRPr="00CC5922">
              <w:rPr>
                <w:b/>
                <w:bCs/>
              </w:rPr>
              <w:t xml:space="preserve">. </w:t>
            </w:r>
            <w:proofErr w:type="gramEnd"/>
            <w:r w:rsidRPr="00CC5922">
              <w:rPr>
                <w:b/>
                <w:bCs/>
              </w:rPr>
              <w:t>How can CMS better encourage use of open, standards-based, publicly available APIs over proprietary APIs?</w:t>
            </w:r>
          </w:p>
        </w:tc>
      </w:tr>
      <w:tr w:rsidR="00CC5922" w14:paraId="4114029C" w14:textId="77777777" w:rsidTr="00AA12AF">
        <w:tc>
          <w:tcPr>
            <w:tcW w:w="2155" w:type="dxa"/>
          </w:tcPr>
          <w:p w14:paraId="5F1F21B7" w14:textId="599CD10D" w:rsidR="00CC5922" w:rsidRDefault="00CC5922">
            <w:r>
              <w:t>Analysis</w:t>
            </w:r>
          </w:p>
        </w:tc>
        <w:tc>
          <w:tcPr>
            <w:tcW w:w="8100" w:type="dxa"/>
          </w:tcPr>
          <w:p w14:paraId="57EF257B" w14:textId="022E138A" w:rsidR="00672C21" w:rsidRDefault="00672C21" w:rsidP="00672C21">
            <w:r>
              <w:t>1. Today, CEHRT requires EHR support for Public Health reporting.</w:t>
            </w:r>
          </w:p>
          <w:p w14:paraId="32D803F1" w14:textId="6BE64BEB" w:rsidR="00D4317B" w:rsidRDefault="00672C21" w:rsidP="00672C21">
            <w:r>
              <w:t xml:space="preserve">2. </w:t>
            </w:r>
            <w:r w:rsidR="00D4317B">
              <w:t>CMS requires Public Health reporting as part of MU/PI/MIPS, etc.</w:t>
            </w:r>
          </w:p>
          <w:p w14:paraId="39A15CB7" w14:textId="4011E088" w:rsidR="00672C21" w:rsidRDefault="00D4317B" w:rsidP="00672C21">
            <w:r>
              <w:t xml:space="preserve">3. </w:t>
            </w:r>
            <w:r w:rsidR="00672C21">
              <w:t xml:space="preserve">Jurisdictions have </w:t>
            </w:r>
            <w:r>
              <w:t xml:space="preserve">various </w:t>
            </w:r>
            <w:r w:rsidR="00672C21">
              <w:t>mandatory reporting requirements.</w:t>
            </w:r>
          </w:p>
          <w:p w14:paraId="3F373348" w14:textId="36E751CC" w:rsidR="00672C21" w:rsidRDefault="00D4317B" w:rsidP="00672C21">
            <w:r>
              <w:t xml:space="preserve">4. The combination of these regulations </w:t>
            </w:r>
            <w:r w:rsidR="00A15166">
              <w:t>has</w:t>
            </w:r>
            <w:r>
              <w:t xml:space="preserve"> led to </w:t>
            </w:r>
            <w:r w:rsidR="00A15166">
              <w:t xml:space="preserve">a </w:t>
            </w:r>
            <w:r>
              <w:t>high</w:t>
            </w:r>
            <w:r w:rsidR="00A15166">
              <w:t xml:space="preserve"> level of </w:t>
            </w:r>
            <w:r>
              <w:t>adoption.</w:t>
            </w:r>
          </w:p>
          <w:p w14:paraId="73F121A9" w14:textId="6F3BD529" w:rsidR="00D4317B" w:rsidRDefault="004610D3" w:rsidP="00672C21">
            <w:r>
              <w:t>5. Infectious and chronic diseases have ongoing data needs.</w:t>
            </w:r>
          </w:p>
          <w:p w14:paraId="415B2DDF" w14:textId="64AE4AB4" w:rsidR="00D4317B" w:rsidRDefault="004610D3" w:rsidP="00672C21">
            <w:r>
              <w:t>6. The HL7 Helios FHIR accelerator</w:t>
            </w:r>
            <w:r w:rsidR="00D32776">
              <w:t xml:space="preserve"> </w:t>
            </w:r>
            <w:r w:rsidR="00A15166">
              <w:t xml:space="preserve">has </w:t>
            </w:r>
            <w:r w:rsidR="00D32776">
              <w:t xml:space="preserve">profiled FHIR </w:t>
            </w:r>
            <w:r w:rsidR="00A15166">
              <w:t>“</w:t>
            </w:r>
            <w:r w:rsidR="00D32776">
              <w:t>query &amp; response.</w:t>
            </w:r>
            <w:r w:rsidR="00A15166">
              <w:t>”</w:t>
            </w:r>
          </w:p>
          <w:p w14:paraId="18DE5A7D" w14:textId="089B48CC" w:rsidR="00CC5922" w:rsidRDefault="00D32776">
            <w:r>
              <w:t xml:space="preserve">7. Policy-wise, queries could be </w:t>
            </w:r>
            <w:r w:rsidR="00A15166">
              <w:t xml:space="preserve">constrained </w:t>
            </w:r>
            <w:proofErr w:type="gramStart"/>
            <w:r>
              <w:t>to</w:t>
            </w:r>
            <w:proofErr w:type="gramEnd"/>
            <w:r>
              <w:t xml:space="preserve"> </w:t>
            </w:r>
            <w:r w:rsidR="00A15166">
              <w:t xml:space="preserve">cases </w:t>
            </w:r>
            <w:r>
              <w:t>already reported.</w:t>
            </w:r>
          </w:p>
          <w:p w14:paraId="485D5F0B" w14:textId="5427CAFE" w:rsidR="00E302A4" w:rsidRDefault="00E302A4">
            <w:r>
              <w:t>8. HHS has made historical commitments (</w:t>
            </w:r>
            <w:hyperlink r:id="rId8" w:history="1">
              <w:r w:rsidRPr="00E302A4">
                <w:rPr>
                  <w:rStyle w:val="Hyperlink"/>
                </w:rPr>
                <w:t>E Pluribus Unum</w:t>
              </w:r>
            </w:hyperlink>
            <w:r w:rsidRPr="00E302A4">
              <w:t xml:space="preserve">  blog)</w:t>
            </w:r>
          </w:p>
        </w:tc>
      </w:tr>
      <w:tr w:rsidR="00CC5922" w14:paraId="1245892D" w14:textId="77777777" w:rsidTr="00AA12AF">
        <w:tc>
          <w:tcPr>
            <w:tcW w:w="2155" w:type="dxa"/>
          </w:tcPr>
          <w:p w14:paraId="37B4FDCE" w14:textId="75B88AE8" w:rsidR="00CC5922" w:rsidRPr="00A77218" w:rsidRDefault="00CC5922">
            <w:pPr>
              <w:rPr>
                <w:color w:val="EE0000"/>
              </w:rPr>
            </w:pPr>
            <w:r w:rsidRPr="00A77218">
              <w:rPr>
                <w:color w:val="EE0000"/>
              </w:rPr>
              <w:t>Recommendation</w:t>
            </w:r>
          </w:p>
        </w:tc>
        <w:tc>
          <w:tcPr>
            <w:tcW w:w="8100" w:type="dxa"/>
          </w:tcPr>
          <w:p w14:paraId="2CCEDD86" w14:textId="77777777" w:rsidR="00CC5922" w:rsidRPr="00860E68" w:rsidRDefault="00CC5922" w:rsidP="00860E68">
            <w:pPr>
              <w:pStyle w:val="ListParagraph"/>
              <w:numPr>
                <w:ilvl w:val="0"/>
                <w:numId w:val="14"/>
              </w:numPr>
              <w:rPr>
                <w:color w:val="EE0000"/>
              </w:rPr>
            </w:pPr>
            <w:r w:rsidRPr="00860E68">
              <w:rPr>
                <w:color w:val="EE0000"/>
              </w:rPr>
              <w:t xml:space="preserve">CMS </w:t>
            </w:r>
            <w:r w:rsidR="00A15166" w:rsidRPr="00860E68">
              <w:rPr>
                <w:color w:val="EE0000"/>
              </w:rPr>
              <w:t xml:space="preserve">encourage standards-based APIs (in a manner aligned with other parts of HHS) by </w:t>
            </w:r>
            <w:r w:rsidRPr="00860E68">
              <w:rPr>
                <w:color w:val="EE0000"/>
              </w:rPr>
              <w:t>requir</w:t>
            </w:r>
            <w:r w:rsidR="00A15166" w:rsidRPr="00860E68">
              <w:rPr>
                <w:color w:val="EE0000"/>
              </w:rPr>
              <w:t xml:space="preserve">ing </w:t>
            </w:r>
            <w:r w:rsidRPr="00860E68">
              <w:rPr>
                <w:color w:val="EE0000"/>
              </w:rPr>
              <w:t>Providers to have proof of ongoing production access to FHIR (g)(10) APIs by Public Health Agencies</w:t>
            </w:r>
            <w:r w:rsidR="00A15166" w:rsidRPr="00860E68">
              <w:rPr>
                <w:color w:val="EE0000"/>
              </w:rPr>
              <w:t>.  This would</w:t>
            </w:r>
            <w:r w:rsidRPr="00860E68">
              <w:rPr>
                <w:color w:val="EE0000"/>
              </w:rPr>
              <w:t xml:space="preserve"> support </w:t>
            </w:r>
            <w:r w:rsidR="00A15166" w:rsidRPr="00860E68">
              <w:rPr>
                <w:color w:val="EE0000"/>
              </w:rPr>
              <w:t xml:space="preserve">FHIR </w:t>
            </w:r>
            <w:r w:rsidRPr="00860E68">
              <w:rPr>
                <w:color w:val="EE0000"/>
              </w:rPr>
              <w:t xml:space="preserve">Query &amp; Response for </w:t>
            </w:r>
            <w:r w:rsidR="004D1316" w:rsidRPr="00860E68">
              <w:rPr>
                <w:color w:val="EE0000"/>
              </w:rPr>
              <w:t xml:space="preserve">case </w:t>
            </w:r>
            <w:r w:rsidRPr="00860E68">
              <w:rPr>
                <w:color w:val="EE0000"/>
              </w:rPr>
              <w:t>follow-up a</w:t>
            </w:r>
            <w:r w:rsidR="004D1316" w:rsidRPr="00860E68">
              <w:rPr>
                <w:color w:val="EE0000"/>
              </w:rPr>
              <w:t xml:space="preserve">fter </w:t>
            </w:r>
            <w:r w:rsidRPr="00860E68">
              <w:rPr>
                <w:color w:val="EE0000"/>
              </w:rPr>
              <w:t>mandatory Public Health reporting</w:t>
            </w:r>
            <w:r w:rsidR="00672C21" w:rsidRPr="00860E68">
              <w:rPr>
                <w:color w:val="EE0000"/>
              </w:rPr>
              <w:t>.</w:t>
            </w:r>
          </w:p>
          <w:p w14:paraId="3579873A" w14:textId="6CD421A1" w:rsidR="00860E68" w:rsidRPr="00860E68" w:rsidRDefault="00860E68" w:rsidP="00860E68">
            <w:pPr>
              <w:pStyle w:val="ListParagraph"/>
              <w:numPr>
                <w:ilvl w:val="0"/>
                <w:numId w:val="14"/>
              </w:numPr>
              <w:rPr>
                <w:color w:val="EE0000"/>
              </w:rPr>
            </w:pPr>
            <w:r w:rsidRPr="00860E68">
              <w:rPr>
                <w:color w:val="EE0000"/>
              </w:rPr>
              <w:lastRenderedPageBreak/>
              <w:t xml:space="preserve">Reinvigorate the </w:t>
            </w:r>
            <w:r w:rsidRPr="00860E68">
              <w:rPr>
                <w:color w:val="EE0000"/>
              </w:rPr>
              <w:t>Interoperability Standards Advisory (ISA)</w:t>
            </w:r>
            <w:r w:rsidRPr="00860E68">
              <w:rPr>
                <w:color w:val="EE0000"/>
              </w:rPr>
              <w:t xml:space="preserve"> and build a process which collaborates with standards bodies and accelerators to assure a maturity life cycle</w:t>
            </w:r>
            <w:r>
              <w:rPr>
                <w:color w:val="EE0000"/>
              </w:rPr>
              <w:t xml:space="preserve"> (to avoid standards being added to regulations without any real-world proof-points).</w:t>
            </w:r>
          </w:p>
        </w:tc>
      </w:tr>
      <w:tr w:rsidR="00CC5922" w14:paraId="5904EEAE" w14:textId="77777777" w:rsidTr="00AA12AF">
        <w:tc>
          <w:tcPr>
            <w:tcW w:w="2155" w:type="dxa"/>
          </w:tcPr>
          <w:p w14:paraId="10AC334E" w14:textId="697C2E24" w:rsidR="00CC5922" w:rsidRDefault="00CC5922">
            <w:r>
              <w:lastRenderedPageBreak/>
              <w:t>Conclusion</w:t>
            </w:r>
          </w:p>
        </w:tc>
        <w:tc>
          <w:tcPr>
            <w:tcW w:w="8100" w:type="dxa"/>
          </w:tcPr>
          <w:p w14:paraId="3938F467" w14:textId="17A219E8" w:rsidR="00CC5922" w:rsidRDefault="00CC5922">
            <w:r>
              <w:t xml:space="preserve">Public Health queries for supplemental data </w:t>
            </w:r>
            <w:r w:rsidR="004D1316">
              <w:t xml:space="preserve">can </w:t>
            </w:r>
            <w:proofErr w:type="gramStart"/>
            <w:r>
              <w:t>automate otherwise</w:t>
            </w:r>
            <w:proofErr w:type="gramEnd"/>
            <w:r>
              <w:t xml:space="preserve"> manual phone/fax processes for both Public Health workers and Provider organizations.</w:t>
            </w:r>
          </w:p>
        </w:tc>
      </w:tr>
    </w:tbl>
    <w:p w14:paraId="4DC6CC00" w14:textId="3C068A85" w:rsidR="00B532AE" w:rsidRDefault="00B532AE"/>
    <w:tbl>
      <w:tblPr>
        <w:tblStyle w:val="TableGrid"/>
        <w:tblW w:w="0" w:type="auto"/>
        <w:tblLook w:val="04A0" w:firstRow="1" w:lastRow="0" w:firstColumn="1" w:lastColumn="0" w:noHBand="0" w:noVBand="1"/>
      </w:tblPr>
      <w:tblGrid>
        <w:gridCol w:w="2155"/>
        <w:gridCol w:w="8100"/>
      </w:tblGrid>
      <w:tr w:rsidR="00CC5922" w:rsidRPr="00CC5922" w14:paraId="5690C2CE" w14:textId="77777777" w:rsidTr="00AA12AF">
        <w:tc>
          <w:tcPr>
            <w:tcW w:w="10255" w:type="dxa"/>
            <w:gridSpan w:val="2"/>
          </w:tcPr>
          <w:p w14:paraId="585F2EBC" w14:textId="37CD932A" w:rsidR="00CC5922" w:rsidRPr="00CC5922" w:rsidRDefault="00A37010" w:rsidP="00D44F61">
            <w:pPr>
              <w:rPr>
                <w:b/>
                <w:bCs/>
              </w:rPr>
            </w:pPr>
            <w:r w:rsidRPr="00A37010">
              <w:rPr>
                <w:b/>
                <w:bCs/>
              </w:rPr>
              <w:t>TD-5</w:t>
            </w:r>
            <w:proofErr w:type="gramStart"/>
            <w:r w:rsidRPr="00A37010">
              <w:rPr>
                <w:b/>
                <w:bCs/>
              </w:rPr>
              <w:t xml:space="preserve">. </w:t>
            </w:r>
            <w:proofErr w:type="gramEnd"/>
            <w:r w:rsidRPr="00A37010">
              <w:rPr>
                <w:b/>
                <w:bCs/>
              </w:rPr>
              <w:t>How could a nationwide provider directory of FHIR endpoints improve access to health information for patients, providers, and payers</w:t>
            </w:r>
            <w:proofErr w:type="gramStart"/>
            <w:r w:rsidRPr="00A37010">
              <w:rPr>
                <w:b/>
                <w:bCs/>
              </w:rPr>
              <w:t xml:space="preserve">? </w:t>
            </w:r>
            <w:proofErr w:type="gramEnd"/>
            <w:r w:rsidRPr="00A37010">
              <w:rPr>
                <w:b/>
                <w:bCs/>
              </w:rPr>
              <w:t>Who should publish such a directory, and should users bear a cost?</w:t>
            </w:r>
          </w:p>
        </w:tc>
      </w:tr>
      <w:tr w:rsidR="00CC5922" w14:paraId="745D2254" w14:textId="77777777" w:rsidTr="00AA12AF">
        <w:tc>
          <w:tcPr>
            <w:tcW w:w="2155" w:type="dxa"/>
          </w:tcPr>
          <w:p w14:paraId="0A8E30E1" w14:textId="77777777" w:rsidR="00CC5922" w:rsidRDefault="00CC5922" w:rsidP="00D44F61">
            <w:r>
              <w:t>Analysis</w:t>
            </w:r>
          </w:p>
        </w:tc>
        <w:tc>
          <w:tcPr>
            <w:tcW w:w="8100" w:type="dxa"/>
          </w:tcPr>
          <w:p w14:paraId="0CD3A1E6" w14:textId="3BC98F31" w:rsidR="00CC5922" w:rsidRDefault="00A77218" w:rsidP="00D44F61">
            <w:r>
              <w:t>Several directories already exist today:</w:t>
            </w:r>
          </w:p>
          <w:p w14:paraId="0D14E144" w14:textId="40C8900E" w:rsidR="00A77218" w:rsidRDefault="00A77218" w:rsidP="00D44F61">
            <w:r>
              <w:t>1. National Networks (TEFCA, Carequality, eHealth Exchange, etc</w:t>
            </w:r>
            <w:r w:rsidR="004D1316">
              <w:t>.</w:t>
            </w:r>
            <w:r>
              <w:t>)</w:t>
            </w:r>
          </w:p>
          <w:p w14:paraId="59150110" w14:textId="6AB50E44" w:rsidR="00FF233A" w:rsidRDefault="00FF233A" w:rsidP="00D44F61">
            <w:r>
              <w:t xml:space="preserve">2. State and regional HIEs maintain </w:t>
            </w:r>
            <w:r w:rsidR="004D1316">
              <w:t xml:space="preserve">participant </w:t>
            </w:r>
            <w:r>
              <w:t>directories</w:t>
            </w:r>
          </w:p>
          <w:p w14:paraId="03239507" w14:textId="0C3414E2" w:rsidR="00FF233A" w:rsidRDefault="00FF233A" w:rsidP="00D44F61">
            <w:r>
              <w:t>3. Public health and state agencies have directories</w:t>
            </w:r>
            <w:r w:rsidR="004D1316">
              <w:t xml:space="preserve"> (e.g. licensed facilities)</w:t>
            </w:r>
          </w:p>
          <w:p w14:paraId="6282C01A" w14:textId="069E39E1" w:rsidR="00FF233A" w:rsidRDefault="00FF233A" w:rsidP="00D44F61">
            <w:r>
              <w:t xml:space="preserve">4. Payers have directories </w:t>
            </w:r>
            <w:r w:rsidR="004D1316">
              <w:t xml:space="preserve">which include </w:t>
            </w:r>
            <w:r>
              <w:t>their Provider networks</w:t>
            </w:r>
          </w:p>
          <w:p w14:paraId="4068D53B" w14:textId="4892A54C" w:rsidR="00FF233A" w:rsidRDefault="00FF233A" w:rsidP="00D44F61">
            <w:r>
              <w:t xml:space="preserve">5. NPPES and PECOS have attributes which </w:t>
            </w:r>
            <w:proofErr w:type="gramStart"/>
            <w:r>
              <w:t>tie</w:t>
            </w:r>
            <w:proofErr w:type="gramEnd"/>
            <w:r>
              <w:t xml:space="preserve"> to NPI and/or </w:t>
            </w:r>
            <w:proofErr w:type="spellStart"/>
            <w:r>
              <w:t>TaxIDs</w:t>
            </w:r>
            <w:proofErr w:type="spellEnd"/>
          </w:p>
          <w:p w14:paraId="608D0B3C" w14:textId="19E5BB52" w:rsidR="00A77218" w:rsidRDefault="00FF233A" w:rsidP="00D44F61">
            <w:r>
              <w:t>6. CAQH (</w:t>
            </w:r>
            <w:r w:rsidR="004D1316" w:rsidRPr="004D1316">
              <w:t>Council for Affordable Quality Healthcare</w:t>
            </w:r>
            <w:r w:rsidR="004D1316">
              <w:t xml:space="preserve">, </w:t>
            </w:r>
            <w:r>
              <w:t>a member-governed non-profit) offers a credentialling service which includes a directory, and they also have a service for coordination of benefits</w:t>
            </w:r>
            <w:r w:rsidR="004D1316">
              <w:t xml:space="preserve"> for most insured patients in the country.</w:t>
            </w:r>
          </w:p>
          <w:p w14:paraId="58087849" w14:textId="77777777" w:rsidR="00FF233A" w:rsidRDefault="00FF233A" w:rsidP="00D44F61"/>
          <w:p w14:paraId="2B9A619F" w14:textId="4A2D1F54" w:rsidR="00FF233A" w:rsidRDefault="00FF233A" w:rsidP="00D44F61">
            <w:r>
              <w:t>Governance of a</w:t>
            </w:r>
            <w:r w:rsidR="004D1316">
              <w:t xml:space="preserve"> </w:t>
            </w:r>
            <w:r>
              <w:t xml:space="preserve">directory </w:t>
            </w:r>
            <w:r w:rsidR="004D1316">
              <w:t xml:space="preserve">must be </w:t>
            </w:r>
            <w:r>
              <w:t xml:space="preserve">in the context of its purpose </w:t>
            </w:r>
            <w:r w:rsidR="004D1316">
              <w:t xml:space="preserve">for </w:t>
            </w:r>
            <w:r>
              <w:t xml:space="preserve">success.  </w:t>
            </w:r>
          </w:p>
          <w:p w14:paraId="79717BBB" w14:textId="77777777" w:rsidR="00FF233A" w:rsidRDefault="00FF233A" w:rsidP="00D44F61"/>
          <w:p w14:paraId="0BF5EBA0" w14:textId="445BD324" w:rsidR="00FF233A" w:rsidRDefault="00FF233A" w:rsidP="00D44F61">
            <w:r>
              <w:t>TEFCA (or Carequality or HIE’s or any National Network) have existing directories which are fed from its Participants and Sub-Participants which have (or could have) FHIR endpoint</w:t>
            </w:r>
            <w:r w:rsidR="00A0086D">
              <w:t xml:space="preserve">s and other attributes (Organization Name, Facilities, </w:t>
            </w:r>
            <w:r w:rsidR="00021572">
              <w:t>physical</w:t>
            </w:r>
            <w:r w:rsidR="00A0086D">
              <w:t xml:space="preserve"> address, Home-Community IDs, etc</w:t>
            </w:r>
            <w:r w:rsidR="00021572">
              <w:t>.</w:t>
            </w:r>
            <w:r w:rsidR="00A0086D">
              <w:t>).  Requiring NPI (or PayerID or other IDs for other market segments) could solve th</w:t>
            </w:r>
            <w:r w:rsidR="004D1316">
              <w:t xml:space="preserve">e FHIR directory </w:t>
            </w:r>
            <w:r w:rsidR="00A0086D">
              <w:t>need.</w:t>
            </w:r>
          </w:p>
        </w:tc>
      </w:tr>
      <w:tr w:rsidR="00CC5922" w14:paraId="2537A56A" w14:textId="77777777" w:rsidTr="00AA12AF">
        <w:tc>
          <w:tcPr>
            <w:tcW w:w="2155" w:type="dxa"/>
          </w:tcPr>
          <w:p w14:paraId="33FADC1D" w14:textId="77777777" w:rsidR="00CC5922" w:rsidRPr="00A0086D" w:rsidRDefault="00CC5922" w:rsidP="00D44F61">
            <w:pPr>
              <w:rPr>
                <w:color w:val="EE0000"/>
              </w:rPr>
            </w:pPr>
            <w:r w:rsidRPr="00A0086D">
              <w:rPr>
                <w:color w:val="EE0000"/>
              </w:rPr>
              <w:t>Recommendation</w:t>
            </w:r>
          </w:p>
        </w:tc>
        <w:tc>
          <w:tcPr>
            <w:tcW w:w="8100" w:type="dxa"/>
          </w:tcPr>
          <w:p w14:paraId="39DB1815" w14:textId="7167C10B" w:rsidR="00CC5922" w:rsidRPr="00A0086D" w:rsidRDefault="00A77218" w:rsidP="00D44F61">
            <w:pPr>
              <w:rPr>
                <w:color w:val="EE0000"/>
              </w:rPr>
            </w:pPr>
            <w:r w:rsidRPr="00A0086D">
              <w:rPr>
                <w:color w:val="EE0000"/>
              </w:rPr>
              <w:t>Leverage the use of existing directories within existing governance structures and regulate mandatory participation</w:t>
            </w:r>
            <w:r w:rsidR="00FF233A" w:rsidRPr="00A0086D">
              <w:rPr>
                <w:color w:val="EE0000"/>
              </w:rPr>
              <w:t xml:space="preserve"> </w:t>
            </w:r>
            <w:r w:rsidR="004D1316">
              <w:rPr>
                <w:color w:val="EE0000"/>
              </w:rPr>
              <w:t xml:space="preserve">and </w:t>
            </w:r>
            <w:r w:rsidR="00FF233A" w:rsidRPr="00A0086D">
              <w:rPr>
                <w:color w:val="EE0000"/>
              </w:rPr>
              <w:t>contributions to</w:t>
            </w:r>
            <w:r w:rsidR="00A0086D" w:rsidRPr="00A0086D">
              <w:rPr>
                <w:color w:val="EE0000"/>
              </w:rPr>
              <w:t xml:space="preserve"> national </w:t>
            </w:r>
            <w:r w:rsidR="00FF233A" w:rsidRPr="00A0086D">
              <w:rPr>
                <w:color w:val="EE0000"/>
              </w:rPr>
              <w:t xml:space="preserve">directories (which </w:t>
            </w:r>
            <w:r w:rsidR="009B1BA1" w:rsidRPr="00A0086D">
              <w:rPr>
                <w:color w:val="EE0000"/>
              </w:rPr>
              <w:t>in turn</w:t>
            </w:r>
            <w:r w:rsidR="00FF233A" w:rsidRPr="00A0086D">
              <w:rPr>
                <w:color w:val="EE0000"/>
              </w:rPr>
              <w:t xml:space="preserve"> requires Participants and Sub-Participants to meet the directory quality requirements governed by the networks)</w:t>
            </w:r>
            <w:r w:rsidRPr="00A0086D">
              <w:rPr>
                <w:color w:val="EE0000"/>
              </w:rPr>
              <w:t>.</w:t>
            </w:r>
          </w:p>
        </w:tc>
      </w:tr>
      <w:tr w:rsidR="00CC5922" w14:paraId="54AA1014" w14:textId="77777777" w:rsidTr="00AA12AF">
        <w:tc>
          <w:tcPr>
            <w:tcW w:w="2155" w:type="dxa"/>
          </w:tcPr>
          <w:p w14:paraId="62D1876E" w14:textId="77777777" w:rsidR="00CC5922" w:rsidRDefault="00CC5922" w:rsidP="00D44F61">
            <w:r>
              <w:t>Conclusion</w:t>
            </w:r>
          </w:p>
        </w:tc>
        <w:tc>
          <w:tcPr>
            <w:tcW w:w="8100" w:type="dxa"/>
          </w:tcPr>
          <w:p w14:paraId="1B458272" w14:textId="3AD7BC08" w:rsidR="00CC5922" w:rsidRDefault="00A77218" w:rsidP="00D44F61">
            <w:r>
              <w:t xml:space="preserve">For a directory to be built and used successfully, it needs governance which </w:t>
            </w:r>
            <w:r w:rsidR="00FF233A">
              <w:t xml:space="preserve">is aligned with the </w:t>
            </w:r>
            <w:r>
              <w:t>purpose</w:t>
            </w:r>
            <w:r w:rsidR="00FF233A">
              <w:t xml:space="preserve"> of the directory</w:t>
            </w:r>
            <w:r>
              <w:t xml:space="preserve">.  In this case, </w:t>
            </w:r>
            <w:r w:rsidR="00FF233A">
              <w:t xml:space="preserve">for nationwide </w:t>
            </w:r>
            <w:r w:rsidR="00A0086D">
              <w:t xml:space="preserve">health information </w:t>
            </w:r>
            <w:r w:rsidR="00FF233A">
              <w:t xml:space="preserve">exchange, the directory could be built </w:t>
            </w:r>
            <w:r w:rsidR="00A0086D">
              <w:t xml:space="preserve">and governed </w:t>
            </w:r>
            <w:r w:rsidR="00FF233A">
              <w:t>in the context of TEFCA (and it could be sourced by its Participants</w:t>
            </w:r>
            <w:r w:rsidR="00A0086D">
              <w:t xml:space="preserve"> and Sub-Participants</w:t>
            </w:r>
            <w:r w:rsidR="00FF233A">
              <w:t>).</w:t>
            </w:r>
          </w:p>
        </w:tc>
      </w:tr>
    </w:tbl>
    <w:p w14:paraId="16BB9541" w14:textId="253D3F35" w:rsidR="00A77218" w:rsidRDefault="00A77218" w:rsidP="001A4092"/>
    <w:tbl>
      <w:tblPr>
        <w:tblStyle w:val="TableGrid"/>
        <w:tblW w:w="10255" w:type="dxa"/>
        <w:tblLook w:val="04A0" w:firstRow="1" w:lastRow="0" w:firstColumn="1" w:lastColumn="0" w:noHBand="0" w:noVBand="1"/>
      </w:tblPr>
      <w:tblGrid>
        <w:gridCol w:w="2155"/>
        <w:gridCol w:w="8100"/>
      </w:tblGrid>
      <w:tr w:rsidR="001A4092" w:rsidRPr="00CC5922" w14:paraId="14318B3E" w14:textId="77777777" w:rsidTr="00AA12AF">
        <w:tc>
          <w:tcPr>
            <w:tcW w:w="10255" w:type="dxa"/>
            <w:gridSpan w:val="2"/>
          </w:tcPr>
          <w:p w14:paraId="6523749E" w14:textId="77777777" w:rsidR="001A4092" w:rsidRPr="00DC0C0D" w:rsidRDefault="001A4092" w:rsidP="00D44F61">
            <w:pPr>
              <w:rPr>
                <w:b/>
                <w:bCs/>
              </w:rPr>
            </w:pPr>
            <w:r w:rsidRPr="00DC0C0D">
              <w:rPr>
                <w:b/>
                <w:bCs/>
              </w:rPr>
              <w:t>TD-14</w:t>
            </w:r>
            <w:proofErr w:type="gramStart"/>
            <w:r w:rsidRPr="00DC0C0D">
              <w:rPr>
                <w:b/>
                <w:bCs/>
              </w:rPr>
              <w:t xml:space="preserve">. </w:t>
            </w:r>
            <w:proofErr w:type="gramEnd"/>
            <w:r w:rsidRPr="00DC0C0D">
              <w:rPr>
                <w:b/>
                <w:bCs/>
              </w:rPr>
              <w:t>Regarding networks’ use of FHIR APIs:</w:t>
            </w:r>
          </w:p>
          <w:p w14:paraId="1C3DBCC6" w14:textId="77777777" w:rsidR="001A4092" w:rsidRPr="00DC0C0D" w:rsidRDefault="001A4092" w:rsidP="00D44F61">
            <w:pPr>
              <w:rPr>
                <w:b/>
                <w:bCs/>
              </w:rPr>
            </w:pPr>
            <w:r w:rsidRPr="00DC0C0D">
              <w:rPr>
                <w:b/>
                <w:bCs/>
              </w:rPr>
              <w:t>TD-14</w:t>
            </w:r>
            <w:proofErr w:type="gramStart"/>
            <w:r w:rsidRPr="00DC0C0D">
              <w:rPr>
                <w:b/>
                <w:bCs/>
              </w:rPr>
              <w:t xml:space="preserve">. </w:t>
            </w:r>
            <w:proofErr w:type="gramEnd"/>
            <w:r w:rsidRPr="00DC0C0D">
              <w:rPr>
                <w:b/>
                <w:bCs/>
              </w:rPr>
              <w:t>a. How many endpoints is your network connected to for patient data sharing</w:t>
            </w:r>
            <w:proofErr w:type="gramStart"/>
            <w:r w:rsidRPr="00DC0C0D">
              <w:rPr>
                <w:b/>
                <w:bCs/>
              </w:rPr>
              <w:t xml:space="preserve">? </w:t>
            </w:r>
            <w:proofErr w:type="gramEnd"/>
            <w:r w:rsidRPr="00DC0C0D">
              <w:rPr>
                <w:b/>
                <w:bCs/>
              </w:rPr>
              <w:t>What types, categories, geographies of endpoints do you cover</w:t>
            </w:r>
            <w:proofErr w:type="gramStart"/>
            <w:r w:rsidRPr="00DC0C0D">
              <w:rPr>
                <w:b/>
                <w:bCs/>
              </w:rPr>
              <w:t xml:space="preserve">? </w:t>
            </w:r>
            <w:proofErr w:type="gramEnd"/>
            <w:r w:rsidRPr="00DC0C0D">
              <w:rPr>
                <w:b/>
                <w:bCs/>
              </w:rPr>
              <w:t>Are they searchable by National Provider Identifier (NPI) or organizational ID?</w:t>
            </w:r>
          </w:p>
          <w:p w14:paraId="077FB693" w14:textId="77777777" w:rsidR="001A4092" w:rsidRPr="00DC0C0D" w:rsidRDefault="001A4092" w:rsidP="00D44F61">
            <w:pPr>
              <w:rPr>
                <w:b/>
                <w:bCs/>
              </w:rPr>
            </w:pPr>
            <w:r w:rsidRPr="00DC0C0D">
              <w:rPr>
                <w:b/>
                <w:bCs/>
              </w:rPr>
              <w:t>TD-14</w:t>
            </w:r>
            <w:proofErr w:type="gramStart"/>
            <w:r w:rsidRPr="00DC0C0D">
              <w:rPr>
                <w:b/>
                <w:bCs/>
              </w:rPr>
              <w:t>. b. How</w:t>
            </w:r>
            <w:proofErr w:type="gramEnd"/>
            <w:r w:rsidRPr="00DC0C0D">
              <w:rPr>
                <w:b/>
                <w:bCs/>
              </w:rPr>
              <w:t xml:space="preserve"> are these connections established (for example, FHIR (g)(10) endpoints, TEFCA/Integrating the Health Enterprise (IHE) XCA, or proprietary APIs)?</w:t>
            </w:r>
          </w:p>
          <w:p w14:paraId="498BD32F" w14:textId="77777777" w:rsidR="001A4092" w:rsidRPr="00CC5922" w:rsidRDefault="001A4092" w:rsidP="00D44F61">
            <w:pPr>
              <w:rPr>
                <w:b/>
                <w:bCs/>
              </w:rPr>
            </w:pPr>
            <w:r w:rsidRPr="00DC0C0D">
              <w:rPr>
                <w:b/>
                <w:bCs/>
              </w:rPr>
              <w:lastRenderedPageBreak/>
              <w:t>TD-14</w:t>
            </w:r>
            <w:proofErr w:type="gramStart"/>
            <w:r w:rsidRPr="00DC0C0D">
              <w:rPr>
                <w:b/>
                <w:bCs/>
              </w:rPr>
              <w:t xml:space="preserve">. </w:t>
            </w:r>
            <w:proofErr w:type="gramEnd"/>
            <w:r w:rsidRPr="00DC0C0D">
              <w:rPr>
                <w:b/>
                <w:bCs/>
              </w:rPr>
              <w:t>c. Do you interconnect with other networks</w:t>
            </w:r>
            <w:proofErr w:type="gramStart"/>
            <w:r w:rsidRPr="00DC0C0D">
              <w:rPr>
                <w:b/>
                <w:bCs/>
              </w:rPr>
              <w:t xml:space="preserve">? </w:t>
            </w:r>
            <w:proofErr w:type="gramEnd"/>
            <w:r w:rsidRPr="00DC0C0D">
              <w:rPr>
                <w:b/>
                <w:bCs/>
              </w:rPr>
              <w:t>Under what frameworks (for example, TEFCA, private agreements)?</w:t>
            </w:r>
          </w:p>
        </w:tc>
      </w:tr>
      <w:tr w:rsidR="00CE1D40" w14:paraId="1CA2F559" w14:textId="77777777" w:rsidTr="00AA12AF">
        <w:tc>
          <w:tcPr>
            <w:tcW w:w="2155" w:type="dxa"/>
          </w:tcPr>
          <w:p w14:paraId="651DD944" w14:textId="77777777" w:rsidR="00CE1D40" w:rsidRDefault="00CE1D40" w:rsidP="00D44F61">
            <w:r>
              <w:lastRenderedPageBreak/>
              <w:t>Analysis</w:t>
            </w:r>
          </w:p>
        </w:tc>
        <w:tc>
          <w:tcPr>
            <w:tcW w:w="8100" w:type="dxa"/>
          </w:tcPr>
          <w:p w14:paraId="18463CA9" w14:textId="1261A86F" w:rsidR="00CE1D40" w:rsidRDefault="00A0086D" w:rsidP="00D44F61">
            <w:r>
              <w:t>1. FHIR has been successfully deployed in many areas:</w:t>
            </w:r>
          </w:p>
          <w:p w14:paraId="0CC5634E" w14:textId="0C44EC86" w:rsidR="00A0086D" w:rsidRDefault="00A0086D" w:rsidP="00A0086D">
            <w:pPr>
              <w:pStyle w:val="ListParagraph"/>
              <w:numPr>
                <w:ilvl w:val="0"/>
                <w:numId w:val="4"/>
              </w:numPr>
            </w:pPr>
            <w:r>
              <w:t>B2C</w:t>
            </w:r>
            <w:r w:rsidR="00D33ADE">
              <w:t xml:space="preserve"> (consumer apps connected to individual health systems)</w:t>
            </w:r>
          </w:p>
          <w:p w14:paraId="39221669" w14:textId="1A752654" w:rsidR="00A0086D" w:rsidRDefault="00A0086D" w:rsidP="00A0086D">
            <w:pPr>
              <w:pStyle w:val="ListParagraph"/>
              <w:numPr>
                <w:ilvl w:val="0"/>
                <w:numId w:val="4"/>
              </w:numPr>
            </w:pPr>
            <w:r>
              <w:t>B2B (intra-organization</w:t>
            </w:r>
            <w:r w:rsidR="00D33ADE">
              <w:t xml:space="preserve"> side-car apps atop EHRs)</w:t>
            </w:r>
          </w:p>
          <w:p w14:paraId="2C7B8D3D" w14:textId="7B5F7BE8" w:rsidR="00A0086D" w:rsidRDefault="00A0086D" w:rsidP="00A0086D">
            <w:pPr>
              <w:pStyle w:val="ListParagraph"/>
              <w:numPr>
                <w:ilvl w:val="0"/>
                <w:numId w:val="4"/>
              </w:numPr>
            </w:pPr>
            <w:r>
              <w:t>B2B (</w:t>
            </w:r>
            <w:proofErr w:type="gramStart"/>
            <w:r>
              <w:t>One:Many</w:t>
            </w:r>
            <w:proofErr w:type="gramEnd"/>
            <w:r>
              <w:t xml:space="preserve"> situations like CMS’s</w:t>
            </w:r>
            <w:r w:rsidR="00E302A4">
              <w:t xml:space="preserve"> </w:t>
            </w:r>
            <w:r w:rsidR="00D33ADE" w:rsidRPr="00D33ADE">
              <w:t>BCDA or DPC</w:t>
            </w:r>
            <w:r w:rsidR="00F5682B">
              <w:t xml:space="preserve">, which are feasible since CMS works directly with Provider orgs … this becomes </w:t>
            </w:r>
            <w:r w:rsidR="004D1316">
              <w:t xml:space="preserve">much more </w:t>
            </w:r>
            <w:r w:rsidR="00F5682B">
              <w:t>challenging considering all Payers and all Providers)</w:t>
            </w:r>
          </w:p>
          <w:p w14:paraId="6EDD1DE5" w14:textId="77777777" w:rsidR="00A0086D" w:rsidRDefault="00A0086D" w:rsidP="00D44F61"/>
          <w:p w14:paraId="573C6536" w14:textId="33CDFF9F" w:rsidR="00A0086D" w:rsidRDefault="00A0086D" w:rsidP="00D44F61">
            <w:r>
              <w:t>2. FHIR has issues when considering B2B across Participants</w:t>
            </w:r>
            <w:r w:rsidR="00D33ADE">
              <w:t>:</w:t>
            </w:r>
          </w:p>
          <w:p w14:paraId="67C1082E" w14:textId="035C95AF" w:rsidR="00D33ADE" w:rsidRDefault="00D33ADE" w:rsidP="00D33ADE">
            <w:pPr>
              <w:pStyle w:val="ListParagraph"/>
              <w:numPr>
                <w:ilvl w:val="0"/>
                <w:numId w:val="6"/>
              </w:numPr>
            </w:pPr>
            <w:r>
              <w:t>(g)(10) APIs are present but need FHIR clients to be registered</w:t>
            </w:r>
            <w:r w:rsidR="004D1316">
              <w:t xml:space="preserve"> for OAuth</w:t>
            </w:r>
          </w:p>
          <w:p w14:paraId="1937FFA6" w14:textId="0AD3836E" w:rsidR="00D33ADE" w:rsidRDefault="00D33ADE" w:rsidP="00D33ADE">
            <w:pPr>
              <w:pStyle w:val="ListParagraph"/>
              <w:numPr>
                <w:ilvl w:val="0"/>
                <w:numId w:val="6"/>
              </w:numPr>
            </w:pPr>
            <w:r>
              <w:t>TEFCA’s “FHIR</w:t>
            </w:r>
            <w:r w:rsidR="00F5682B">
              <w:t xml:space="preserve"> Roadmap” envisions UDAP Dynamic Client Registration (or other manual methods).</w:t>
            </w:r>
          </w:p>
          <w:p w14:paraId="7D1798B3" w14:textId="77777777" w:rsidR="00A0086D" w:rsidRDefault="00A0086D" w:rsidP="00D44F61"/>
          <w:p w14:paraId="55472487" w14:textId="3E29FE00" w:rsidR="00F5682B" w:rsidRDefault="00F5682B" w:rsidP="00D44F61">
            <w:r>
              <w:t xml:space="preserve">3. As one example, eHealth Exchange has hundreds of Participants exchanging via IHE SOAP/CDA, but only a fraction </w:t>
            </w:r>
            <w:proofErr w:type="gramStart"/>
            <w:r w:rsidR="004D1316">
              <w:t>participate</w:t>
            </w:r>
            <w:proofErr w:type="gramEnd"/>
            <w:r w:rsidR="004D1316">
              <w:t xml:space="preserve"> </w:t>
            </w:r>
            <w:r>
              <w:t>in FHIR exchange (and at pilot scale with Payers, Public Health and Federal Agencies like the FDA).  Today, the FHIR endpoint directory does not have NPI as an attribute.</w:t>
            </w:r>
          </w:p>
          <w:p w14:paraId="677C77CE" w14:textId="77777777" w:rsidR="00F5682B" w:rsidRDefault="00F5682B" w:rsidP="00D44F61"/>
          <w:p w14:paraId="67CCE469" w14:textId="577B239C" w:rsidR="00F5682B" w:rsidRDefault="00F5682B" w:rsidP="00D44F61">
            <w:r>
              <w:t xml:space="preserve">4. Continuing the example, eHealth Exchange has found that a collection of services </w:t>
            </w:r>
            <w:proofErr w:type="gramStart"/>
            <w:r>
              <w:t>are</w:t>
            </w:r>
            <w:proofErr w:type="gramEnd"/>
            <w:r>
              <w:t xml:space="preserve"> necessary for inter-Participant FHIR (referred to as “Networked FHIR”):</w:t>
            </w:r>
          </w:p>
          <w:p w14:paraId="0CD586FD" w14:textId="672C75E1" w:rsidR="00F5682B" w:rsidRDefault="00DB52A4" w:rsidP="00F5682B">
            <w:pPr>
              <w:pStyle w:val="ListParagraph"/>
              <w:numPr>
                <w:ilvl w:val="0"/>
                <w:numId w:val="7"/>
              </w:numPr>
            </w:pPr>
            <w:r>
              <w:t>FHIR proxies are registered in each Participant EHR (to set the OAuth scopes</w:t>
            </w:r>
            <w:r w:rsidR="004D1316">
              <w:t xml:space="preserve"> per each FHIR resource</w:t>
            </w:r>
            <w:r>
              <w:t>)</w:t>
            </w:r>
          </w:p>
          <w:p w14:paraId="16891623" w14:textId="36BB36F1" w:rsidR="00DB52A4" w:rsidRDefault="00DB52A4" w:rsidP="00F5682B">
            <w:pPr>
              <w:pStyle w:val="ListParagraph"/>
              <w:numPr>
                <w:ilvl w:val="0"/>
                <w:numId w:val="7"/>
              </w:numPr>
            </w:pPr>
            <w:r>
              <w:t xml:space="preserve">FHIR traffic is between each Participant and a hub (to fulfill the </w:t>
            </w:r>
            <w:r w:rsidR="004D1316">
              <w:t xml:space="preserve">TEFCA </w:t>
            </w:r>
            <w:r>
              <w:t>“one on</w:t>
            </w:r>
            <w:r w:rsidR="004D1316">
              <w:t>-</w:t>
            </w:r>
            <w:r>
              <w:t>ramp” concept</w:t>
            </w:r>
            <w:r w:rsidR="004D1316">
              <w:t>)</w:t>
            </w:r>
            <w:r>
              <w:t>.</w:t>
            </w:r>
          </w:p>
          <w:p w14:paraId="5C08A93B" w14:textId="35F1A6C8" w:rsidR="00DB52A4" w:rsidRDefault="00DB52A4" w:rsidP="00F5682B">
            <w:pPr>
              <w:pStyle w:val="ListParagraph"/>
              <w:numPr>
                <w:ilvl w:val="0"/>
                <w:numId w:val="7"/>
              </w:numPr>
            </w:pPr>
            <w:r>
              <w:t>FHIR transactions are either individual (synchronous) or grouped into</w:t>
            </w:r>
            <w:r w:rsidR="004D1316">
              <w:t xml:space="preserve"> </w:t>
            </w:r>
            <w:r>
              <w:t>“bundle profile</w:t>
            </w:r>
            <w:r w:rsidR="004D1316">
              <w:t>s</w:t>
            </w:r>
            <w:r>
              <w:t>” (</w:t>
            </w:r>
            <w:r w:rsidR="004D1316">
              <w:t xml:space="preserve">and </w:t>
            </w:r>
            <w:r>
              <w:t>asynchronous</w:t>
            </w:r>
            <w:r w:rsidR="004D1316">
              <w:t xml:space="preserve">ly </w:t>
            </w:r>
            <w:r>
              <w:t>triggered by a FHIR task</w:t>
            </w:r>
            <w:r w:rsidR="004D1316">
              <w:t>)</w:t>
            </w:r>
          </w:p>
          <w:p w14:paraId="4BB782D8" w14:textId="78018348" w:rsidR="00A0086D" w:rsidRDefault="00DB52A4" w:rsidP="00D44F61">
            <w:pPr>
              <w:pStyle w:val="ListParagraph"/>
              <w:numPr>
                <w:ilvl w:val="0"/>
                <w:numId w:val="7"/>
              </w:numPr>
            </w:pPr>
            <w:r>
              <w:t>FHIR traffic can be monitored and audited</w:t>
            </w:r>
          </w:p>
        </w:tc>
      </w:tr>
      <w:tr w:rsidR="00CE1D40" w14:paraId="3B2F10B5" w14:textId="77777777" w:rsidTr="00AA12AF">
        <w:tc>
          <w:tcPr>
            <w:tcW w:w="2155" w:type="dxa"/>
          </w:tcPr>
          <w:p w14:paraId="4D495D20" w14:textId="77777777" w:rsidR="00CE1D40" w:rsidRPr="00011A2E" w:rsidRDefault="00CE1D40" w:rsidP="00D44F61">
            <w:pPr>
              <w:rPr>
                <w:color w:val="EE0000"/>
              </w:rPr>
            </w:pPr>
            <w:r w:rsidRPr="00011A2E">
              <w:rPr>
                <w:color w:val="EE0000"/>
              </w:rPr>
              <w:t>Recommendation</w:t>
            </w:r>
          </w:p>
        </w:tc>
        <w:tc>
          <w:tcPr>
            <w:tcW w:w="8100" w:type="dxa"/>
          </w:tcPr>
          <w:p w14:paraId="389E92AB" w14:textId="75A0821E" w:rsidR="00011A2E" w:rsidRDefault="00A0086D" w:rsidP="00D44F61">
            <w:pPr>
              <w:rPr>
                <w:color w:val="EE0000"/>
              </w:rPr>
            </w:pPr>
            <w:r w:rsidRPr="00011A2E">
              <w:rPr>
                <w:color w:val="EE0000"/>
              </w:rPr>
              <w:t>Revisit the current FHIR integration patterns used by CMS, specified (but not used) by TEFCA, and profiled by HL7 accelerators (e.g. Da Vinci, Helios, FAST, etc.).  Build a</w:t>
            </w:r>
            <w:r w:rsidR="00011A2E">
              <w:rPr>
                <w:color w:val="EE0000"/>
              </w:rPr>
              <w:t xml:space="preserve"> harmonized set of integration patterns which allow </w:t>
            </w:r>
            <w:r w:rsidRPr="00011A2E">
              <w:rPr>
                <w:color w:val="EE0000"/>
              </w:rPr>
              <w:t>incremental adoption</w:t>
            </w:r>
            <w:r w:rsidR="00DB52A4">
              <w:rPr>
                <w:color w:val="EE0000"/>
              </w:rPr>
              <w:t xml:space="preserve"> (with common </w:t>
            </w:r>
            <w:r w:rsidR="00AF3366">
              <w:rPr>
                <w:color w:val="EE0000"/>
              </w:rPr>
              <w:t xml:space="preserve">FHIR integration </w:t>
            </w:r>
            <w:r w:rsidR="00DB52A4">
              <w:rPr>
                <w:color w:val="EE0000"/>
              </w:rPr>
              <w:t>patterns across Payers, Public Health, Payers and Patients)</w:t>
            </w:r>
            <w:r w:rsidR="00011A2E">
              <w:rPr>
                <w:color w:val="EE0000"/>
              </w:rPr>
              <w:t xml:space="preserve">.  </w:t>
            </w:r>
          </w:p>
          <w:p w14:paraId="204CFE7C" w14:textId="77777777" w:rsidR="00011A2E" w:rsidRDefault="00011A2E" w:rsidP="00D44F61">
            <w:pPr>
              <w:rPr>
                <w:color w:val="EE0000"/>
              </w:rPr>
            </w:pPr>
          </w:p>
          <w:p w14:paraId="15391740" w14:textId="154EB4DB" w:rsidR="00CE1D40" w:rsidRDefault="00011A2E" w:rsidP="00D44F61">
            <w:pPr>
              <w:rPr>
                <w:color w:val="EE0000"/>
              </w:rPr>
            </w:pPr>
            <w:r>
              <w:rPr>
                <w:color w:val="EE0000"/>
              </w:rPr>
              <w:t>In the context of the current TEFCA roadmap</w:t>
            </w:r>
            <w:r w:rsidR="00DB52A4">
              <w:rPr>
                <w:color w:val="EE0000"/>
              </w:rPr>
              <w:t>, a few suggestions:</w:t>
            </w:r>
          </w:p>
          <w:p w14:paraId="6D6FCB7F" w14:textId="1EE4AA7C" w:rsidR="00011A2E" w:rsidRDefault="00011A2E" w:rsidP="00011A2E">
            <w:pPr>
              <w:pStyle w:val="ListParagraph"/>
              <w:numPr>
                <w:ilvl w:val="0"/>
                <w:numId w:val="5"/>
              </w:numPr>
              <w:rPr>
                <w:color w:val="EE0000"/>
              </w:rPr>
            </w:pPr>
            <w:r>
              <w:rPr>
                <w:color w:val="EE0000"/>
              </w:rPr>
              <w:t xml:space="preserve">Add support for an “end-to-end” FHIR approach (as opposed to </w:t>
            </w:r>
            <w:r w:rsidR="00DB52A4">
              <w:rPr>
                <w:color w:val="EE0000"/>
              </w:rPr>
              <w:t xml:space="preserve">the current </w:t>
            </w:r>
            <w:r>
              <w:rPr>
                <w:color w:val="EE0000"/>
              </w:rPr>
              <w:t>IHE/FHIR hybrid)</w:t>
            </w:r>
            <w:r w:rsidR="00DB52A4">
              <w:rPr>
                <w:color w:val="EE0000"/>
              </w:rPr>
              <w:t>.</w:t>
            </w:r>
          </w:p>
          <w:p w14:paraId="759EAE54" w14:textId="3B36A070" w:rsidR="00011A2E" w:rsidRDefault="00011A2E" w:rsidP="00011A2E">
            <w:pPr>
              <w:pStyle w:val="ListParagraph"/>
              <w:numPr>
                <w:ilvl w:val="0"/>
                <w:numId w:val="5"/>
              </w:numPr>
              <w:rPr>
                <w:color w:val="EE0000"/>
              </w:rPr>
            </w:pPr>
            <w:r>
              <w:rPr>
                <w:color w:val="EE0000"/>
              </w:rPr>
              <w:t xml:space="preserve">Add support for a “Networked FHIR” variation of “Facilitated </w:t>
            </w:r>
            <w:r w:rsidR="009B1BA1">
              <w:rPr>
                <w:color w:val="EE0000"/>
              </w:rPr>
              <w:t>FHIR” or</w:t>
            </w:r>
            <w:r>
              <w:rPr>
                <w:color w:val="EE0000"/>
              </w:rPr>
              <w:t xml:space="preserve"> “Brokered FHIR”, where each QHIN establishes and maintains FHIR proxies for its own participants</w:t>
            </w:r>
            <w:r w:rsidR="00DB52A4">
              <w:rPr>
                <w:color w:val="EE0000"/>
              </w:rPr>
              <w:t xml:space="preserve"> (and </w:t>
            </w:r>
            <w:r w:rsidR="00AF3366">
              <w:rPr>
                <w:color w:val="EE0000"/>
              </w:rPr>
              <w:t xml:space="preserve">does </w:t>
            </w:r>
            <w:r w:rsidR="00DB52A4">
              <w:rPr>
                <w:color w:val="EE0000"/>
              </w:rPr>
              <w:t xml:space="preserve">QHIN-to-QHIN </w:t>
            </w:r>
            <w:r w:rsidR="00AF3366">
              <w:rPr>
                <w:color w:val="EE0000"/>
              </w:rPr>
              <w:t xml:space="preserve">FHIR </w:t>
            </w:r>
            <w:r w:rsidR="00DB52A4">
              <w:rPr>
                <w:color w:val="EE0000"/>
              </w:rPr>
              <w:t xml:space="preserve">exchange, instead of </w:t>
            </w:r>
            <w:r w:rsidR="00AF3366">
              <w:rPr>
                <w:color w:val="EE0000"/>
              </w:rPr>
              <w:t xml:space="preserve">peer-to-peer </w:t>
            </w:r>
            <w:r w:rsidR="00DB52A4">
              <w:rPr>
                <w:color w:val="EE0000"/>
              </w:rPr>
              <w:t>“Facilitated FHIR”).</w:t>
            </w:r>
          </w:p>
          <w:p w14:paraId="18CF39B2" w14:textId="78DA6853" w:rsidR="00F5682B" w:rsidRDefault="00F5682B" w:rsidP="00011A2E">
            <w:pPr>
              <w:pStyle w:val="ListParagraph"/>
              <w:numPr>
                <w:ilvl w:val="0"/>
                <w:numId w:val="5"/>
              </w:numPr>
              <w:rPr>
                <w:color w:val="EE0000"/>
              </w:rPr>
            </w:pPr>
            <w:r>
              <w:rPr>
                <w:color w:val="EE0000"/>
              </w:rPr>
              <w:t xml:space="preserve">Add “Task-Based Exchange” </w:t>
            </w:r>
            <w:r w:rsidR="00DB52A4">
              <w:rPr>
                <w:color w:val="EE0000"/>
              </w:rPr>
              <w:t>as an interim step to Bulk FHIR, where a bundle-profile can be defined to retrieve a set of resources for 1 patient (somewhat like Bulk FHIR for a Group of 1</w:t>
            </w:r>
            <w:r w:rsidR="00AF3366">
              <w:rPr>
                <w:color w:val="EE0000"/>
              </w:rPr>
              <w:t xml:space="preserve"> – which also </w:t>
            </w:r>
            <w:r w:rsidR="00DB52A4">
              <w:rPr>
                <w:color w:val="EE0000"/>
              </w:rPr>
              <w:t xml:space="preserve">eliminates the need for a Group </w:t>
            </w:r>
            <w:r w:rsidR="00AF3366">
              <w:rPr>
                <w:color w:val="EE0000"/>
              </w:rPr>
              <w:t xml:space="preserve">to be defined </w:t>
            </w:r>
            <w:r w:rsidR="00DB52A4">
              <w:rPr>
                <w:color w:val="EE0000"/>
              </w:rPr>
              <w:t>in the EHR).</w:t>
            </w:r>
          </w:p>
          <w:p w14:paraId="32AB1C6B" w14:textId="143A6F74" w:rsidR="00011A2E" w:rsidRPr="009B1BA1" w:rsidRDefault="00F5682B" w:rsidP="00D44F61">
            <w:pPr>
              <w:pStyle w:val="ListParagraph"/>
              <w:numPr>
                <w:ilvl w:val="0"/>
                <w:numId w:val="5"/>
              </w:numPr>
              <w:rPr>
                <w:color w:val="EE0000"/>
              </w:rPr>
            </w:pPr>
            <w:r>
              <w:rPr>
                <w:color w:val="EE0000"/>
              </w:rPr>
              <w:lastRenderedPageBreak/>
              <w:t xml:space="preserve">Add </w:t>
            </w:r>
            <w:r w:rsidR="00AF3366">
              <w:rPr>
                <w:color w:val="EE0000"/>
              </w:rPr>
              <w:t xml:space="preserve">details for what a QHIN can do to aid </w:t>
            </w:r>
            <w:r>
              <w:rPr>
                <w:color w:val="EE0000"/>
              </w:rPr>
              <w:t xml:space="preserve">Bulk FHIR for situations </w:t>
            </w:r>
            <w:r w:rsidR="009B1BA1">
              <w:rPr>
                <w:color w:val="EE0000"/>
              </w:rPr>
              <w:t>where</w:t>
            </w:r>
            <w:r>
              <w:rPr>
                <w:color w:val="EE0000"/>
              </w:rPr>
              <w:t xml:space="preserve"> a “Group” can be easily added to an EHR</w:t>
            </w:r>
            <w:r w:rsidR="00AF3366">
              <w:rPr>
                <w:color w:val="EE0000"/>
              </w:rPr>
              <w:t>.</w:t>
            </w:r>
          </w:p>
        </w:tc>
      </w:tr>
      <w:tr w:rsidR="00CE1D40" w14:paraId="3F3665A8" w14:textId="77777777" w:rsidTr="00AA12AF">
        <w:tc>
          <w:tcPr>
            <w:tcW w:w="2155" w:type="dxa"/>
          </w:tcPr>
          <w:p w14:paraId="6D8C1837" w14:textId="77777777" w:rsidR="00CE1D40" w:rsidRDefault="00CE1D40" w:rsidP="00D44F61">
            <w:r>
              <w:lastRenderedPageBreak/>
              <w:t>Conclusion</w:t>
            </w:r>
          </w:p>
        </w:tc>
        <w:tc>
          <w:tcPr>
            <w:tcW w:w="8100" w:type="dxa"/>
          </w:tcPr>
          <w:p w14:paraId="11D36EDF" w14:textId="77777777" w:rsidR="00CE1D40" w:rsidRDefault="00DB52A4" w:rsidP="00D44F61">
            <w:r>
              <w:t>FHIR is well-suited today for a subset of data exchanges.</w:t>
            </w:r>
          </w:p>
          <w:p w14:paraId="0826403B" w14:textId="11542857" w:rsidR="00DB52A4" w:rsidRDefault="00DB52A4" w:rsidP="00D44F61">
            <w:r>
              <w:t>An incremental transition which includes “Networked FHIR” concepts, can help broaden the applicability of FHIR.</w:t>
            </w:r>
          </w:p>
          <w:p w14:paraId="17A0C94C" w14:textId="77461273" w:rsidR="00DB52A4" w:rsidRDefault="00DB52A4" w:rsidP="00D44F61">
            <w:r>
              <w:t>CDA, combined with AI, could be rapidly scaled in the interim</w:t>
            </w:r>
            <w:r w:rsidR="00AF3366">
              <w:t xml:space="preserve"> while FHIR adoption catches up.</w:t>
            </w:r>
          </w:p>
        </w:tc>
      </w:tr>
    </w:tbl>
    <w:p w14:paraId="3A4FAC43" w14:textId="77777777" w:rsidR="001A4092" w:rsidRDefault="001A4092" w:rsidP="00A37010">
      <w:pPr>
        <w:ind w:left="1080"/>
      </w:pPr>
    </w:p>
    <w:tbl>
      <w:tblPr>
        <w:tblStyle w:val="TableGrid"/>
        <w:tblW w:w="10255" w:type="dxa"/>
        <w:tblLook w:val="04A0" w:firstRow="1" w:lastRow="0" w:firstColumn="1" w:lastColumn="0" w:noHBand="0" w:noVBand="1"/>
      </w:tblPr>
      <w:tblGrid>
        <w:gridCol w:w="2152"/>
        <w:gridCol w:w="8103"/>
      </w:tblGrid>
      <w:tr w:rsidR="001A4092" w:rsidRPr="00CC5922" w14:paraId="21F96A4F" w14:textId="77777777" w:rsidTr="00AA12AF">
        <w:tc>
          <w:tcPr>
            <w:tcW w:w="10255" w:type="dxa"/>
            <w:gridSpan w:val="2"/>
          </w:tcPr>
          <w:p w14:paraId="7BAC1133" w14:textId="77777777" w:rsidR="001A4092" w:rsidRPr="00D32776" w:rsidRDefault="001A4092" w:rsidP="00D44F61">
            <w:pPr>
              <w:rPr>
                <w:b/>
                <w:bCs/>
              </w:rPr>
            </w:pPr>
            <w:r w:rsidRPr="00D32776">
              <w:rPr>
                <w:b/>
                <w:bCs/>
              </w:rPr>
              <w:t>TD-15</w:t>
            </w:r>
            <w:proofErr w:type="gramStart"/>
            <w:r w:rsidRPr="00D32776">
              <w:rPr>
                <w:b/>
                <w:bCs/>
              </w:rPr>
              <w:t xml:space="preserve">. </w:t>
            </w:r>
            <w:proofErr w:type="gramEnd"/>
            <w:r w:rsidRPr="00D32776">
              <w:rPr>
                <w:b/>
                <w:bCs/>
              </w:rPr>
              <w:t>Regarding bulk FHIR APIs:</w:t>
            </w:r>
          </w:p>
          <w:p w14:paraId="131CDED8" w14:textId="77777777" w:rsidR="001A4092" w:rsidRPr="00D32776" w:rsidRDefault="001A4092" w:rsidP="00D44F61">
            <w:pPr>
              <w:rPr>
                <w:b/>
                <w:bCs/>
              </w:rPr>
            </w:pPr>
            <w:r w:rsidRPr="00D32776">
              <w:rPr>
                <w:b/>
                <w:bCs/>
              </w:rPr>
              <w:t>TD-15</w:t>
            </w:r>
            <w:proofErr w:type="gramStart"/>
            <w:r w:rsidRPr="00D32776">
              <w:rPr>
                <w:b/>
                <w:bCs/>
              </w:rPr>
              <w:t xml:space="preserve">. </w:t>
            </w:r>
            <w:proofErr w:type="gramEnd"/>
            <w:r w:rsidRPr="00D32776">
              <w:rPr>
                <w:b/>
                <w:bCs/>
              </w:rPr>
              <w:t>a. How would increased use of bulk FHIR improve use cases and data flow?</w:t>
            </w:r>
          </w:p>
          <w:p w14:paraId="559DCE1F" w14:textId="77777777" w:rsidR="001A4092" w:rsidRPr="00CC5922" w:rsidRDefault="001A4092" w:rsidP="00D44F61">
            <w:pPr>
              <w:rPr>
                <w:b/>
                <w:bCs/>
              </w:rPr>
            </w:pPr>
            <w:r w:rsidRPr="00D32776">
              <w:rPr>
                <w:b/>
                <w:bCs/>
              </w:rPr>
              <w:t>TD-15</w:t>
            </w:r>
            <w:proofErr w:type="gramStart"/>
            <w:r w:rsidRPr="00D32776">
              <w:rPr>
                <w:b/>
                <w:bCs/>
              </w:rPr>
              <w:t xml:space="preserve">. </w:t>
            </w:r>
            <w:proofErr w:type="gramEnd"/>
            <w:r w:rsidRPr="00D32776">
              <w:rPr>
                <w:b/>
                <w:bCs/>
              </w:rPr>
              <w:t>b. What are the potential disadvantages of their use?</w:t>
            </w:r>
          </w:p>
        </w:tc>
      </w:tr>
      <w:tr w:rsidR="001A4092" w14:paraId="7F0A4D62" w14:textId="77777777" w:rsidTr="00AA12AF">
        <w:tc>
          <w:tcPr>
            <w:tcW w:w="2152" w:type="dxa"/>
          </w:tcPr>
          <w:p w14:paraId="78701384" w14:textId="77777777" w:rsidR="001A4092" w:rsidRDefault="001A4092" w:rsidP="00D44F61">
            <w:r>
              <w:t>Analysis</w:t>
            </w:r>
          </w:p>
        </w:tc>
        <w:tc>
          <w:tcPr>
            <w:tcW w:w="8103" w:type="dxa"/>
          </w:tcPr>
          <w:p w14:paraId="7EA99F58" w14:textId="77777777" w:rsidR="001A4092" w:rsidRDefault="001A4092" w:rsidP="00D44F61">
            <w:r>
              <w:t>1. Bulk FHIR has proven use for specific use cases</w:t>
            </w:r>
          </w:p>
          <w:p w14:paraId="4C52DE7E" w14:textId="77777777" w:rsidR="001A4092" w:rsidRDefault="001A4092" w:rsidP="00D44F61">
            <w:r>
              <w:t>2. However, as designed and certified, it has several issues:</w:t>
            </w:r>
          </w:p>
          <w:p w14:paraId="222E546D" w14:textId="3385799A" w:rsidR="001A4092" w:rsidRDefault="001A4092" w:rsidP="00D44F61">
            <w:r>
              <w:t xml:space="preserve">#1: CEHRT doesn’t require </w:t>
            </w:r>
            <w:r w:rsidR="0062070C">
              <w:t xml:space="preserve">an API to </w:t>
            </w:r>
            <w:r>
              <w:t>writ</w:t>
            </w:r>
            <w:r w:rsidR="0062070C">
              <w:t xml:space="preserve">e </w:t>
            </w:r>
            <w:r>
              <w:t>“Groups” into an EHR</w:t>
            </w:r>
          </w:p>
          <w:p w14:paraId="2F89A09B" w14:textId="0933D3D0" w:rsidR="001A4092" w:rsidRDefault="001A4092" w:rsidP="00D44F61">
            <w:r>
              <w:t xml:space="preserve">#2: For many Payer-to-Provider use cases, the “Groups” are </w:t>
            </w:r>
            <w:r w:rsidR="0062070C">
              <w:t xml:space="preserve">very large </w:t>
            </w:r>
            <w:r>
              <w:t>membership rosters which can have many thousands or even millions of patient</w:t>
            </w:r>
            <w:r w:rsidR="0062070C">
              <w:t>s</w:t>
            </w:r>
            <w:r>
              <w:t xml:space="preserve"> (creating a large “many-to-many” challenge</w:t>
            </w:r>
            <w:r w:rsidR="0062070C">
              <w:t xml:space="preserve"> if the large rosters were in many Providers EHRs</w:t>
            </w:r>
            <w:r>
              <w:t>)</w:t>
            </w:r>
          </w:p>
          <w:p w14:paraId="6669AC77" w14:textId="7162F6FC" w:rsidR="0062070C" w:rsidRDefault="0062070C" w:rsidP="00D44F61">
            <w:r>
              <w:t>#3: Performance of even modest-sized “Groups” in Bulk FHIR can be problematic (with EHR vendors recommending a limit of ~5000 members in a Group)</w:t>
            </w:r>
          </w:p>
        </w:tc>
      </w:tr>
      <w:tr w:rsidR="001A4092" w14:paraId="01639FD3" w14:textId="77777777" w:rsidTr="00AA12AF">
        <w:tc>
          <w:tcPr>
            <w:tcW w:w="2152" w:type="dxa"/>
          </w:tcPr>
          <w:p w14:paraId="4947A7FB" w14:textId="77777777" w:rsidR="001A4092" w:rsidRDefault="001A4092" w:rsidP="00D44F61">
            <w:r>
              <w:t>Recommendation</w:t>
            </w:r>
          </w:p>
        </w:tc>
        <w:tc>
          <w:tcPr>
            <w:tcW w:w="8103" w:type="dxa"/>
          </w:tcPr>
          <w:p w14:paraId="5EF02DAA" w14:textId="77777777" w:rsidR="0062070C" w:rsidRPr="0062070C" w:rsidRDefault="0062070C" w:rsidP="0062070C">
            <w:pPr>
              <w:pStyle w:val="ListParagraph"/>
              <w:numPr>
                <w:ilvl w:val="0"/>
                <w:numId w:val="8"/>
              </w:numPr>
              <w:rPr>
                <w:color w:val="EE0000"/>
              </w:rPr>
            </w:pPr>
            <w:r w:rsidRPr="0062070C">
              <w:rPr>
                <w:color w:val="EE0000"/>
              </w:rPr>
              <w:t>Continue to use Bulk FHIR as designed for 1:Many scenarios.</w:t>
            </w:r>
          </w:p>
          <w:p w14:paraId="1AF9CF8B" w14:textId="42371FF2" w:rsidR="0062070C" w:rsidRPr="0062070C" w:rsidRDefault="0062070C" w:rsidP="0062070C">
            <w:pPr>
              <w:pStyle w:val="ListParagraph"/>
              <w:numPr>
                <w:ilvl w:val="0"/>
                <w:numId w:val="8"/>
              </w:numPr>
              <w:rPr>
                <w:color w:val="EE0000"/>
              </w:rPr>
            </w:pPr>
            <w:r w:rsidRPr="0062070C">
              <w:rPr>
                <w:color w:val="EE0000"/>
              </w:rPr>
              <w:t xml:space="preserve">Add a requirement for an API to write Bulk FHIR “Groups.” </w:t>
            </w:r>
          </w:p>
          <w:p w14:paraId="71030016" w14:textId="77777777" w:rsidR="001A4092" w:rsidRPr="0062070C" w:rsidRDefault="0062070C" w:rsidP="0062070C">
            <w:pPr>
              <w:pStyle w:val="ListParagraph"/>
              <w:numPr>
                <w:ilvl w:val="0"/>
                <w:numId w:val="8"/>
              </w:numPr>
            </w:pPr>
            <w:r>
              <w:rPr>
                <w:color w:val="EE0000"/>
              </w:rPr>
              <w:t>L</w:t>
            </w:r>
            <w:r w:rsidRPr="0062070C">
              <w:rPr>
                <w:color w:val="EE0000"/>
              </w:rPr>
              <w:t xml:space="preserve">ook at </w:t>
            </w:r>
            <w:r>
              <w:rPr>
                <w:color w:val="EE0000"/>
              </w:rPr>
              <w:t xml:space="preserve">FHIR </w:t>
            </w:r>
            <w:r w:rsidRPr="0062070C">
              <w:rPr>
                <w:color w:val="EE0000"/>
              </w:rPr>
              <w:t xml:space="preserve">Task Base Exchange (which behaves like Bulk FHIR but for a Group of 1, but it eliminates the need for a Group in the </w:t>
            </w:r>
            <w:r>
              <w:rPr>
                <w:color w:val="EE0000"/>
              </w:rPr>
              <w:t>EHR if performed by an intermediary</w:t>
            </w:r>
            <w:r w:rsidRPr="0062070C">
              <w:rPr>
                <w:color w:val="EE0000"/>
              </w:rPr>
              <w:t>)</w:t>
            </w:r>
            <w:r>
              <w:rPr>
                <w:color w:val="EE0000"/>
              </w:rPr>
              <w:t>.</w:t>
            </w:r>
          </w:p>
          <w:p w14:paraId="5D0419EE" w14:textId="00B76B6A" w:rsidR="0062070C" w:rsidRDefault="0062070C" w:rsidP="0062070C">
            <w:pPr>
              <w:pStyle w:val="ListParagraph"/>
              <w:numPr>
                <w:ilvl w:val="0"/>
                <w:numId w:val="8"/>
              </w:numPr>
            </w:pPr>
            <w:r>
              <w:rPr>
                <w:color w:val="EE0000"/>
              </w:rPr>
              <w:t>Leverage intermediaries (or HIEs) to host “Groups” (since they typically have member rosters and have processes to keep them current)</w:t>
            </w:r>
          </w:p>
        </w:tc>
      </w:tr>
      <w:tr w:rsidR="001A4092" w14:paraId="4249AF35" w14:textId="77777777" w:rsidTr="00AA12AF">
        <w:tc>
          <w:tcPr>
            <w:tcW w:w="2152" w:type="dxa"/>
          </w:tcPr>
          <w:p w14:paraId="65F70564" w14:textId="77777777" w:rsidR="001A4092" w:rsidRDefault="001A4092" w:rsidP="00D44F61">
            <w:r>
              <w:t>Conclusion</w:t>
            </w:r>
          </w:p>
        </w:tc>
        <w:tc>
          <w:tcPr>
            <w:tcW w:w="8103" w:type="dxa"/>
          </w:tcPr>
          <w:p w14:paraId="5096BFD2" w14:textId="74FB03D7" w:rsidR="001A4092" w:rsidRDefault="0062070C" w:rsidP="00D44F61">
            <w:r>
              <w:t xml:space="preserve">Bulk FHIR works well for very specific use cases </w:t>
            </w:r>
            <w:proofErr w:type="gramStart"/>
            <w:r>
              <w:t>today, and</w:t>
            </w:r>
            <w:proofErr w:type="gramEnd"/>
            <w:r>
              <w:t xml:space="preserve"> could be enhanced (and performance improved) to cover the known gaps.</w:t>
            </w:r>
          </w:p>
        </w:tc>
      </w:tr>
    </w:tbl>
    <w:p w14:paraId="6A7B3ECF" w14:textId="77777777" w:rsidR="00A37010" w:rsidRDefault="00A37010" w:rsidP="00A37010">
      <w:pPr>
        <w:ind w:left="1080"/>
      </w:pPr>
    </w:p>
    <w:p w14:paraId="1AAD8C0E" w14:textId="77777777" w:rsidR="001A4092" w:rsidRDefault="001A4092" w:rsidP="001A4092"/>
    <w:tbl>
      <w:tblPr>
        <w:tblStyle w:val="TableGrid"/>
        <w:tblW w:w="0" w:type="auto"/>
        <w:tblLook w:val="04A0" w:firstRow="1" w:lastRow="0" w:firstColumn="1" w:lastColumn="0" w:noHBand="0" w:noVBand="1"/>
      </w:tblPr>
      <w:tblGrid>
        <w:gridCol w:w="2191"/>
        <w:gridCol w:w="8064"/>
      </w:tblGrid>
      <w:tr w:rsidR="001A4092" w:rsidRPr="00CC5922" w14:paraId="27AE9664" w14:textId="77777777" w:rsidTr="00AA12AF">
        <w:tc>
          <w:tcPr>
            <w:tcW w:w="10255" w:type="dxa"/>
            <w:gridSpan w:val="2"/>
          </w:tcPr>
          <w:p w14:paraId="767FFEB4" w14:textId="77777777" w:rsidR="001A4092" w:rsidRDefault="001A4092" w:rsidP="00D44F61">
            <w:pPr>
              <w:rPr>
                <w:b/>
                <w:bCs/>
              </w:rPr>
            </w:pPr>
            <w:r w:rsidRPr="001A4092">
              <w:rPr>
                <w:b/>
                <w:bCs/>
              </w:rPr>
              <w:t>PA-1</w:t>
            </w:r>
            <w:proofErr w:type="gramStart"/>
            <w:r w:rsidRPr="001A4092">
              <w:rPr>
                <w:b/>
                <w:bCs/>
              </w:rPr>
              <w:t xml:space="preserve">. </w:t>
            </w:r>
            <w:proofErr w:type="gramEnd"/>
            <w:r w:rsidRPr="001A4092">
              <w:rPr>
                <w:b/>
                <w:bCs/>
              </w:rPr>
              <w:t>What policy or technical limitations do you see in TEFCA</w:t>
            </w:r>
            <w:proofErr w:type="gramStart"/>
            <w:r w:rsidRPr="001A4092">
              <w:rPr>
                <w:b/>
                <w:bCs/>
              </w:rPr>
              <w:t xml:space="preserve">? </w:t>
            </w:r>
            <w:proofErr w:type="gramEnd"/>
            <w:r w:rsidRPr="001A4092">
              <w:rPr>
                <w:b/>
                <w:bCs/>
              </w:rPr>
              <w:t xml:space="preserve">What changes would you suggest </w:t>
            </w:r>
            <w:proofErr w:type="gramStart"/>
            <w:r w:rsidRPr="001A4092">
              <w:rPr>
                <w:b/>
                <w:bCs/>
              </w:rPr>
              <w:t>to address</w:t>
            </w:r>
            <w:proofErr w:type="gramEnd"/>
            <w:r w:rsidRPr="001A4092">
              <w:rPr>
                <w:b/>
                <w:bCs/>
              </w:rPr>
              <w:t xml:space="preserve"> those limitations</w:t>
            </w:r>
            <w:proofErr w:type="gramStart"/>
            <w:r w:rsidRPr="001A4092">
              <w:rPr>
                <w:b/>
                <w:bCs/>
              </w:rPr>
              <w:t xml:space="preserve">? </w:t>
            </w:r>
            <w:proofErr w:type="gramEnd"/>
            <w:r w:rsidRPr="001A4092">
              <w:rPr>
                <w:b/>
                <w:bCs/>
              </w:rPr>
              <w:t>To what degree do you expect these limitations to hinder participation in TEFCA?</w:t>
            </w:r>
          </w:p>
          <w:p w14:paraId="70D790A8" w14:textId="77777777" w:rsidR="001A4092" w:rsidRDefault="001A4092" w:rsidP="00D44F61">
            <w:pPr>
              <w:rPr>
                <w:b/>
                <w:bCs/>
              </w:rPr>
            </w:pPr>
          </w:p>
          <w:p w14:paraId="0EE2A3B2" w14:textId="3318F217" w:rsidR="001A4092" w:rsidRPr="00CC5922" w:rsidRDefault="001A4092" w:rsidP="00D44F61">
            <w:pPr>
              <w:rPr>
                <w:b/>
                <w:bCs/>
              </w:rPr>
            </w:pPr>
            <w:r w:rsidRPr="001A4092">
              <w:rPr>
                <w:b/>
                <w:bCs/>
              </w:rPr>
              <w:t>PA-2</w:t>
            </w:r>
            <w:proofErr w:type="gramStart"/>
            <w:r w:rsidRPr="001A4092">
              <w:rPr>
                <w:b/>
                <w:bCs/>
              </w:rPr>
              <w:t xml:space="preserve">. </w:t>
            </w:r>
            <w:proofErr w:type="gramEnd"/>
            <w:r w:rsidRPr="001A4092">
              <w:rPr>
                <w:b/>
                <w:bCs/>
              </w:rPr>
              <w:t xml:space="preserve">How can CMS encourage payers to accelerate the implementation and utilization of APIs for patients, providers, and other payers, </w:t>
            </w:r>
            <w:proofErr w:type="gramStart"/>
            <w:r w:rsidRPr="001A4092">
              <w:rPr>
                <w:b/>
                <w:bCs/>
              </w:rPr>
              <w:t>similar to</w:t>
            </w:r>
            <w:proofErr w:type="gramEnd"/>
            <w:r w:rsidRPr="001A4092">
              <w:rPr>
                <w:b/>
                <w:bCs/>
              </w:rPr>
              <w:t xml:space="preserve"> the Blue Button 2.0 and Data at the Point of Care APIs released by CMS?</w:t>
            </w:r>
          </w:p>
        </w:tc>
      </w:tr>
      <w:tr w:rsidR="001A4092" w14:paraId="245B2D5A" w14:textId="77777777" w:rsidTr="00AA12AF">
        <w:tc>
          <w:tcPr>
            <w:tcW w:w="2191" w:type="dxa"/>
          </w:tcPr>
          <w:p w14:paraId="6FCC530A" w14:textId="77777777" w:rsidR="001A4092" w:rsidRDefault="001A4092" w:rsidP="00D44F61">
            <w:r>
              <w:t>Analysis</w:t>
            </w:r>
          </w:p>
        </w:tc>
        <w:tc>
          <w:tcPr>
            <w:tcW w:w="8064" w:type="dxa"/>
          </w:tcPr>
          <w:p w14:paraId="0C9AA93C" w14:textId="404EF598" w:rsidR="001A4092" w:rsidRDefault="00634FE3" w:rsidP="00D44F61">
            <w:r>
              <w:t>TEFCA is at a turning point - will it grow or dwindle?</w:t>
            </w:r>
          </w:p>
        </w:tc>
      </w:tr>
      <w:tr w:rsidR="001A4092" w14:paraId="50DDD96B" w14:textId="77777777" w:rsidTr="00AA12AF">
        <w:tc>
          <w:tcPr>
            <w:tcW w:w="2191" w:type="dxa"/>
          </w:tcPr>
          <w:p w14:paraId="58E7A545" w14:textId="0D4B82C7" w:rsidR="001A4092" w:rsidRPr="004D3506" w:rsidRDefault="001A4092" w:rsidP="00D44F61">
            <w:pPr>
              <w:rPr>
                <w:color w:val="EE0000"/>
              </w:rPr>
            </w:pPr>
            <w:r w:rsidRPr="004D3506">
              <w:rPr>
                <w:color w:val="EE0000"/>
              </w:rPr>
              <w:t>Recommendation</w:t>
            </w:r>
            <w:r w:rsidR="004D3506">
              <w:rPr>
                <w:color w:val="EE0000"/>
              </w:rPr>
              <w:t>s</w:t>
            </w:r>
          </w:p>
        </w:tc>
        <w:tc>
          <w:tcPr>
            <w:tcW w:w="8064" w:type="dxa"/>
          </w:tcPr>
          <w:p w14:paraId="493C76B6" w14:textId="2FDF84F5" w:rsidR="004D3506" w:rsidRPr="004D3506" w:rsidRDefault="004D3506" w:rsidP="004D3506">
            <w:pPr>
              <w:pStyle w:val="ListParagraph"/>
              <w:numPr>
                <w:ilvl w:val="0"/>
                <w:numId w:val="9"/>
              </w:numPr>
              <w:rPr>
                <w:color w:val="EE0000"/>
              </w:rPr>
            </w:pPr>
            <w:r w:rsidRPr="004D3506">
              <w:rPr>
                <w:color w:val="EE0000"/>
              </w:rPr>
              <w:t>Require responses for purposes beyond Treatment.</w:t>
            </w:r>
          </w:p>
          <w:p w14:paraId="4DE208C5" w14:textId="2730DADF" w:rsidR="004D3506" w:rsidRPr="004D3506" w:rsidRDefault="004D3506" w:rsidP="004D3506">
            <w:pPr>
              <w:pStyle w:val="ListParagraph"/>
              <w:numPr>
                <w:ilvl w:val="0"/>
                <w:numId w:val="9"/>
              </w:numPr>
              <w:rPr>
                <w:color w:val="EE0000"/>
              </w:rPr>
            </w:pPr>
            <w:r w:rsidRPr="004D3506">
              <w:rPr>
                <w:color w:val="EE0000"/>
              </w:rPr>
              <w:t>Stick to HIPAA-aligned purposes of use (not granular).</w:t>
            </w:r>
          </w:p>
          <w:p w14:paraId="70777CA2" w14:textId="77777777" w:rsidR="001A4092" w:rsidRPr="004D3506" w:rsidRDefault="004D3506" w:rsidP="00D44F61">
            <w:pPr>
              <w:pStyle w:val="ListParagraph"/>
              <w:numPr>
                <w:ilvl w:val="0"/>
                <w:numId w:val="9"/>
              </w:numPr>
              <w:rPr>
                <w:color w:val="EE0000"/>
              </w:rPr>
            </w:pPr>
            <w:r w:rsidRPr="004D3506">
              <w:rPr>
                <w:color w:val="EE0000"/>
              </w:rPr>
              <w:t>Do not allow fees but instead focus on reciprocity.</w:t>
            </w:r>
          </w:p>
          <w:p w14:paraId="6FA51E8C" w14:textId="1CFCCC89" w:rsidR="004D3506" w:rsidRDefault="004D3506" w:rsidP="00D44F61">
            <w:pPr>
              <w:pStyle w:val="ListParagraph"/>
              <w:numPr>
                <w:ilvl w:val="0"/>
                <w:numId w:val="9"/>
              </w:numPr>
              <w:rPr>
                <w:color w:val="EE0000"/>
              </w:rPr>
            </w:pPr>
            <w:r w:rsidRPr="004D3506">
              <w:rPr>
                <w:color w:val="EE0000"/>
              </w:rPr>
              <w:t>Move CMS/ASTP-ONC’s role to regulate (not directly govern)</w:t>
            </w:r>
            <w:r>
              <w:rPr>
                <w:color w:val="EE0000"/>
              </w:rPr>
              <w:t>.</w:t>
            </w:r>
          </w:p>
          <w:p w14:paraId="55CF3F7F" w14:textId="293F706C" w:rsidR="004D3506" w:rsidRDefault="004D3506" w:rsidP="00D44F61">
            <w:pPr>
              <w:pStyle w:val="ListParagraph"/>
              <w:numPr>
                <w:ilvl w:val="0"/>
                <w:numId w:val="9"/>
              </w:numPr>
              <w:rPr>
                <w:color w:val="EE0000"/>
              </w:rPr>
            </w:pPr>
            <w:r>
              <w:rPr>
                <w:color w:val="EE0000"/>
              </w:rPr>
              <w:t>Cap the number of QHINs to ~3-5.</w:t>
            </w:r>
          </w:p>
          <w:p w14:paraId="6A008E07" w14:textId="01C8B21C" w:rsidR="004D3506" w:rsidRDefault="004D3506" w:rsidP="00D44F61">
            <w:pPr>
              <w:pStyle w:val="ListParagraph"/>
              <w:numPr>
                <w:ilvl w:val="0"/>
                <w:numId w:val="9"/>
              </w:numPr>
              <w:rPr>
                <w:color w:val="EE0000"/>
              </w:rPr>
            </w:pPr>
            <w:r>
              <w:rPr>
                <w:color w:val="EE0000"/>
              </w:rPr>
              <w:lastRenderedPageBreak/>
              <w:t>Don’t allow EHR Vendors to be QHINs.</w:t>
            </w:r>
          </w:p>
          <w:p w14:paraId="5D8341CD" w14:textId="77777777" w:rsidR="0004447A" w:rsidRDefault="004D3506" w:rsidP="0004447A">
            <w:pPr>
              <w:pStyle w:val="ListParagraph"/>
              <w:numPr>
                <w:ilvl w:val="0"/>
                <w:numId w:val="9"/>
              </w:numPr>
              <w:rPr>
                <w:color w:val="EE0000"/>
              </w:rPr>
            </w:pPr>
            <w:r>
              <w:rPr>
                <w:color w:val="EE0000"/>
              </w:rPr>
              <w:t>Adjust governance to include Payers and Public Health.</w:t>
            </w:r>
          </w:p>
          <w:p w14:paraId="6C4E1348" w14:textId="77777777" w:rsidR="0004447A" w:rsidRDefault="0004447A" w:rsidP="0004447A">
            <w:pPr>
              <w:pStyle w:val="ListParagraph"/>
              <w:numPr>
                <w:ilvl w:val="0"/>
                <w:numId w:val="9"/>
              </w:numPr>
              <w:rPr>
                <w:color w:val="EE0000"/>
              </w:rPr>
            </w:pPr>
            <w:r>
              <w:rPr>
                <w:color w:val="EE0000"/>
              </w:rPr>
              <w:t>S</w:t>
            </w:r>
            <w:r w:rsidRPr="0004447A">
              <w:rPr>
                <w:color w:val="EE0000"/>
              </w:rPr>
              <w:t>tate-based consent registries (opt-in/out and access alert</w:t>
            </w:r>
            <w:r>
              <w:rPr>
                <w:color w:val="EE0000"/>
              </w:rPr>
              <w:t>s</w:t>
            </w:r>
            <w:r w:rsidRPr="0004447A">
              <w:rPr>
                <w:color w:val="EE0000"/>
              </w:rPr>
              <w:t>)</w:t>
            </w:r>
            <w:r w:rsidR="00AF3366">
              <w:rPr>
                <w:color w:val="EE0000"/>
              </w:rPr>
              <w:t>.</w:t>
            </w:r>
          </w:p>
          <w:p w14:paraId="49BC1E29" w14:textId="02619856" w:rsidR="00AF3366" w:rsidRPr="0004447A" w:rsidRDefault="00AF3366" w:rsidP="0004447A">
            <w:pPr>
              <w:pStyle w:val="ListParagraph"/>
              <w:numPr>
                <w:ilvl w:val="0"/>
                <w:numId w:val="9"/>
              </w:numPr>
              <w:rPr>
                <w:color w:val="EE0000"/>
              </w:rPr>
            </w:pPr>
            <w:r>
              <w:rPr>
                <w:color w:val="EE0000"/>
              </w:rPr>
              <w:t>CMS should continue its leadership by adopting CMS-0057 over TEFCA</w:t>
            </w:r>
          </w:p>
        </w:tc>
      </w:tr>
      <w:tr w:rsidR="001A4092" w14:paraId="2A2644A8" w14:textId="77777777" w:rsidTr="00AA12AF">
        <w:tc>
          <w:tcPr>
            <w:tcW w:w="2191" w:type="dxa"/>
          </w:tcPr>
          <w:p w14:paraId="69EAC57F" w14:textId="77777777" w:rsidR="001A4092" w:rsidRDefault="001A4092" w:rsidP="00D44F61">
            <w:r>
              <w:lastRenderedPageBreak/>
              <w:t>Conclusion</w:t>
            </w:r>
          </w:p>
        </w:tc>
        <w:tc>
          <w:tcPr>
            <w:tcW w:w="8064" w:type="dxa"/>
          </w:tcPr>
          <w:p w14:paraId="11B0301E" w14:textId="77777777" w:rsidR="001A4092" w:rsidRDefault="004D3506" w:rsidP="005A1A73">
            <w:r>
              <w:t>TEFCA could</w:t>
            </w:r>
            <w:r w:rsidR="00634FE3">
              <w:t xml:space="preserve"> expand beyond </w:t>
            </w:r>
            <w:r>
              <w:t>Carequality 2.0</w:t>
            </w:r>
            <w:r w:rsidR="00634FE3">
              <w:t xml:space="preserve"> with a few changes.</w:t>
            </w:r>
          </w:p>
          <w:p w14:paraId="6EA77AFE" w14:textId="16EAEFBE" w:rsidR="00AF3366" w:rsidRDefault="00AF3366" w:rsidP="005A1A73">
            <w:r>
              <w:t>CMS could drive adoption of CMS-0057 by showing its benefits.</w:t>
            </w:r>
          </w:p>
        </w:tc>
      </w:tr>
    </w:tbl>
    <w:p w14:paraId="46DD9559" w14:textId="77777777" w:rsidR="001A4092" w:rsidRDefault="001A4092" w:rsidP="00A37010">
      <w:pPr>
        <w:ind w:left="1080"/>
      </w:pPr>
    </w:p>
    <w:tbl>
      <w:tblPr>
        <w:tblStyle w:val="TableGrid"/>
        <w:tblW w:w="0" w:type="auto"/>
        <w:tblLook w:val="04A0" w:firstRow="1" w:lastRow="0" w:firstColumn="1" w:lastColumn="0" w:noHBand="0" w:noVBand="1"/>
      </w:tblPr>
      <w:tblGrid>
        <w:gridCol w:w="2155"/>
        <w:gridCol w:w="8100"/>
      </w:tblGrid>
      <w:tr w:rsidR="0092560A" w:rsidRPr="00CC5922" w14:paraId="507B9805" w14:textId="77777777" w:rsidTr="00AA12AF">
        <w:tc>
          <w:tcPr>
            <w:tcW w:w="10255" w:type="dxa"/>
            <w:gridSpan w:val="2"/>
          </w:tcPr>
          <w:p w14:paraId="7D3AB696" w14:textId="77777777" w:rsidR="0092560A" w:rsidRPr="00CC5922" w:rsidRDefault="0092560A" w:rsidP="00D44F61">
            <w:pPr>
              <w:rPr>
                <w:b/>
                <w:bCs/>
              </w:rPr>
            </w:pPr>
            <w:r w:rsidRPr="0092560A">
              <w:rPr>
                <w:b/>
                <w:bCs/>
              </w:rPr>
              <w:t>PC-11</w:t>
            </w:r>
            <w:proofErr w:type="gramStart"/>
            <w:r w:rsidRPr="0092560A">
              <w:rPr>
                <w:b/>
                <w:bCs/>
              </w:rPr>
              <w:t xml:space="preserve">. </w:t>
            </w:r>
            <w:proofErr w:type="gramEnd"/>
            <w:r w:rsidRPr="0092560A">
              <w:rPr>
                <w:b/>
                <w:bCs/>
              </w:rPr>
              <w:t xml:space="preserve">c. Are </w:t>
            </w:r>
            <w:proofErr w:type="gramStart"/>
            <w:r w:rsidRPr="0092560A">
              <w:rPr>
                <w:b/>
                <w:bCs/>
              </w:rPr>
              <w:t>there</w:t>
            </w:r>
            <w:proofErr w:type="gramEnd"/>
            <w:r w:rsidRPr="0092560A">
              <w:rPr>
                <w:b/>
                <w:bCs/>
              </w:rPr>
              <w:t xml:space="preserve"> </w:t>
            </w:r>
            <w:proofErr w:type="gramStart"/>
            <w:r w:rsidRPr="0092560A">
              <w:rPr>
                <w:b/>
                <w:bCs/>
              </w:rPr>
              <w:t>particular examples</w:t>
            </w:r>
            <w:proofErr w:type="gramEnd"/>
            <w:r w:rsidRPr="0092560A">
              <w:rPr>
                <w:b/>
                <w:bCs/>
              </w:rPr>
              <w:t xml:space="preserve"> of high-performing HIE models that you believe should be propagated across markets?  </w:t>
            </w:r>
          </w:p>
        </w:tc>
      </w:tr>
      <w:tr w:rsidR="0092560A" w14:paraId="69764908" w14:textId="77777777" w:rsidTr="00AA12AF">
        <w:tc>
          <w:tcPr>
            <w:tcW w:w="2155" w:type="dxa"/>
          </w:tcPr>
          <w:p w14:paraId="3083D7A7" w14:textId="77777777" w:rsidR="0092560A" w:rsidRDefault="0092560A" w:rsidP="00D44F61">
            <w:r>
              <w:t>Analysis</w:t>
            </w:r>
          </w:p>
        </w:tc>
        <w:tc>
          <w:tcPr>
            <w:tcW w:w="8100" w:type="dxa"/>
          </w:tcPr>
          <w:p w14:paraId="4CF4E15B" w14:textId="295FC4C1" w:rsidR="0092560A" w:rsidRDefault="00634FE3" w:rsidP="00D44F61">
            <w:r>
              <w:t>Civitas defines a Health Data Utility (</w:t>
            </w:r>
            <w:hyperlink r:id="rId9" w:history="1">
              <w:r w:rsidRPr="00AF3366">
                <w:rPr>
                  <w:rStyle w:val="Hyperlink"/>
                </w:rPr>
                <w:t>HDU</w:t>
              </w:r>
            </w:hyperlink>
            <w:r>
              <w:t>) model which extends beyond core HIE services to include robust value-add services.  Several state HIE’s have adopted the HDU model (CRISP, IHIE, Manifest Medex, New York’s SHIN-NY, to name a few).</w:t>
            </w:r>
          </w:p>
        </w:tc>
      </w:tr>
      <w:tr w:rsidR="0092560A" w14:paraId="5D815620" w14:textId="77777777" w:rsidTr="00AA12AF">
        <w:tc>
          <w:tcPr>
            <w:tcW w:w="2155" w:type="dxa"/>
          </w:tcPr>
          <w:p w14:paraId="79DCA419" w14:textId="77777777" w:rsidR="0092560A" w:rsidRPr="00D915C9" w:rsidRDefault="0092560A" w:rsidP="00D44F61">
            <w:pPr>
              <w:rPr>
                <w:color w:val="EE0000"/>
              </w:rPr>
            </w:pPr>
            <w:r w:rsidRPr="00D915C9">
              <w:rPr>
                <w:color w:val="EE0000"/>
              </w:rPr>
              <w:t>Recommendation</w:t>
            </w:r>
          </w:p>
        </w:tc>
        <w:tc>
          <w:tcPr>
            <w:tcW w:w="8100" w:type="dxa"/>
          </w:tcPr>
          <w:p w14:paraId="10AD2CDC" w14:textId="000622C2" w:rsidR="0092560A" w:rsidRPr="00D915C9" w:rsidRDefault="00634FE3" w:rsidP="00634FE3">
            <w:pPr>
              <w:pStyle w:val="ListParagraph"/>
              <w:numPr>
                <w:ilvl w:val="0"/>
                <w:numId w:val="10"/>
              </w:numPr>
              <w:rPr>
                <w:color w:val="EE0000"/>
              </w:rPr>
            </w:pPr>
            <w:r w:rsidRPr="00D915C9">
              <w:rPr>
                <w:color w:val="EE0000"/>
              </w:rPr>
              <w:t xml:space="preserve">The HDU model, which extends beyond core HIE services (such as population analytics), should be adopted as the preferred model, but only if there is strong commitment of financial support </w:t>
            </w:r>
            <w:r w:rsidR="00AF3366">
              <w:rPr>
                <w:color w:val="EE0000"/>
              </w:rPr>
              <w:t xml:space="preserve">and participation </w:t>
            </w:r>
            <w:r w:rsidRPr="00D915C9">
              <w:rPr>
                <w:color w:val="EE0000"/>
              </w:rPr>
              <w:t xml:space="preserve">from either state agencies or </w:t>
            </w:r>
            <w:r w:rsidR="00AF3366">
              <w:rPr>
                <w:color w:val="EE0000"/>
              </w:rPr>
              <w:t xml:space="preserve">the </w:t>
            </w:r>
            <w:r w:rsidRPr="00D915C9">
              <w:rPr>
                <w:color w:val="EE0000"/>
              </w:rPr>
              <w:t>state healthcare market.</w:t>
            </w:r>
          </w:p>
          <w:p w14:paraId="355A49A6" w14:textId="2152E922" w:rsidR="00634FE3" w:rsidRPr="00D915C9" w:rsidRDefault="00634FE3" w:rsidP="00634FE3">
            <w:pPr>
              <w:pStyle w:val="ListParagraph"/>
              <w:numPr>
                <w:ilvl w:val="0"/>
                <w:numId w:val="10"/>
              </w:numPr>
              <w:rPr>
                <w:color w:val="EE0000"/>
              </w:rPr>
            </w:pPr>
            <w:r w:rsidRPr="00D915C9">
              <w:rPr>
                <w:color w:val="EE0000"/>
              </w:rPr>
              <w:t>Otherwise</w:t>
            </w:r>
            <w:r w:rsidR="0004447A">
              <w:rPr>
                <w:color w:val="EE0000"/>
              </w:rPr>
              <w:t>,</w:t>
            </w:r>
            <w:r w:rsidRPr="00D915C9">
              <w:rPr>
                <w:color w:val="EE0000"/>
              </w:rPr>
              <w:t xml:space="preserve"> </w:t>
            </w:r>
            <w:r w:rsidR="0004447A">
              <w:rPr>
                <w:color w:val="EE0000"/>
              </w:rPr>
              <w:t>focus on</w:t>
            </w:r>
            <w:r w:rsidR="00AF3366">
              <w:rPr>
                <w:color w:val="EE0000"/>
              </w:rPr>
              <w:t>ly</w:t>
            </w:r>
            <w:r w:rsidR="0004447A">
              <w:rPr>
                <w:color w:val="EE0000"/>
              </w:rPr>
              <w:t xml:space="preserve"> </w:t>
            </w:r>
            <w:r w:rsidR="00AF3366">
              <w:rPr>
                <w:color w:val="EE0000"/>
              </w:rPr>
              <w:t xml:space="preserve">on </w:t>
            </w:r>
            <w:r w:rsidRPr="00D915C9">
              <w:rPr>
                <w:color w:val="EE0000"/>
              </w:rPr>
              <w:t xml:space="preserve">a HIE model </w:t>
            </w:r>
            <w:r w:rsidR="0004447A">
              <w:rPr>
                <w:color w:val="EE0000"/>
              </w:rPr>
              <w:t xml:space="preserve">that </w:t>
            </w:r>
            <w:r w:rsidRPr="00D915C9">
              <w:rPr>
                <w:color w:val="EE0000"/>
              </w:rPr>
              <w:t>offer</w:t>
            </w:r>
            <w:r w:rsidR="0004447A">
              <w:rPr>
                <w:color w:val="EE0000"/>
              </w:rPr>
              <w:t xml:space="preserve">s </w:t>
            </w:r>
            <w:r w:rsidRPr="00D915C9">
              <w:rPr>
                <w:color w:val="EE0000"/>
              </w:rPr>
              <w:t>core services.</w:t>
            </w:r>
          </w:p>
          <w:p w14:paraId="20905E60" w14:textId="5D337E97" w:rsidR="00634FE3" w:rsidRPr="00D915C9" w:rsidRDefault="00634FE3" w:rsidP="00634FE3">
            <w:pPr>
              <w:pStyle w:val="ListParagraph"/>
              <w:numPr>
                <w:ilvl w:val="0"/>
                <w:numId w:val="10"/>
              </w:numPr>
              <w:rPr>
                <w:color w:val="EE0000"/>
              </w:rPr>
            </w:pPr>
            <w:r w:rsidRPr="00D915C9">
              <w:rPr>
                <w:color w:val="EE0000"/>
              </w:rPr>
              <w:t>In either case, HIEs or HDUs should leverage TEFCA and/or National Networks</w:t>
            </w:r>
            <w:r w:rsidR="00D915C9" w:rsidRPr="00D915C9">
              <w:rPr>
                <w:color w:val="EE0000"/>
              </w:rPr>
              <w:t xml:space="preserve"> for commodity </w:t>
            </w:r>
            <w:r w:rsidR="00AF3366">
              <w:rPr>
                <w:color w:val="EE0000"/>
              </w:rPr>
              <w:t xml:space="preserve">transactional </w:t>
            </w:r>
            <w:r w:rsidR="00D915C9" w:rsidRPr="00D915C9">
              <w:rPr>
                <w:color w:val="EE0000"/>
              </w:rPr>
              <w:t>services</w:t>
            </w:r>
            <w:r w:rsidR="00AF3366">
              <w:rPr>
                <w:color w:val="EE0000"/>
              </w:rPr>
              <w:t xml:space="preserve"> (w/ local value-adds).</w:t>
            </w:r>
          </w:p>
        </w:tc>
      </w:tr>
      <w:tr w:rsidR="0092560A" w14:paraId="05937F1D" w14:textId="77777777" w:rsidTr="00AA12AF">
        <w:tc>
          <w:tcPr>
            <w:tcW w:w="2155" w:type="dxa"/>
          </w:tcPr>
          <w:p w14:paraId="45D1EDE1" w14:textId="77777777" w:rsidR="0092560A" w:rsidRDefault="0092560A" w:rsidP="00D44F61">
            <w:r>
              <w:t>Conclusion</w:t>
            </w:r>
          </w:p>
        </w:tc>
        <w:tc>
          <w:tcPr>
            <w:tcW w:w="8100" w:type="dxa"/>
          </w:tcPr>
          <w:p w14:paraId="219FABEE" w14:textId="2A3FEEF5" w:rsidR="0092560A" w:rsidRDefault="00D915C9" w:rsidP="00D44F61">
            <w:r>
              <w:t xml:space="preserve">In markets where there is commitment </w:t>
            </w:r>
            <w:proofErr w:type="gramStart"/>
            <w:r>
              <w:t>of</w:t>
            </w:r>
            <w:proofErr w:type="gramEnd"/>
            <w:r>
              <w:t xml:space="preserve"> participation and financial support, the HDU model can provide robust population health services at the lowest cost.</w:t>
            </w:r>
          </w:p>
        </w:tc>
      </w:tr>
    </w:tbl>
    <w:p w14:paraId="3D6F8E1F" w14:textId="77777777" w:rsidR="001A4092" w:rsidRDefault="001A4092" w:rsidP="00A37010">
      <w:pPr>
        <w:ind w:left="1080"/>
      </w:pPr>
    </w:p>
    <w:tbl>
      <w:tblPr>
        <w:tblStyle w:val="TableGrid"/>
        <w:tblW w:w="0" w:type="auto"/>
        <w:tblLook w:val="04A0" w:firstRow="1" w:lastRow="0" w:firstColumn="1" w:lastColumn="0" w:noHBand="0" w:noVBand="1"/>
      </w:tblPr>
      <w:tblGrid>
        <w:gridCol w:w="2155"/>
        <w:gridCol w:w="8100"/>
      </w:tblGrid>
      <w:tr w:rsidR="00A37010" w:rsidRPr="00CC5922" w14:paraId="621C65AF" w14:textId="77777777" w:rsidTr="00AA12AF">
        <w:tc>
          <w:tcPr>
            <w:tcW w:w="10255" w:type="dxa"/>
            <w:gridSpan w:val="2"/>
          </w:tcPr>
          <w:p w14:paraId="7F9DC1AF" w14:textId="300B94E9" w:rsidR="00A37010" w:rsidRPr="00CC5922" w:rsidRDefault="0092560A" w:rsidP="00D44F61">
            <w:pPr>
              <w:rPr>
                <w:b/>
                <w:bCs/>
              </w:rPr>
            </w:pPr>
            <w:r w:rsidRPr="0092560A">
              <w:rPr>
                <w:b/>
                <w:bCs/>
              </w:rPr>
              <w:t>PC-11</w:t>
            </w:r>
            <w:proofErr w:type="gramStart"/>
            <w:r w:rsidRPr="0092560A">
              <w:rPr>
                <w:b/>
                <w:bCs/>
              </w:rPr>
              <w:t xml:space="preserve">. </w:t>
            </w:r>
            <w:proofErr w:type="gramEnd"/>
            <w:r w:rsidRPr="0092560A">
              <w:rPr>
                <w:b/>
                <w:bCs/>
              </w:rPr>
              <w:t xml:space="preserve">d. What is the ongoing role of HIEs amidst other entities facilitating data exchange and broader frameworks for data exchange (for example, vendor health information networks, TEFCA, private exchange networks, etc.)?  </w:t>
            </w:r>
          </w:p>
        </w:tc>
      </w:tr>
      <w:tr w:rsidR="00A37010" w14:paraId="2B6A91C5" w14:textId="77777777" w:rsidTr="00AA12AF">
        <w:tc>
          <w:tcPr>
            <w:tcW w:w="2155" w:type="dxa"/>
          </w:tcPr>
          <w:p w14:paraId="7675E860" w14:textId="77777777" w:rsidR="00A37010" w:rsidRDefault="00A37010" w:rsidP="00D44F61">
            <w:r>
              <w:t>Analysis</w:t>
            </w:r>
          </w:p>
        </w:tc>
        <w:tc>
          <w:tcPr>
            <w:tcW w:w="8100" w:type="dxa"/>
          </w:tcPr>
          <w:p w14:paraId="2460AA1B" w14:textId="15E76EA0" w:rsidR="00A37010" w:rsidRDefault="00D915C9" w:rsidP="00D44F61">
            <w:r>
              <w:t xml:space="preserve">TEFCA can provide “commodity” exchange services, but it does not address some of the critical components which make health information exchange work.  </w:t>
            </w:r>
          </w:p>
        </w:tc>
      </w:tr>
      <w:tr w:rsidR="00A37010" w14:paraId="3502B6A3" w14:textId="77777777" w:rsidTr="00AA12AF">
        <w:tc>
          <w:tcPr>
            <w:tcW w:w="2155" w:type="dxa"/>
          </w:tcPr>
          <w:p w14:paraId="326702BE" w14:textId="77777777" w:rsidR="00A37010" w:rsidRPr="00D915C9" w:rsidRDefault="00A37010" w:rsidP="00D44F61">
            <w:pPr>
              <w:rPr>
                <w:color w:val="EE0000"/>
              </w:rPr>
            </w:pPr>
            <w:r w:rsidRPr="00D915C9">
              <w:rPr>
                <w:color w:val="EE0000"/>
              </w:rPr>
              <w:t>Recommendation</w:t>
            </w:r>
          </w:p>
        </w:tc>
        <w:tc>
          <w:tcPr>
            <w:tcW w:w="8100" w:type="dxa"/>
          </w:tcPr>
          <w:p w14:paraId="34691DE9" w14:textId="77777777" w:rsidR="00A37010" w:rsidRDefault="00D915C9" w:rsidP="00D44F61">
            <w:pPr>
              <w:rPr>
                <w:color w:val="EE0000"/>
              </w:rPr>
            </w:pPr>
            <w:r w:rsidRPr="00D915C9">
              <w:rPr>
                <w:color w:val="EE0000"/>
              </w:rPr>
              <w:t>Define a set of “Core HIE” services and push to fulfill the vision of a network-of-network</w:t>
            </w:r>
            <w:r>
              <w:rPr>
                <w:color w:val="EE0000"/>
              </w:rPr>
              <w:t>s model:</w:t>
            </w:r>
          </w:p>
          <w:p w14:paraId="0C84BF00" w14:textId="11923C37" w:rsidR="0004447A" w:rsidRDefault="00D915C9" w:rsidP="00D915C9">
            <w:pPr>
              <w:pStyle w:val="ListParagraph"/>
              <w:numPr>
                <w:ilvl w:val="0"/>
                <w:numId w:val="11"/>
              </w:numPr>
              <w:rPr>
                <w:color w:val="EE0000"/>
              </w:rPr>
            </w:pPr>
            <w:r>
              <w:rPr>
                <w:color w:val="EE0000"/>
              </w:rPr>
              <w:t>Governance</w:t>
            </w:r>
            <w:r w:rsidR="0004447A">
              <w:rPr>
                <w:color w:val="EE0000"/>
              </w:rPr>
              <w:t xml:space="preserve"> and local regulatory awareness</w:t>
            </w:r>
            <w:r w:rsidR="00AF3366">
              <w:rPr>
                <w:color w:val="EE0000"/>
              </w:rPr>
              <w:t xml:space="preserve"> (including adoption)</w:t>
            </w:r>
          </w:p>
          <w:p w14:paraId="0687FEB0" w14:textId="43652897" w:rsidR="00D915C9" w:rsidRDefault="0004447A" w:rsidP="00D915C9">
            <w:pPr>
              <w:pStyle w:val="ListParagraph"/>
              <w:numPr>
                <w:ilvl w:val="0"/>
                <w:numId w:val="11"/>
              </w:numPr>
              <w:rPr>
                <w:color w:val="EE0000"/>
              </w:rPr>
            </w:pPr>
            <w:r>
              <w:rPr>
                <w:color w:val="EE0000"/>
              </w:rPr>
              <w:t xml:space="preserve">Market needs and priorities: </w:t>
            </w:r>
            <w:r w:rsidR="00AF3366">
              <w:rPr>
                <w:color w:val="EE0000"/>
              </w:rPr>
              <w:t xml:space="preserve">build and maintain </w:t>
            </w:r>
            <w:r>
              <w:rPr>
                <w:color w:val="EE0000"/>
              </w:rPr>
              <w:t>a use case roadmap</w:t>
            </w:r>
          </w:p>
          <w:p w14:paraId="1D4CA482" w14:textId="255FEDA3" w:rsidR="00D915C9" w:rsidRDefault="00D915C9" w:rsidP="00D915C9">
            <w:pPr>
              <w:pStyle w:val="ListParagraph"/>
              <w:numPr>
                <w:ilvl w:val="0"/>
                <w:numId w:val="11"/>
              </w:numPr>
              <w:rPr>
                <w:color w:val="EE0000"/>
              </w:rPr>
            </w:pPr>
            <w:r>
              <w:rPr>
                <w:color w:val="EE0000"/>
              </w:rPr>
              <w:t>Patient Index</w:t>
            </w:r>
            <w:r w:rsidR="0004447A">
              <w:rPr>
                <w:color w:val="EE0000"/>
              </w:rPr>
              <w:t xml:space="preserve"> (with extra MPI attributes to optimize </w:t>
            </w:r>
            <w:r w:rsidR="00AF3366">
              <w:rPr>
                <w:color w:val="EE0000"/>
              </w:rPr>
              <w:t xml:space="preserve">patient </w:t>
            </w:r>
            <w:r w:rsidR="0004447A">
              <w:rPr>
                <w:color w:val="EE0000"/>
              </w:rPr>
              <w:t>match</w:t>
            </w:r>
            <w:r w:rsidR="00AF3366">
              <w:rPr>
                <w:color w:val="EE0000"/>
              </w:rPr>
              <w:t>ing</w:t>
            </w:r>
            <w:r w:rsidR="0004447A">
              <w:rPr>
                <w:color w:val="EE0000"/>
              </w:rPr>
              <w:t>)</w:t>
            </w:r>
          </w:p>
          <w:p w14:paraId="57C2B2DF" w14:textId="3464A072" w:rsidR="00D915C9" w:rsidRDefault="00D915C9" w:rsidP="00D915C9">
            <w:pPr>
              <w:pStyle w:val="ListParagraph"/>
              <w:numPr>
                <w:ilvl w:val="0"/>
                <w:numId w:val="11"/>
              </w:numPr>
              <w:rPr>
                <w:color w:val="EE0000"/>
              </w:rPr>
            </w:pPr>
            <w:r>
              <w:rPr>
                <w:color w:val="EE0000"/>
              </w:rPr>
              <w:t xml:space="preserve">Consent </w:t>
            </w:r>
            <w:r w:rsidR="0004447A">
              <w:rPr>
                <w:color w:val="EE0000"/>
              </w:rPr>
              <w:t xml:space="preserve">and Patient Preference </w:t>
            </w:r>
            <w:r>
              <w:rPr>
                <w:color w:val="EE0000"/>
              </w:rPr>
              <w:t>registr</w:t>
            </w:r>
            <w:r w:rsidR="00AF3366">
              <w:rPr>
                <w:color w:val="EE0000"/>
              </w:rPr>
              <w:t>ies</w:t>
            </w:r>
            <w:r w:rsidR="0004447A">
              <w:rPr>
                <w:color w:val="EE0000"/>
              </w:rPr>
              <w:t xml:space="preserve"> (tied to the MPI)</w:t>
            </w:r>
          </w:p>
          <w:p w14:paraId="63D76206" w14:textId="1AE9E90D" w:rsidR="00D915C9" w:rsidRDefault="00D915C9" w:rsidP="00D915C9">
            <w:pPr>
              <w:pStyle w:val="ListParagraph"/>
              <w:numPr>
                <w:ilvl w:val="0"/>
                <w:numId w:val="11"/>
              </w:numPr>
              <w:rPr>
                <w:color w:val="EE0000"/>
              </w:rPr>
            </w:pPr>
            <w:r>
              <w:rPr>
                <w:color w:val="EE0000"/>
              </w:rPr>
              <w:t>Relationship registry</w:t>
            </w:r>
            <w:r w:rsidR="00AF3366">
              <w:rPr>
                <w:color w:val="EE0000"/>
              </w:rPr>
              <w:t xml:space="preserve">: </w:t>
            </w:r>
            <w:r w:rsidR="0004447A">
              <w:rPr>
                <w:color w:val="EE0000"/>
              </w:rPr>
              <w:t>Patient-to-Provider-to-Payer</w:t>
            </w:r>
            <w:r w:rsidR="00AF3366">
              <w:rPr>
                <w:color w:val="EE0000"/>
              </w:rPr>
              <w:t xml:space="preserve"> (tied to the MPI)</w:t>
            </w:r>
          </w:p>
          <w:p w14:paraId="34E0F423" w14:textId="4C87F0DB" w:rsidR="00D915C9" w:rsidRPr="00D915C9" w:rsidRDefault="0004447A" w:rsidP="00D915C9">
            <w:pPr>
              <w:pStyle w:val="ListParagraph"/>
              <w:numPr>
                <w:ilvl w:val="0"/>
                <w:numId w:val="11"/>
              </w:numPr>
              <w:rPr>
                <w:color w:val="EE0000"/>
              </w:rPr>
            </w:pPr>
            <w:r>
              <w:rPr>
                <w:color w:val="EE0000"/>
              </w:rPr>
              <w:t xml:space="preserve">Encounter </w:t>
            </w:r>
            <w:r w:rsidR="00D915C9">
              <w:rPr>
                <w:color w:val="EE0000"/>
              </w:rPr>
              <w:t>Alerts</w:t>
            </w:r>
            <w:r>
              <w:rPr>
                <w:color w:val="EE0000"/>
              </w:rPr>
              <w:t xml:space="preserve"> (ED or Hospital admits and </w:t>
            </w:r>
            <w:r w:rsidR="00AF3366">
              <w:rPr>
                <w:color w:val="EE0000"/>
              </w:rPr>
              <w:t>discharges</w:t>
            </w:r>
            <w:r>
              <w:rPr>
                <w:color w:val="EE0000"/>
              </w:rPr>
              <w:t>)</w:t>
            </w:r>
          </w:p>
        </w:tc>
      </w:tr>
      <w:tr w:rsidR="00A37010" w14:paraId="0F071A5C" w14:textId="77777777" w:rsidTr="00AA12AF">
        <w:tc>
          <w:tcPr>
            <w:tcW w:w="2155" w:type="dxa"/>
          </w:tcPr>
          <w:p w14:paraId="44254F79" w14:textId="77777777" w:rsidR="00A37010" w:rsidRDefault="00A37010" w:rsidP="00D44F61">
            <w:r>
              <w:t>Conclusion</w:t>
            </w:r>
          </w:p>
        </w:tc>
        <w:tc>
          <w:tcPr>
            <w:tcW w:w="8100" w:type="dxa"/>
          </w:tcPr>
          <w:p w14:paraId="6666C100" w14:textId="7C44AEC9" w:rsidR="00A37010" w:rsidRDefault="00DE09CF" w:rsidP="00D44F61">
            <w:r>
              <w:t>It will take all entities (QHINs, HIEs, EHR vendors, etc.) to be providing their best and complementary services to make healthcare interoperability ubiquitous.</w:t>
            </w:r>
          </w:p>
        </w:tc>
      </w:tr>
    </w:tbl>
    <w:p w14:paraId="59451FA0" w14:textId="77777777" w:rsidR="0092560A" w:rsidRDefault="0092560A" w:rsidP="0092560A"/>
    <w:tbl>
      <w:tblPr>
        <w:tblStyle w:val="TableGrid"/>
        <w:tblW w:w="0" w:type="auto"/>
        <w:tblLook w:val="04A0" w:firstRow="1" w:lastRow="0" w:firstColumn="1" w:lastColumn="0" w:noHBand="0" w:noVBand="1"/>
      </w:tblPr>
      <w:tblGrid>
        <w:gridCol w:w="2155"/>
        <w:gridCol w:w="8100"/>
      </w:tblGrid>
      <w:tr w:rsidR="00A37010" w:rsidRPr="00CC5922" w14:paraId="2115F2EC" w14:textId="77777777" w:rsidTr="00AA12AF">
        <w:tc>
          <w:tcPr>
            <w:tcW w:w="10255" w:type="dxa"/>
            <w:gridSpan w:val="2"/>
          </w:tcPr>
          <w:p w14:paraId="1C5C6EDE" w14:textId="2989C839" w:rsidR="00A37010" w:rsidRPr="00CC5922" w:rsidRDefault="0092560A" w:rsidP="00D44F61">
            <w:pPr>
              <w:rPr>
                <w:b/>
                <w:bCs/>
              </w:rPr>
            </w:pPr>
            <w:r w:rsidRPr="0092560A">
              <w:rPr>
                <w:b/>
                <w:bCs/>
              </w:rPr>
              <w:t>PR-12</w:t>
            </w:r>
            <w:proofErr w:type="gramStart"/>
            <w:r w:rsidRPr="0092560A">
              <w:rPr>
                <w:b/>
                <w:bCs/>
              </w:rPr>
              <w:t xml:space="preserve">. </w:t>
            </w:r>
            <w:proofErr w:type="gramEnd"/>
            <w:r w:rsidRPr="0092560A">
              <w:rPr>
                <w:b/>
                <w:bCs/>
              </w:rPr>
              <w:t xml:space="preserve">Should ASTP/ONC consider removing or revising any of the information blocking exceptions or conditions within the exceptions (45 CFR part 171, subparts B through D) to </w:t>
            </w:r>
            <w:r w:rsidRPr="0092560A">
              <w:rPr>
                <w:b/>
                <w:bCs/>
              </w:rPr>
              <w:lastRenderedPageBreak/>
              <w:t xml:space="preserve">further the access, exchange, and use of electronic health information (EHI) and </w:t>
            </w:r>
            <w:proofErr w:type="gramStart"/>
            <w:r w:rsidRPr="0092560A">
              <w:rPr>
                <w:b/>
                <w:bCs/>
              </w:rPr>
              <w:t>to promote</w:t>
            </w:r>
            <w:proofErr w:type="gramEnd"/>
            <w:r w:rsidRPr="0092560A">
              <w:rPr>
                <w:b/>
                <w:bCs/>
              </w:rPr>
              <w:t xml:space="preserve"> market competition?</w:t>
            </w:r>
          </w:p>
        </w:tc>
      </w:tr>
      <w:tr w:rsidR="00A37010" w14:paraId="3517EF34" w14:textId="77777777" w:rsidTr="00AA12AF">
        <w:tc>
          <w:tcPr>
            <w:tcW w:w="2155" w:type="dxa"/>
          </w:tcPr>
          <w:p w14:paraId="62150B05" w14:textId="77777777" w:rsidR="00A37010" w:rsidRDefault="00A37010" w:rsidP="00D44F61">
            <w:r>
              <w:lastRenderedPageBreak/>
              <w:t>Analysis</w:t>
            </w:r>
          </w:p>
        </w:tc>
        <w:tc>
          <w:tcPr>
            <w:tcW w:w="8100" w:type="dxa"/>
          </w:tcPr>
          <w:p w14:paraId="5C549D00" w14:textId="281386FB" w:rsidR="00A37010" w:rsidRDefault="00C85880" w:rsidP="00D44F61">
            <w:r>
              <w:t xml:space="preserve">Information blocking is </w:t>
            </w:r>
            <w:r w:rsidR="009A334C">
              <w:t xml:space="preserve">a </w:t>
            </w:r>
            <w:r>
              <w:t xml:space="preserve">very complex </w:t>
            </w:r>
            <w:r w:rsidR="009A334C">
              <w:t xml:space="preserve">set of regulations and rules </w:t>
            </w:r>
            <w:r>
              <w:t>(with neither the market reporting blockers nor regulators doing enforcement).</w:t>
            </w:r>
          </w:p>
        </w:tc>
      </w:tr>
      <w:tr w:rsidR="00A37010" w14:paraId="34415368" w14:textId="77777777" w:rsidTr="00AA12AF">
        <w:tc>
          <w:tcPr>
            <w:tcW w:w="2155" w:type="dxa"/>
          </w:tcPr>
          <w:p w14:paraId="72406E70" w14:textId="77777777" w:rsidR="00A37010" w:rsidRPr="00C85880" w:rsidRDefault="00A37010" w:rsidP="00D44F61">
            <w:pPr>
              <w:rPr>
                <w:color w:val="EE0000"/>
              </w:rPr>
            </w:pPr>
            <w:r w:rsidRPr="00C85880">
              <w:rPr>
                <w:color w:val="EE0000"/>
              </w:rPr>
              <w:t>Recommendation</w:t>
            </w:r>
          </w:p>
        </w:tc>
        <w:tc>
          <w:tcPr>
            <w:tcW w:w="8100" w:type="dxa"/>
          </w:tcPr>
          <w:p w14:paraId="2CD9A2A5" w14:textId="2A303694" w:rsidR="00A37010" w:rsidRPr="00C85880" w:rsidRDefault="006479F5" w:rsidP="00D44F61">
            <w:pPr>
              <w:rPr>
                <w:color w:val="EE0000"/>
              </w:rPr>
            </w:pPr>
            <w:r w:rsidRPr="00C85880">
              <w:rPr>
                <w:color w:val="EE0000"/>
              </w:rPr>
              <w:t xml:space="preserve">TEFCA </w:t>
            </w:r>
            <w:r w:rsidR="00C85880">
              <w:rPr>
                <w:color w:val="EE0000"/>
              </w:rPr>
              <w:t xml:space="preserve">participation could be </w:t>
            </w:r>
            <w:r w:rsidRPr="00C85880">
              <w:rPr>
                <w:color w:val="EE0000"/>
              </w:rPr>
              <w:t>incentiv</w:t>
            </w:r>
            <w:r w:rsidR="009A334C">
              <w:rPr>
                <w:color w:val="EE0000"/>
              </w:rPr>
              <w:t>ized by offering an Information Blocking “</w:t>
            </w:r>
            <w:proofErr w:type="gramStart"/>
            <w:r w:rsidRPr="00C85880">
              <w:rPr>
                <w:color w:val="EE0000"/>
              </w:rPr>
              <w:t>safe-harbor</w:t>
            </w:r>
            <w:proofErr w:type="gramEnd"/>
            <w:r w:rsidR="009A334C">
              <w:rPr>
                <w:color w:val="EE0000"/>
              </w:rPr>
              <w:t>.”  There could be “trust &amp; verify” model where true participation could be verified by monitoring transaction volumes and confirming reciprocity.</w:t>
            </w:r>
          </w:p>
        </w:tc>
      </w:tr>
      <w:tr w:rsidR="00A37010" w14:paraId="4C225922" w14:textId="77777777" w:rsidTr="00AA12AF">
        <w:tc>
          <w:tcPr>
            <w:tcW w:w="2155" w:type="dxa"/>
          </w:tcPr>
          <w:p w14:paraId="492990DA" w14:textId="77777777" w:rsidR="00A37010" w:rsidRDefault="00A37010" w:rsidP="00D44F61">
            <w:r>
              <w:t>Conclusion</w:t>
            </w:r>
          </w:p>
        </w:tc>
        <w:tc>
          <w:tcPr>
            <w:tcW w:w="8100" w:type="dxa"/>
          </w:tcPr>
          <w:p w14:paraId="5AA6CD64" w14:textId="0B6C6C5F" w:rsidR="00A37010" w:rsidRDefault="009A334C" w:rsidP="00D44F61">
            <w:r>
              <w:t>Providing an incentive for uniform and reciprocal TEFCA participation can promote market competition</w:t>
            </w:r>
            <w:r w:rsidR="00424DB4">
              <w:t xml:space="preserve"> (and reduce the legal risks of info-blocking)</w:t>
            </w:r>
            <w:r>
              <w:t>.</w:t>
            </w:r>
          </w:p>
        </w:tc>
      </w:tr>
    </w:tbl>
    <w:p w14:paraId="246D9E3E" w14:textId="77777777" w:rsidR="00A37010" w:rsidRDefault="00A37010" w:rsidP="00A37010">
      <w:pPr>
        <w:ind w:left="1080"/>
      </w:pPr>
    </w:p>
    <w:tbl>
      <w:tblPr>
        <w:tblStyle w:val="TableGrid"/>
        <w:tblW w:w="0" w:type="auto"/>
        <w:tblLook w:val="04A0" w:firstRow="1" w:lastRow="0" w:firstColumn="1" w:lastColumn="0" w:noHBand="0" w:noVBand="1"/>
      </w:tblPr>
      <w:tblGrid>
        <w:gridCol w:w="2155"/>
        <w:gridCol w:w="8100"/>
      </w:tblGrid>
      <w:tr w:rsidR="00A37010" w:rsidRPr="00CC5922" w14:paraId="0AA121E2" w14:textId="77777777" w:rsidTr="00AA12AF">
        <w:tc>
          <w:tcPr>
            <w:tcW w:w="10255" w:type="dxa"/>
            <w:gridSpan w:val="2"/>
          </w:tcPr>
          <w:p w14:paraId="1BC90A69" w14:textId="77DE9DDB" w:rsidR="00A37010" w:rsidRPr="00CC5922" w:rsidRDefault="006479F5" w:rsidP="00D44F61">
            <w:pPr>
              <w:rPr>
                <w:b/>
                <w:bCs/>
              </w:rPr>
            </w:pPr>
            <w:r w:rsidRPr="006479F5">
              <w:rPr>
                <w:b/>
                <w:bCs/>
              </w:rPr>
              <w:t>PR-14</w:t>
            </w:r>
            <w:proofErr w:type="gramStart"/>
            <w:r w:rsidRPr="006479F5">
              <w:rPr>
                <w:b/>
                <w:bCs/>
              </w:rPr>
              <w:t xml:space="preserve">. </w:t>
            </w:r>
            <w:proofErr w:type="gramEnd"/>
            <w:r w:rsidRPr="006479F5">
              <w:rPr>
                <w:b/>
                <w:bCs/>
              </w:rPr>
              <w:t>How can CMS encourage providers to submit information blocking complaints to ASTP/ONC’s Information Blocking Portal</w:t>
            </w:r>
            <w:proofErr w:type="gramStart"/>
            <w:r w:rsidRPr="006479F5">
              <w:rPr>
                <w:b/>
                <w:bCs/>
              </w:rPr>
              <w:t xml:space="preserve">? </w:t>
            </w:r>
            <w:proofErr w:type="gramEnd"/>
            <w:r w:rsidRPr="006479F5">
              <w:rPr>
                <w:b/>
                <w:bCs/>
              </w:rPr>
              <w:t>What would be the impact</w:t>
            </w:r>
            <w:proofErr w:type="gramStart"/>
            <w:r w:rsidRPr="006479F5">
              <w:rPr>
                <w:b/>
                <w:bCs/>
              </w:rPr>
              <w:t xml:space="preserve">? </w:t>
            </w:r>
            <w:proofErr w:type="gramEnd"/>
            <w:r w:rsidRPr="006479F5">
              <w:rPr>
                <w:b/>
                <w:bCs/>
              </w:rPr>
              <w:t>Would it advance or negatively impact data exchange?</w:t>
            </w:r>
          </w:p>
        </w:tc>
      </w:tr>
      <w:tr w:rsidR="00A37010" w14:paraId="26D3C7B5" w14:textId="77777777" w:rsidTr="00AA12AF">
        <w:tc>
          <w:tcPr>
            <w:tcW w:w="2155" w:type="dxa"/>
          </w:tcPr>
          <w:p w14:paraId="629D965E" w14:textId="77777777" w:rsidR="00A37010" w:rsidRDefault="00A37010" w:rsidP="00D44F61">
            <w:r>
              <w:t>Analysis</w:t>
            </w:r>
          </w:p>
        </w:tc>
        <w:tc>
          <w:tcPr>
            <w:tcW w:w="8100" w:type="dxa"/>
          </w:tcPr>
          <w:p w14:paraId="529E87FD" w14:textId="07808F17" w:rsidR="00A37010" w:rsidRDefault="00DE09CF" w:rsidP="00D44F61">
            <w:r>
              <w:t>Trust is likely to degrade if Participants are forced to submit complaints.</w:t>
            </w:r>
          </w:p>
        </w:tc>
      </w:tr>
      <w:tr w:rsidR="00A37010" w14:paraId="4410D24A" w14:textId="77777777" w:rsidTr="00AA12AF">
        <w:tc>
          <w:tcPr>
            <w:tcW w:w="2155" w:type="dxa"/>
          </w:tcPr>
          <w:p w14:paraId="25A13995" w14:textId="77777777" w:rsidR="00A37010" w:rsidRPr="009A334C" w:rsidRDefault="00A37010" w:rsidP="00D44F61">
            <w:pPr>
              <w:rPr>
                <w:color w:val="EE0000"/>
              </w:rPr>
            </w:pPr>
            <w:r w:rsidRPr="009A334C">
              <w:rPr>
                <w:color w:val="EE0000"/>
              </w:rPr>
              <w:t>Recommendation</w:t>
            </w:r>
          </w:p>
        </w:tc>
        <w:tc>
          <w:tcPr>
            <w:tcW w:w="8100" w:type="dxa"/>
          </w:tcPr>
          <w:p w14:paraId="352ABFE7" w14:textId="5AAFF096" w:rsidR="00DE09CF" w:rsidRPr="009A334C" w:rsidRDefault="009A334C" w:rsidP="009A334C">
            <w:pPr>
              <w:rPr>
                <w:color w:val="EE0000"/>
              </w:rPr>
            </w:pPr>
            <w:r w:rsidRPr="009A334C">
              <w:rPr>
                <w:color w:val="EE0000"/>
              </w:rPr>
              <w:t xml:space="preserve">Shift the emphasis </w:t>
            </w:r>
            <w:r w:rsidR="00DE09CF">
              <w:rPr>
                <w:color w:val="EE0000"/>
              </w:rPr>
              <w:t xml:space="preserve">from </w:t>
            </w:r>
            <w:r w:rsidRPr="009A334C">
              <w:rPr>
                <w:color w:val="EE0000"/>
              </w:rPr>
              <w:t xml:space="preserve">complaints to </w:t>
            </w:r>
            <w:r w:rsidR="00DE09CF">
              <w:rPr>
                <w:color w:val="EE0000"/>
              </w:rPr>
              <w:t xml:space="preserve">actually </w:t>
            </w:r>
            <w:r w:rsidRPr="009A334C">
              <w:rPr>
                <w:color w:val="EE0000"/>
              </w:rPr>
              <w:t xml:space="preserve">measuring </w:t>
            </w:r>
            <w:r w:rsidR="00DE09CF">
              <w:rPr>
                <w:color w:val="EE0000"/>
              </w:rPr>
              <w:t xml:space="preserve">and monitoring </w:t>
            </w:r>
            <w:r w:rsidRPr="009A334C">
              <w:rPr>
                <w:color w:val="EE0000"/>
              </w:rPr>
              <w:t>API access and data exchange reciprocity.</w:t>
            </w:r>
            <w:r w:rsidR="00DE09CF">
              <w:rPr>
                <w:color w:val="EE0000"/>
              </w:rPr>
              <w:t xml:space="preserve">  This should be an expectation of TEFCA and all national networks.</w:t>
            </w:r>
            <w:r w:rsidR="00424DB4">
              <w:rPr>
                <w:color w:val="EE0000"/>
              </w:rPr>
              <w:t xml:space="preserve">  This is another reason </w:t>
            </w:r>
            <w:proofErr w:type="gramStart"/>
            <w:r w:rsidR="00424DB4">
              <w:rPr>
                <w:color w:val="EE0000"/>
              </w:rPr>
              <w:t>brokering</w:t>
            </w:r>
            <w:proofErr w:type="gramEnd"/>
            <w:r w:rsidR="00424DB4">
              <w:rPr>
                <w:color w:val="EE0000"/>
              </w:rPr>
              <w:t xml:space="preserve"> all transactions, including FHIR, is critical to TEFCA.</w:t>
            </w:r>
          </w:p>
        </w:tc>
      </w:tr>
      <w:tr w:rsidR="00A37010" w14:paraId="469FAA7A" w14:textId="77777777" w:rsidTr="00AA12AF">
        <w:tc>
          <w:tcPr>
            <w:tcW w:w="2155" w:type="dxa"/>
          </w:tcPr>
          <w:p w14:paraId="546044C3" w14:textId="77777777" w:rsidR="00A37010" w:rsidRDefault="00A37010" w:rsidP="00D44F61">
            <w:r>
              <w:t>Conclusion</w:t>
            </w:r>
          </w:p>
        </w:tc>
        <w:tc>
          <w:tcPr>
            <w:tcW w:w="8100" w:type="dxa"/>
          </w:tcPr>
          <w:p w14:paraId="0C3ACB8D" w14:textId="088B4A0D" w:rsidR="00A37010" w:rsidRDefault="00DE09CF" w:rsidP="00D44F61">
            <w:r>
              <w:t>Successful networks monitor usage and proactively measure, monitor, investigate imbalances in data exchange reciprocity.</w:t>
            </w:r>
          </w:p>
        </w:tc>
      </w:tr>
    </w:tbl>
    <w:p w14:paraId="23E17819" w14:textId="77777777" w:rsidR="00A37010" w:rsidRDefault="00A37010" w:rsidP="00A37010">
      <w:pPr>
        <w:ind w:left="1080"/>
      </w:pPr>
    </w:p>
    <w:tbl>
      <w:tblPr>
        <w:tblStyle w:val="TableGrid"/>
        <w:tblW w:w="0" w:type="auto"/>
        <w:tblLook w:val="04A0" w:firstRow="1" w:lastRow="0" w:firstColumn="1" w:lastColumn="0" w:noHBand="0" w:noVBand="1"/>
      </w:tblPr>
      <w:tblGrid>
        <w:gridCol w:w="2155"/>
        <w:gridCol w:w="8100"/>
      </w:tblGrid>
      <w:tr w:rsidR="00A37010" w:rsidRPr="00CC5922" w14:paraId="73EB88E1" w14:textId="77777777" w:rsidTr="00AA12AF">
        <w:tc>
          <w:tcPr>
            <w:tcW w:w="10255" w:type="dxa"/>
            <w:gridSpan w:val="2"/>
          </w:tcPr>
          <w:p w14:paraId="4FAFB0A8" w14:textId="77777777" w:rsidR="00A37010" w:rsidRDefault="006479F5" w:rsidP="00D44F61">
            <w:pPr>
              <w:rPr>
                <w:b/>
                <w:bCs/>
              </w:rPr>
            </w:pPr>
            <w:r w:rsidRPr="006479F5">
              <w:rPr>
                <w:b/>
                <w:bCs/>
              </w:rPr>
              <w:t>PC-2</w:t>
            </w:r>
            <w:proofErr w:type="gramStart"/>
            <w:r w:rsidRPr="006479F5">
              <w:rPr>
                <w:b/>
                <w:bCs/>
              </w:rPr>
              <w:t xml:space="preserve">. </w:t>
            </w:r>
            <w:proofErr w:type="gramEnd"/>
            <w:r w:rsidRPr="006479F5">
              <w:rPr>
                <w:b/>
                <w:bCs/>
              </w:rPr>
              <w:t xml:space="preserve">Do you have easy access to your own and all your loved ones’ health information in one location (for example, in a single patient portal or another software system)?  </w:t>
            </w:r>
          </w:p>
          <w:p w14:paraId="6DD733CF" w14:textId="218E51C6" w:rsidR="006479F5" w:rsidRPr="00CC5922" w:rsidRDefault="006479F5" w:rsidP="00D44F61">
            <w:pPr>
              <w:rPr>
                <w:b/>
                <w:bCs/>
              </w:rPr>
            </w:pPr>
            <w:r w:rsidRPr="006479F5">
              <w:rPr>
                <w:b/>
                <w:bCs/>
              </w:rPr>
              <w:t>PC-2</w:t>
            </w:r>
            <w:proofErr w:type="gramStart"/>
            <w:r w:rsidRPr="006479F5">
              <w:rPr>
                <w:b/>
                <w:bCs/>
              </w:rPr>
              <w:t xml:space="preserve">. </w:t>
            </w:r>
            <w:proofErr w:type="gramEnd"/>
            <w:r w:rsidRPr="006479F5">
              <w:rPr>
                <w:b/>
                <w:bCs/>
              </w:rPr>
              <w:t xml:space="preserve">c. Were </w:t>
            </w:r>
            <w:proofErr w:type="gramStart"/>
            <w:r w:rsidRPr="006479F5">
              <w:rPr>
                <w:b/>
                <w:bCs/>
              </w:rPr>
              <w:t>there</w:t>
            </w:r>
            <w:proofErr w:type="gramEnd"/>
            <w:r w:rsidRPr="006479F5">
              <w:rPr>
                <w:b/>
                <w:bCs/>
              </w:rPr>
              <w:t xml:space="preserve"> </w:t>
            </w:r>
            <w:proofErr w:type="gramStart"/>
            <w:r w:rsidRPr="006479F5">
              <w:rPr>
                <w:b/>
                <w:bCs/>
              </w:rPr>
              <w:t>particular data</w:t>
            </w:r>
            <w:proofErr w:type="gramEnd"/>
            <w:r w:rsidRPr="006479F5">
              <w:rPr>
                <w:b/>
                <w:bCs/>
              </w:rPr>
              <w:t xml:space="preserve"> types, such as x-rays or specific test results, that were unavailable</w:t>
            </w:r>
            <w:proofErr w:type="gramStart"/>
            <w:r w:rsidRPr="006479F5">
              <w:rPr>
                <w:b/>
                <w:bCs/>
              </w:rPr>
              <w:t xml:space="preserve">? </w:t>
            </w:r>
            <w:proofErr w:type="gramEnd"/>
            <w:r w:rsidRPr="006479F5">
              <w:rPr>
                <w:b/>
                <w:bCs/>
              </w:rPr>
              <w:t>What are the obstacles to accessing your own or your loved ones’ complete health information electronically and using it for managing health conditions or finding the best care (for example, limitations in functionality, user friendliness, or access to basic technology infrastructure)?</w:t>
            </w:r>
          </w:p>
        </w:tc>
      </w:tr>
      <w:tr w:rsidR="00A37010" w14:paraId="115C97F5" w14:textId="77777777" w:rsidTr="00AA12AF">
        <w:tc>
          <w:tcPr>
            <w:tcW w:w="2155" w:type="dxa"/>
          </w:tcPr>
          <w:p w14:paraId="2DEF032B" w14:textId="77777777" w:rsidR="00A37010" w:rsidRDefault="00A37010" w:rsidP="00D44F61">
            <w:r>
              <w:t>Analysis</w:t>
            </w:r>
          </w:p>
        </w:tc>
        <w:tc>
          <w:tcPr>
            <w:tcW w:w="8100" w:type="dxa"/>
          </w:tcPr>
          <w:p w14:paraId="455963F5" w14:textId="0DF5B5BD" w:rsidR="00A37010" w:rsidRDefault="00316C4E" w:rsidP="00D44F61">
            <w:r>
              <w:t>Worldwide, image exchange is commonly the first use case to be adopted since the data are electronic and images are costly.</w:t>
            </w:r>
          </w:p>
        </w:tc>
      </w:tr>
      <w:tr w:rsidR="00A37010" w14:paraId="533BFE6A" w14:textId="77777777" w:rsidTr="00AA12AF">
        <w:tc>
          <w:tcPr>
            <w:tcW w:w="2155" w:type="dxa"/>
          </w:tcPr>
          <w:p w14:paraId="283E3F56" w14:textId="77777777" w:rsidR="00A37010" w:rsidRPr="007B0704" w:rsidRDefault="00A37010" w:rsidP="00D44F61">
            <w:pPr>
              <w:rPr>
                <w:color w:val="EE0000"/>
              </w:rPr>
            </w:pPr>
            <w:r w:rsidRPr="007B0704">
              <w:rPr>
                <w:color w:val="EE0000"/>
              </w:rPr>
              <w:t>Recommendation</w:t>
            </w:r>
          </w:p>
        </w:tc>
        <w:tc>
          <w:tcPr>
            <w:tcW w:w="8100" w:type="dxa"/>
          </w:tcPr>
          <w:p w14:paraId="77109BF5" w14:textId="2AAD83A9" w:rsidR="00A37010" w:rsidRPr="007B0704" w:rsidRDefault="00316C4E" w:rsidP="00D44F61">
            <w:pPr>
              <w:rPr>
                <w:color w:val="EE0000"/>
              </w:rPr>
            </w:pPr>
            <w:r w:rsidRPr="007B0704">
              <w:rPr>
                <w:color w:val="EE0000"/>
              </w:rPr>
              <w:t xml:space="preserve">Require </w:t>
            </w:r>
            <w:r w:rsidR="007B0704" w:rsidRPr="007B0704">
              <w:rPr>
                <w:color w:val="EE0000"/>
              </w:rPr>
              <w:t>participation in “</w:t>
            </w:r>
            <w:r w:rsidR="006479F5" w:rsidRPr="007B0704">
              <w:rPr>
                <w:color w:val="EE0000"/>
              </w:rPr>
              <w:t>Image exchange</w:t>
            </w:r>
            <w:r w:rsidR="007B0704" w:rsidRPr="007B0704">
              <w:rPr>
                <w:color w:val="EE0000"/>
              </w:rPr>
              <w:t xml:space="preserve">s” </w:t>
            </w:r>
            <w:r w:rsidR="007B0704">
              <w:rPr>
                <w:color w:val="EE0000"/>
              </w:rPr>
              <w:t xml:space="preserve">by all Providers and imaging centers (using policy mechanisms </w:t>
            </w:r>
            <w:proofErr w:type="gramStart"/>
            <w:r w:rsidR="007B0704">
              <w:rPr>
                <w:color w:val="EE0000"/>
              </w:rPr>
              <w:t>similar to</w:t>
            </w:r>
            <w:proofErr w:type="gramEnd"/>
            <w:r w:rsidR="007B0704">
              <w:rPr>
                <w:color w:val="EE0000"/>
              </w:rPr>
              <w:t xml:space="preserve"> the adoption of clinical data exchange for treatment)</w:t>
            </w:r>
            <w:r w:rsidR="00424DB4">
              <w:rPr>
                <w:color w:val="EE0000"/>
              </w:rPr>
              <w:t>.</w:t>
            </w:r>
          </w:p>
        </w:tc>
      </w:tr>
      <w:tr w:rsidR="00A37010" w14:paraId="0C279771" w14:textId="77777777" w:rsidTr="00AA12AF">
        <w:tc>
          <w:tcPr>
            <w:tcW w:w="2155" w:type="dxa"/>
          </w:tcPr>
          <w:p w14:paraId="3F9BFE73" w14:textId="77777777" w:rsidR="00A37010" w:rsidRDefault="00A37010" w:rsidP="00D44F61">
            <w:r>
              <w:t>Conclusion</w:t>
            </w:r>
          </w:p>
        </w:tc>
        <w:tc>
          <w:tcPr>
            <w:tcW w:w="8100" w:type="dxa"/>
          </w:tcPr>
          <w:p w14:paraId="5E7D68BA" w14:textId="5DA0A3B7" w:rsidR="00A37010" w:rsidRDefault="007B0704" w:rsidP="00D44F61">
            <w:r>
              <w:t>Image exchange participation can improve care (access to relevant prior images), reduce costs (unnecessary duplicate images), and patient safety (reduced unnecessary radiological exposure).</w:t>
            </w:r>
          </w:p>
        </w:tc>
      </w:tr>
    </w:tbl>
    <w:p w14:paraId="3E556A2E" w14:textId="77777777" w:rsidR="00A37010" w:rsidRDefault="00A37010" w:rsidP="00A37010">
      <w:pPr>
        <w:ind w:left="1080"/>
      </w:pPr>
    </w:p>
    <w:tbl>
      <w:tblPr>
        <w:tblStyle w:val="TableGrid"/>
        <w:tblW w:w="0" w:type="auto"/>
        <w:tblLook w:val="04A0" w:firstRow="1" w:lastRow="0" w:firstColumn="1" w:lastColumn="0" w:noHBand="0" w:noVBand="1"/>
      </w:tblPr>
      <w:tblGrid>
        <w:gridCol w:w="2155"/>
        <w:gridCol w:w="8100"/>
      </w:tblGrid>
      <w:tr w:rsidR="00A37010" w:rsidRPr="00CC5922" w14:paraId="47FD8AE8" w14:textId="77777777" w:rsidTr="00AA12AF">
        <w:tc>
          <w:tcPr>
            <w:tcW w:w="10255" w:type="dxa"/>
            <w:gridSpan w:val="2"/>
          </w:tcPr>
          <w:p w14:paraId="4F3BE643" w14:textId="0FB64FBF" w:rsidR="00A37010" w:rsidRPr="00CC5922" w:rsidRDefault="006479F5" w:rsidP="00D44F61">
            <w:pPr>
              <w:rPr>
                <w:b/>
                <w:bCs/>
              </w:rPr>
            </w:pPr>
            <w:r w:rsidRPr="006479F5">
              <w:rPr>
                <w:b/>
                <w:bCs/>
              </w:rPr>
              <w:t>PC-8</w:t>
            </w:r>
            <w:proofErr w:type="gramStart"/>
            <w:r w:rsidRPr="006479F5">
              <w:rPr>
                <w:b/>
                <w:bCs/>
              </w:rPr>
              <w:t xml:space="preserve">. </w:t>
            </w:r>
            <w:proofErr w:type="gramEnd"/>
            <w:r w:rsidRPr="006479F5">
              <w:rPr>
                <w:b/>
                <w:bCs/>
              </w:rPr>
              <w:t xml:space="preserve">c. What specific opportunities and challenges exist to improve accessibility, interoperability and integration of clinical data from different sources to enable more meaningful clinical research and generation of actionable evidence?  </w:t>
            </w:r>
          </w:p>
        </w:tc>
      </w:tr>
      <w:tr w:rsidR="00A37010" w14:paraId="439DC969" w14:textId="77777777" w:rsidTr="00AA12AF">
        <w:tc>
          <w:tcPr>
            <w:tcW w:w="2155" w:type="dxa"/>
          </w:tcPr>
          <w:p w14:paraId="64C6B5B4" w14:textId="77777777" w:rsidR="00A37010" w:rsidRDefault="00A37010" w:rsidP="00D44F61">
            <w:r>
              <w:t>Analysis</w:t>
            </w:r>
          </w:p>
        </w:tc>
        <w:tc>
          <w:tcPr>
            <w:tcW w:w="8100" w:type="dxa"/>
          </w:tcPr>
          <w:p w14:paraId="3635A8E9" w14:textId="140C30C5" w:rsidR="00A37010" w:rsidRDefault="004861CE" w:rsidP="00D44F61">
            <w:r>
              <w:t>Individual Access is critical but historically had had low rates of adoption.  If a patient provides an informed consent and provides a written authorization, it should be required to support exchange for patient-authorized purposes.</w:t>
            </w:r>
          </w:p>
        </w:tc>
      </w:tr>
      <w:tr w:rsidR="00A37010" w14:paraId="42FE41B5" w14:textId="77777777" w:rsidTr="00AA12AF">
        <w:tc>
          <w:tcPr>
            <w:tcW w:w="2155" w:type="dxa"/>
          </w:tcPr>
          <w:p w14:paraId="1744A806" w14:textId="77777777" w:rsidR="00A37010" w:rsidRPr="004861CE" w:rsidRDefault="00A37010" w:rsidP="00D44F61">
            <w:pPr>
              <w:rPr>
                <w:color w:val="EE0000"/>
              </w:rPr>
            </w:pPr>
            <w:r w:rsidRPr="004861CE">
              <w:rPr>
                <w:color w:val="EE0000"/>
              </w:rPr>
              <w:lastRenderedPageBreak/>
              <w:t>Recommendation</w:t>
            </w:r>
          </w:p>
        </w:tc>
        <w:tc>
          <w:tcPr>
            <w:tcW w:w="8100" w:type="dxa"/>
          </w:tcPr>
          <w:p w14:paraId="35354EBF" w14:textId="77777777" w:rsidR="004861CE" w:rsidRPr="004861CE" w:rsidRDefault="004861CE" w:rsidP="004861CE">
            <w:pPr>
              <w:pStyle w:val="ListParagraph"/>
              <w:numPr>
                <w:ilvl w:val="0"/>
                <w:numId w:val="13"/>
              </w:numPr>
              <w:rPr>
                <w:color w:val="EE0000"/>
              </w:rPr>
            </w:pPr>
            <w:r w:rsidRPr="004861CE">
              <w:rPr>
                <w:color w:val="EE0000"/>
              </w:rPr>
              <w:t>Support p</w:t>
            </w:r>
            <w:r w:rsidR="006479F5" w:rsidRPr="004861CE">
              <w:rPr>
                <w:color w:val="EE0000"/>
              </w:rPr>
              <w:t>atient-authorized exchange</w:t>
            </w:r>
            <w:r w:rsidRPr="004861CE">
              <w:rPr>
                <w:color w:val="EE0000"/>
              </w:rPr>
              <w:t xml:space="preserve"> by extending the model used for the </w:t>
            </w:r>
            <w:r w:rsidR="006479F5" w:rsidRPr="004861CE">
              <w:rPr>
                <w:color w:val="EE0000"/>
              </w:rPr>
              <w:t>SSA</w:t>
            </w:r>
            <w:r w:rsidRPr="004861CE">
              <w:rPr>
                <w:color w:val="EE0000"/>
              </w:rPr>
              <w:t xml:space="preserve"> benefits determinations, </w:t>
            </w:r>
            <w:r w:rsidR="006479F5" w:rsidRPr="004861CE">
              <w:rPr>
                <w:color w:val="EE0000"/>
              </w:rPr>
              <w:t>Life Insurance</w:t>
            </w:r>
            <w:r w:rsidRPr="004861CE">
              <w:rPr>
                <w:color w:val="EE0000"/>
              </w:rPr>
              <w:t xml:space="preserve"> benefits determinations and more recently to support the NIH All of Us program.  </w:t>
            </w:r>
          </w:p>
          <w:p w14:paraId="3FEEB0B7" w14:textId="2445011B" w:rsidR="00A37010" w:rsidRPr="004861CE" w:rsidRDefault="004861CE" w:rsidP="004861CE">
            <w:pPr>
              <w:pStyle w:val="ListParagraph"/>
              <w:numPr>
                <w:ilvl w:val="0"/>
                <w:numId w:val="12"/>
              </w:numPr>
              <w:rPr>
                <w:color w:val="EE0000"/>
              </w:rPr>
            </w:pPr>
            <w:r w:rsidRPr="004861CE">
              <w:rPr>
                <w:color w:val="EE0000"/>
              </w:rPr>
              <w:t>Also include an access alert back to the patient who furnished</w:t>
            </w:r>
            <w:r>
              <w:rPr>
                <w:color w:val="EE0000"/>
              </w:rPr>
              <w:t xml:space="preserve"> the authorization.</w:t>
            </w:r>
          </w:p>
        </w:tc>
      </w:tr>
      <w:tr w:rsidR="00A37010" w14:paraId="5279FA05" w14:textId="77777777" w:rsidTr="00AA12AF">
        <w:tc>
          <w:tcPr>
            <w:tcW w:w="2155" w:type="dxa"/>
          </w:tcPr>
          <w:p w14:paraId="2F2BA5CE" w14:textId="77777777" w:rsidR="00A37010" w:rsidRDefault="00A37010" w:rsidP="00D44F61">
            <w:r>
              <w:t>Conclusion</w:t>
            </w:r>
          </w:p>
        </w:tc>
        <w:tc>
          <w:tcPr>
            <w:tcW w:w="8100" w:type="dxa"/>
          </w:tcPr>
          <w:p w14:paraId="38849CA3" w14:textId="469D86B1" w:rsidR="00A37010" w:rsidRDefault="002228F3" w:rsidP="00D44F61">
            <w:r>
              <w:t>Support for patient-authorized data exchange for various purposes (benefits determinations, research, etc.) can accelerate more clinical research.</w:t>
            </w:r>
          </w:p>
        </w:tc>
      </w:tr>
    </w:tbl>
    <w:p w14:paraId="4A98492B" w14:textId="77777777" w:rsidR="00A37010" w:rsidRDefault="00A37010" w:rsidP="00A37010">
      <w:pPr>
        <w:ind w:left="1080"/>
      </w:pPr>
    </w:p>
    <w:tbl>
      <w:tblPr>
        <w:tblStyle w:val="TableGrid"/>
        <w:tblW w:w="0" w:type="auto"/>
        <w:tblLook w:val="04A0" w:firstRow="1" w:lastRow="0" w:firstColumn="1" w:lastColumn="0" w:noHBand="0" w:noVBand="1"/>
      </w:tblPr>
      <w:tblGrid>
        <w:gridCol w:w="2155"/>
        <w:gridCol w:w="8100"/>
      </w:tblGrid>
      <w:tr w:rsidR="00A37010" w:rsidRPr="00CC5922" w14:paraId="27DC9C72" w14:textId="77777777" w:rsidTr="00AA12AF">
        <w:tc>
          <w:tcPr>
            <w:tcW w:w="10255" w:type="dxa"/>
            <w:gridSpan w:val="2"/>
          </w:tcPr>
          <w:p w14:paraId="67B50DBB" w14:textId="2EC394D7" w:rsidR="00A37010" w:rsidRPr="00CC5922" w:rsidRDefault="00CE1D40" w:rsidP="00D44F61">
            <w:pPr>
              <w:rPr>
                <w:b/>
                <w:bCs/>
              </w:rPr>
            </w:pPr>
            <w:r w:rsidRPr="00CE1D40">
              <w:rPr>
                <w:b/>
                <w:bCs/>
              </w:rPr>
              <w:t>PR-9</w:t>
            </w:r>
            <w:proofErr w:type="gramStart"/>
            <w:r w:rsidRPr="00CE1D40">
              <w:rPr>
                <w:b/>
                <w:bCs/>
              </w:rPr>
              <w:t xml:space="preserve">. </w:t>
            </w:r>
            <w:proofErr w:type="gramEnd"/>
            <w:r w:rsidRPr="00CE1D40">
              <w:rPr>
                <w:b/>
                <w:bCs/>
              </w:rPr>
              <w:t>b. How might CMS balance patient privacy with convenience and access to digital health products and services that may lead to significant improvements in health?</w:t>
            </w:r>
          </w:p>
        </w:tc>
      </w:tr>
      <w:tr w:rsidR="00A37010" w14:paraId="49A44167" w14:textId="77777777" w:rsidTr="00AA12AF">
        <w:tc>
          <w:tcPr>
            <w:tcW w:w="2155" w:type="dxa"/>
          </w:tcPr>
          <w:p w14:paraId="556A8F43" w14:textId="77777777" w:rsidR="00A37010" w:rsidRDefault="00A37010" w:rsidP="00D44F61">
            <w:r>
              <w:t>Analysis</w:t>
            </w:r>
          </w:p>
        </w:tc>
        <w:tc>
          <w:tcPr>
            <w:tcW w:w="8100" w:type="dxa"/>
          </w:tcPr>
          <w:p w14:paraId="171EB4CD" w14:textId="44883371" w:rsidR="00A37010" w:rsidRDefault="00322937" w:rsidP="00D44F61">
            <w:r>
              <w:t xml:space="preserve">Currently, access and exchange of </w:t>
            </w:r>
            <w:r w:rsidR="00453000">
              <w:t>p</w:t>
            </w:r>
            <w:r>
              <w:t xml:space="preserve">atient data is </w:t>
            </w:r>
            <w:r w:rsidR="00453000">
              <w:t xml:space="preserve">a </w:t>
            </w:r>
            <w:r w:rsidR="009B1BA1">
              <w:t>black box</w:t>
            </w:r>
            <w:r w:rsidR="00453000">
              <w:t xml:space="preserve"> to consumers.  Why is it normal and acceptable for a Provider to share data with </w:t>
            </w:r>
            <w:r w:rsidR="00424DB4">
              <w:t xml:space="preserve">many </w:t>
            </w:r>
            <w:r w:rsidR="00453000">
              <w:t>3</w:t>
            </w:r>
            <w:r w:rsidR="00453000" w:rsidRPr="00453000">
              <w:rPr>
                <w:vertAlign w:val="superscript"/>
              </w:rPr>
              <w:t>rd</w:t>
            </w:r>
            <w:r w:rsidR="00453000">
              <w:t xml:space="preserve"> parties</w:t>
            </w:r>
            <w:r w:rsidR="00424DB4">
              <w:t xml:space="preserve"> to deliver care</w:t>
            </w:r>
            <w:r w:rsidR="00453000">
              <w:t>?  Would consumers swap Providers or Payers if they knew how they handled data (just like someone may swap doctors if they don’t use an EHR)?</w:t>
            </w:r>
          </w:p>
          <w:p w14:paraId="7406F2F9" w14:textId="1F0CEB53" w:rsidR="00DE09CF" w:rsidRDefault="00DE09CF" w:rsidP="00D44F61">
            <w:r>
              <w:t>TEFCA also provides a new opportunity to check consent during the patient record location process (and if there is an opt-out, stop the queries).</w:t>
            </w:r>
          </w:p>
        </w:tc>
      </w:tr>
      <w:tr w:rsidR="00A37010" w14:paraId="709C050A" w14:textId="77777777" w:rsidTr="00AA12AF">
        <w:tc>
          <w:tcPr>
            <w:tcW w:w="2155" w:type="dxa"/>
          </w:tcPr>
          <w:p w14:paraId="3D6DEB81" w14:textId="77777777" w:rsidR="00A37010" w:rsidRDefault="00A37010" w:rsidP="00D44F61">
            <w:r>
              <w:t>Recommendation</w:t>
            </w:r>
          </w:p>
        </w:tc>
        <w:tc>
          <w:tcPr>
            <w:tcW w:w="8100" w:type="dxa"/>
          </w:tcPr>
          <w:p w14:paraId="43C8D709" w14:textId="21794910" w:rsidR="002228F3" w:rsidRPr="00453000" w:rsidRDefault="00322937" w:rsidP="00322937">
            <w:pPr>
              <w:pStyle w:val="ListParagraph"/>
              <w:numPr>
                <w:ilvl w:val="0"/>
                <w:numId w:val="12"/>
              </w:numPr>
              <w:rPr>
                <w:color w:val="EE0000"/>
              </w:rPr>
            </w:pPr>
            <w:r w:rsidRPr="00453000">
              <w:rPr>
                <w:color w:val="EE0000"/>
              </w:rPr>
              <w:t xml:space="preserve">TEFCA </w:t>
            </w:r>
            <w:r w:rsidR="00453000">
              <w:rPr>
                <w:color w:val="EE0000"/>
              </w:rPr>
              <w:t xml:space="preserve">should force </w:t>
            </w:r>
            <w:r w:rsidR="00DE09CF">
              <w:rPr>
                <w:color w:val="EE0000"/>
              </w:rPr>
              <w:t xml:space="preserve">checking </w:t>
            </w:r>
            <w:r w:rsidRPr="00453000">
              <w:rPr>
                <w:color w:val="EE0000"/>
              </w:rPr>
              <w:t>state/regional consent registries</w:t>
            </w:r>
            <w:r w:rsidR="00DE09CF">
              <w:rPr>
                <w:color w:val="EE0000"/>
              </w:rPr>
              <w:t>.</w:t>
            </w:r>
          </w:p>
          <w:p w14:paraId="36A44D05" w14:textId="08515A8F" w:rsidR="00322937" w:rsidRPr="00453000" w:rsidRDefault="00453000" w:rsidP="00322937">
            <w:pPr>
              <w:pStyle w:val="ListParagraph"/>
              <w:numPr>
                <w:ilvl w:val="0"/>
                <w:numId w:val="12"/>
              </w:numPr>
              <w:rPr>
                <w:color w:val="EE0000"/>
              </w:rPr>
            </w:pPr>
            <w:r w:rsidRPr="00453000">
              <w:rPr>
                <w:color w:val="EE0000"/>
              </w:rPr>
              <w:t xml:space="preserve">Allow patients to </w:t>
            </w:r>
            <w:r w:rsidR="00DE09CF">
              <w:rPr>
                <w:color w:val="EE0000"/>
              </w:rPr>
              <w:t xml:space="preserve">choose to </w:t>
            </w:r>
            <w:r w:rsidRPr="00453000">
              <w:rPr>
                <w:color w:val="EE0000"/>
              </w:rPr>
              <w:t>be alerted when data are accessed</w:t>
            </w:r>
            <w:r w:rsidR="00DE09CF">
              <w:rPr>
                <w:color w:val="EE0000"/>
              </w:rPr>
              <w:t>.</w:t>
            </w:r>
          </w:p>
          <w:p w14:paraId="770FC496" w14:textId="30C3A7B3" w:rsidR="00453000" w:rsidRPr="00453000" w:rsidRDefault="00453000" w:rsidP="00322937">
            <w:pPr>
              <w:pStyle w:val="ListParagraph"/>
              <w:numPr>
                <w:ilvl w:val="0"/>
                <w:numId w:val="12"/>
              </w:numPr>
              <w:rPr>
                <w:color w:val="EE0000"/>
              </w:rPr>
            </w:pPr>
            <w:r w:rsidRPr="00453000">
              <w:rPr>
                <w:color w:val="EE0000"/>
              </w:rPr>
              <w:t>Allow patients to have the “right to be forgotten”</w:t>
            </w:r>
            <w:r w:rsidR="00424DB4">
              <w:rPr>
                <w:color w:val="EE0000"/>
              </w:rPr>
              <w:t xml:space="preserve"> (from Payers, Providers)</w:t>
            </w:r>
          </w:p>
          <w:p w14:paraId="132338D1" w14:textId="65357AE4" w:rsidR="00453000" w:rsidRPr="00453000" w:rsidRDefault="00453000" w:rsidP="00322937">
            <w:pPr>
              <w:pStyle w:val="ListParagraph"/>
              <w:numPr>
                <w:ilvl w:val="0"/>
                <w:numId w:val="12"/>
              </w:numPr>
              <w:rPr>
                <w:color w:val="EE0000"/>
              </w:rPr>
            </w:pPr>
            <w:r w:rsidRPr="00453000">
              <w:rPr>
                <w:color w:val="EE0000"/>
              </w:rPr>
              <w:t>With Payer-to-Payer exchange in place, set expectations about auto-purging patient data</w:t>
            </w:r>
            <w:r w:rsidR="00DE09CF">
              <w:rPr>
                <w:color w:val="EE0000"/>
              </w:rPr>
              <w:t xml:space="preserve"> within health plans.</w:t>
            </w:r>
          </w:p>
          <w:p w14:paraId="3CF07A99" w14:textId="2A381EC4" w:rsidR="00DE09CF" w:rsidRDefault="00453000" w:rsidP="00DE09CF">
            <w:pPr>
              <w:pStyle w:val="ListParagraph"/>
              <w:numPr>
                <w:ilvl w:val="0"/>
                <w:numId w:val="12"/>
              </w:numPr>
            </w:pPr>
            <w:r w:rsidRPr="00453000">
              <w:rPr>
                <w:color w:val="EE0000"/>
              </w:rPr>
              <w:t>Better define HIPAA minimum necessary (or define it as EHI)</w:t>
            </w:r>
            <w:r w:rsidR="00DE09CF">
              <w:rPr>
                <w:color w:val="EE0000"/>
              </w:rPr>
              <w:t>.</w:t>
            </w:r>
          </w:p>
        </w:tc>
      </w:tr>
      <w:tr w:rsidR="00A37010" w14:paraId="000AA34D" w14:textId="77777777" w:rsidTr="00AA12AF">
        <w:tc>
          <w:tcPr>
            <w:tcW w:w="2155" w:type="dxa"/>
          </w:tcPr>
          <w:p w14:paraId="2C7A3916" w14:textId="77777777" w:rsidR="00A37010" w:rsidRDefault="00A37010" w:rsidP="00D44F61">
            <w:r>
              <w:t>Conclusion</w:t>
            </w:r>
          </w:p>
        </w:tc>
        <w:tc>
          <w:tcPr>
            <w:tcW w:w="8100" w:type="dxa"/>
          </w:tcPr>
          <w:p w14:paraId="67ECBC8F" w14:textId="2AB58821" w:rsidR="00A37010" w:rsidRDefault="00453000" w:rsidP="00D44F61">
            <w:r>
              <w:t>Patient privacy can be better balanced by adopting best practices from other industries (banking) and other countries (EU countries).</w:t>
            </w:r>
            <w:r w:rsidR="00DE09CF">
              <w:t xml:space="preserve">  An “engaged” patient can also benefit patient matching and help to improve patient care.</w:t>
            </w:r>
          </w:p>
        </w:tc>
      </w:tr>
    </w:tbl>
    <w:p w14:paraId="72592B0C" w14:textId="21FF2D8A" w:rsidR="00B532AE" w:rsidRDefault="00B532AE"/>
    <w:sectPr w:rsidR="00B532AE" w:rsidSect="00B82D6B">
      <w:headerReference w:type="default" r:id="rId10"/>
      <w:headerReference w:type="firs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9F461" w14:textId="77777777" w:rsidR="006E4F8E" w:rsidRDefault="006E4F8E" w:rsidP="00B82D6B">
      <w:pPr>
        <w:spacing w:after="0" w:line="240" w:lineRule="auto"/>
      </w:pPr>
      <w:r>
        <w:separator/>
      </w:r>
    </w:p>
  </w:endnote>
  <w:endnote w:type="continuationSeparator" w:id="0">
    <w:p w14:paraId="1D05EAE3" w14:textId="77777777" w:rsidR="006E4F8E" w:rsidRDefault="006E4F8E" w:rsidP="00B82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09D14" w14:textId="77777777" w:rsidR="006E4F8E" w:rsidRDefault="006E4F8E" w:rsidP="00B82D6B">
      <w:pPr>
        <w:spacing w:after="0" w:line="240" w:lineRule="auto"/>
      </w:pPr>
      <w:r>
        <w:separator/>
      </w:r>
    </w:p>
  </w:footnote>
  <w:footnote w:type="continuationSeparator" w:id="0">
    <w:p w14:paraId="2C4FE7E8" w14:textId="77777777" w:rsidR="006E4F8E" w:rsidRDefault="006E4F8E" w:rsidP="00B82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3276" w14:textId="0A13282C" w:rsidR="00B82D6B" w:rsidRDefault="00B82D6B" w:rsidP="00B82D6B">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CEDE6" w14:textId="1BF8CB85" w:rsidR="00B82D6B" w:rsidRDefault="00B82D6B" w:rsidP="00B82D6B">
    <w:pPr>
      <w:pStyle w:val="Header"/>
      <w:jc w:val="center"/>
    </w:pPr>
    <w:r w:rsidRPr="00B82D6B">
      <w:rPr>
        <w:noProof/>
      </w:rPr>
      <w:drawing>
        <wp:inline distT="0" distB="0" distL="0" distR="0" wp14:anchorId="32A47540" wp14:editId="6A32DA1C">
          <wp:extent cx="905932" cy="420165"/>
          <wp:effectExtent l="0" t="0" r="8890" b="0"/>
          <wp:docPr id="1892128983"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28983" name="Picture 1" descr="A black and white logo&#10;&#10;AI-generated content may be incorrect."/>
                  <pic:cNvPicPr/>
                </pic:nvPicPr>
                <pic:blipFill>
                  <a:blip r:embed="rId1"/>
                  <a:stretch>
                    <a:fillRect/>
                  </a:stretch>
                </pic:blipFill>
                <pic:spPr>
                  <a:xfrm>
                    <a:off x="0" y="0"/>
                    <a:ext cx="913931" cy="4238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140EC"/>
    <w:multiLevelType w:val="hybridMultilevel"/>
    <w:tmpl w:val="9DCE6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207D9"/>
    <w:multiLevelType w:val="hybridMultilevel"/>
    <w:tmpl w:val="68FCE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A6110"/>
    <w:multiLevelType w:val="hybridMultilevel"/>
    <w:tmpl w:val="DC3A5EAC"/>
    <w:lvl w:ilvl="0" w:tplc="487C136A">
      <w:start w:val="1"/>
      <w:numFmt w:val="bullet"/>
      <w:lvlText w:val=""/>
      <w:lvlJc w:val="left"/>
      <w:pPr>
        <w:ind w:left="360" w:hanging="360"/>
      </w:pPr>
      <w:rPr>
        <w:rFonts w:ascii="Symbol" w:hAnsi="Symbol"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8E3965"/>
    <w:multiLevelType w:val="hybridMultilevel"/>
    <w:tmpl w:val="16007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B44671E"/>
    <w:multiLevelType w:val="hybridMultilevel"/>
    <w:tmpl w:val="C756AC74"/>
    <w:lvl w:ilvl="0" w:tplc="487C136A">
      <w:start w:val="1"/>
      <w:numFmt w:val="bullet"/>
      <w:lvlText w:val=""/>
      <w:lvlJc w:val="left"/>
      <w:pPr>
        <w:ind w:left="360" w:hanging="360"/>
      </w:pPr>
      <w:rPr>
        <w:rFonts w:ascii="Symbol" w:hAnsi="Symbol" w:hint="default"/>
        <w:color w:val="EE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236A8D"/>
    <w:multiLevelType w:val="hybridMultilevel"/>
    <w:tmpl w:val="B1C08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F2E170D"/>
    <w:multiLevelType w:val="hybridMultilevel"/>
    <w:tmpl w:val="203864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1157446"/>
    <w:multiLevelType w:val="hybridMultilevel"/>
    <w:tmpl w:val="FE324D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A424B0"/>
    <w:multiLevelType w:val="hybridMultilevel"/>
    <w:tmpl w:val="26D40168"/>
    <w:lvl w:ilvl="0" w:tplc="487C136A">
      <w:start w:val="1"/>
      <w:numFmt w:val="bullet"/>
      <w:lvlText w:val=""/>
      <w:lvlJc w:val="left"/>
      <w:pPr>
        <w:ind w:left="360" w:hanging="360"/>
      </w:pPr>
      <w:rPr>
        <w:rFonts w:ascii="Symbol" w:hAnsi="Symbol"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7D2BAD"/>
    <w:multiLevelType w:val="hybridMultilevel"/>
    <w:tmpl w:val="6B88BCBC"/>
    <w:lvl w:ilvl="0" w:tplc="487C136A">
      <w:start w:val="1"/>
      <w:numFmt w:val="bullet"/>
      <w:lvlText w:val=""/>
      <w:lvlJc w:val="left"/>
      <w:pPr>
        <w:ind w:left="360" w:hanging="360"/>
      </w:pPr>
      <w:rPr>
        <w:rFonts w:ascii="Symbol" w:hAnsi="Symbol"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AD6ADE"/>
    <w:multiLevelType w:val="hybridMultilevel"/>
    <w:tmpl w:val="14927E64"/>
    <w:lvl w:ilvl="0" w:tplc="487C136A">
      <w:start w:val="1"/>
      <w:numFmt w:val="bullet"/>
      <w:lvlText w:val=""/>
      <w:lvlJc w:val="left"/>
      <w:pPr>
        <w:ind w:left="360" w:hanging="360"/>
      </w:pPr>
      <w:rPr>
        <w:rFonts w:ascii="Symbol" w:hAnsi="Symbol"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9911E7"/>
    <w:multiLevelType w:val="hybridMultilevel"/>
    <w:tmpl w:val="F15294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CF71C2"/>
    <w:multiLevelType w:val="hybridMultilevel"/>
    <w:tmpl w:val="D2DE113A"/>
    <w:lvl w:ilvl="0" w:tplc="487C136A">
      <w:start w:val="1"/>
      <w:numFmt w:val="bullet"/>
      <w:lvlText w:val=""/>
      <w:lvlJc w:val="left"/>
      <w:pPr>
        <w:ind w:left="360" w:hanging="360"/>
      </w:pPr>
      <w:rPr>
        <w:rFonts w:ascii="Symbol" w:hAnsi="Symbol"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DC02EB"/>
    <w:multiLevelType w:val="hybridMultilevel"/>
    <w:tmpl w:val="2EDAD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013183">
    <w:abstractNumId w:val="1"/>
  </w:num>
  <w:num w:numId="2" w16cid:durableId="997197812">
    <w:abstractNumId w:val="11"/>
  </w:num>
  <w:num w:numId="3" w16cid:durableId="767655334">
    <w:abstractNumId w:val="0"/>
  </w:num>
  <w:num w:numId="4" w16cid:durableId="1883469866">
    <w:abstractNumId w:val="3"/>
  </w:num>
  <w:num w:numId="5" w16cid:durableId="122816660">
    <w:abstractNumId w:val="6"/>
  </w:num>
  <w:num w:numId="6" w16cid:durableId="776145461">
    <w:abstractNumId w:val="7"/>
  </w:num>
  <w:num w:numId="7" w16cid:durableId="744572274">
    <w:abstractNumId w:val="13"/>
  </w:num>
  <w:num w:numId="8" w16cid:durableId="651177874">
    <w:abstractNumId w:val="4"/>
  </w:num>
  <w:num w:numId="9" w16cid:durableId="1529104026">
    <w:abstractNumId w:val="9"/>
  </w:num>
  <w:num w:numId="10" w16cid:durableId="700782936">
    <w:abstractNumId w:val="12"/>
  </w:num>
  <w:num w:numId="11" w16cid:durableId="1595434343">
    <w:abstractNumId w:val="10"/>
  </w:num>
  <w:num w:numId="12" w16cid:durableId="2040005096">
    <w:abstractNumId w:val="8"/>
  </w:num>
  <w:num w:numId="13" w16cid:durableId="838159498">
    <w:abstractNumId w:val="2"/>
  </w:num>
  <w:num w:numId="14" w16cid:durableId="21110023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2AE"/>
    <w:rsid w:val="00011A2E"/>
    <w:rsid w:val="00017143"/>
    <w:rsid w:val="00021572"/>
    <w:rsid w:val="0004447A"/>
    <w:rsid w:val="00084B5B"/>
    <w:rsid w:val="000C7C11"/>
    <w:rsid w:val="001004BB"/>
    <w:rsid w:val="001A4092"/>
    <w:rsid w:val="001E29A2"/>
    <w:rsid w:val="002228F3"/>
    <w:rsid w:val="00281520"/>
    <w:rsid w:val="00290552"/>
    <w:rsid w:val="002A6B00"/>
    <w:rsid w:val="0031010A"/>
    <w:rsid w:val="00316C4E"/>
    <w:rsid w:val="00322937"/>
    <w:rsid w:val="003B7F80"/>
    <w:rsid w:val="003F3E4D"/>
    <w:rsid w:val="00424DB4"/>
    <w:rsid w:val="00453000"/>
    <w:rsid w:val="004610D3"/>
    <w:rsid w:val="004861CE"/>
    <w:rsid w:val="004A37DC"/>
    <w:rsid w:val="004B50CE"/>
    <w:rsid w:val="004D1316"/>
    <w:rsid w:val="004D3506"/>
    <w:rsid w:val="005A1A73"/>
    <w:rsid w:val="0062070C"/>
    <w:rsid w:val="00634FE3"/>
    <w:rsid w:val="006479F5"/>
    <w:rsid w:val="00672C21"/>
    <w:rsid w:val="006974D6"/>
    <w:rsid w:val="006E4F8E"/>
    <w:rsid w:val="007B0704"/>
    <w:rsid w:val="007F7766"/>
    <w:rsid w:val="00832A6E"/>
    <w:rsid w:val="00860E68"/>
    <w:rsid w:val="009232F4"/>
    <w:rsid w:val="0092560A"/>
    <w:rsid w:val="009A334C"/>
    <w:rsid w:val="009B1BA1"/>
    <w:rsid w:val="00A0086D"/>
    <w:rsid w:val="00A15166"/>
    <w:rsid w:val="00A37010"/>
    <w:rsid w:val="00A77218"/>
    <w:rsid w:val="00A944B6"/>
    <w:rsid w:val="00AA12AF"/>
    <w:rsid w:val="00AB4EA6"/>
    <w:rsid w:val="00AF3366"/>
    <w:rsid w:val="00B331AD"/>
    <w:rsid w:val="00B532AE"/>
    <w:rsid w:val="00B82D6B"/>
    <w:rsid w:val="00C52396"/>
    <w:rsid w:val="00C85880"/>
    <w:rsid w:val="00CC5922"/>
    <w:rsid w:val="00CE1D40"/>
    <w:rsid w:val="00D32776"/>
    <w:rsid w:val="00D33ADE"/>
    <w:rsid w:val="00D4317B"/>
    <w:rsid w:val="00D82222"/>
    <w:rsid w:val="00D915C9"/>
    <w:rsid w:val="00D9751E"/>
    <w:rsid w:val="00DB52A4"/>
    <w:rsid w:val="00DC004B"/>
    <w:rsid w:val="00DC0C0D"/>
    <w:rsid w:val="00DE09CF"/>
    <w:rsid w:val="00E302A4"/>
    <w:rsid w:val="00E55032"/>
    <w:rsid w:val="00F42747"/>
    <w:rsid w:val="00F5682B"/>
    <w:rsid w:val="00FF2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AD803"/>
  <w15:chartTrackingRefBased/>
  <w15:docId w15:val="{923A6D9D-E7C4-4ACB-80B7-4629962D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3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3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2AE"/>
    <w:rPr>
      <w:rFonts w:eastAsiaTheme="majorEastAsia" w:cstheme="majorBidi"/>
      <w:color w:val="272727" w:themeColor="text1" w:themeTint="D8"/>
    </w:rPr>
  </w:style>
  <w:style w:type="paragraph" w:styleId="Title">
    <w:name w:val="Title"/>
    <w:basedOn w:val="Normal"/>
    <w:next w:val="Normal"/>
    <w:link w:val="TitleChar"/>
    <w:uiPriority w:val="10"/>
    <w:qFormat/>
    <w:rsid w:val="00B53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2AE"/>
    <w:pPr>
      <w:spacing w:before="160"/>
      <w:jc w:val="center"/>
    </w:pPr>
    <w:rPr>
      <w:i/>
      <w:iCs/>
      <w:color w:val="404040" w:themeColor="text1" w:themeTint="BF"/>
    </w:rPr>
  </w:style>
  <w:style w:type="character" w:customStyle="1" w:styleId="QuoteChar">
    <w:name w:val="Quote Char"/>
    <w:basedOn w:val="DefaultParagraphFont"/>
    <w:link w:val="Quote"/>
    <w:uiPriority w:val="29"/>
    <w:rsid w:val="00B532AE"/>
    <w:rPr>
      <w:i/>
      <w:iCs/>
      <w:color w:val="404040" w:themeColor="text1" w:themeTint="BF"/>
    </w:rPr>
  </w:style>
  <w:style w:type="paragraph" w:styleId="ListParagraph">
    <w:name w:val="List Paragraph"/>
    <w:basedOn w:val="Normal"/>
    <w:uiPriority w:val="34"/>
    <w:qFormat/>
    <w:rsid w:val="00B532AE"/>
    <w:pPr>
      <w:ind w:left="720"/>
      <w:contextualSpacing/>
    </w:pPr>
  </w:style>
  <w:style w:type="character" w:styleId="IntenseEmphasis">
    <w:name w:val="Intense Emphasis"/>
    <w:basedOn w:val="DefaultParagraphFont"/>
    <w:uiPriority w:val="21"/>
    <w:qFormat/>
    <w:rsid w:val="00B532AE"/>
    <w:rPr>
      <w:i/>
      <w:iCs/>
      <w:color w:val="0F4761" w:themeColor="accent1" w:themeShade="BF"/>
    </w:rPr>
  </w:style>
  <w:style w:type="paragraph" w:styleId="IntenseQuote">
    <w:name w:val="Intense Quote"/>
    <w:basedOn w:val="Normal"/>
    <w:next w:val="Normal"/>
    <w:link w:val="IntenseQuoteChar"/>
    <w:uiPriority w:val="30"/>
    <w:qFormat/>
    <w:rsid w:val="00B53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2AE"/>
    <w:rPr>
      <w:i/>
      <w:iCs/>
      <w:color w:val="0F4761" w:themeColor="accent1" w:themeShade="BF"/>
    </w:rPr>
  </w:style>
  <w:style w:type="character" w:styleId="IntenseReference">
    <w:name w:val="Intense Reference"/>
    <w:basedOn w:val="DefaultParagraphFont"/>
    <w:uiPriority w:val="32"/>
    <w:qFormat/>
    <w:rsid w:val="00B532AE"/>
    <w:rPr>
      <w:b/>
      <w:bCs/>
      <w:smallCaps/>
      <w:color w:val="0F4761" w:themeColor="accent1" w:themeShade="BF"/>
      <w:spacing w:val="5"/>
    </w:rPr>
  </w:style>
  <w:style w:type="table" w:styleId="TableGrid">
    <w:name w:val="Table Grid"/>
    <w:basedOn w:val="TableNormal"/>
    <w:uiPriority w:val="39"/>
    <w:rsid w:val="00CC5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302A4"/>
    <w:rPr>
      <w:color w:val="467886" w:themeColor="hyperlink"/>
      <w:u w:val="single"/>
    </w:rPr>
  </w:style>
  <w:style w:type="character" w:styleId="UnresolvedMention">
    <w:name w:val="Unresolved Mention"/>
    <w:basedOn w:val="DefaultParagraphFont"/>
    <w:uiPriority w:val="99"/>
    <w:semiHidden/>
    <w:unhideWhenUsed/>
    <w:rsid w:val="00E302A4"/>
    <w:rPr>
      <w:color w:val="605E5C"/>
      <w:shd w:val="clear" w:color="auto" w:fill="E1DFDD"/>
    </w:rPr>
  </w:style>
  <w:style w:type="paragraph" w:styleId="Header">
    <w:name w:val="header"/>
    <w:basedOn w:val="Normal"/>
    <w:link w:val="HeaderChar"/>
    <w:uiPriority w:val="99"/>
    <w:unhideWhenUsed/>
    <w:rsid w:val="00B82D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D6B"/>
  </w:style>
  <w:style w:type="paragraph" w:styleId="Footer">
    <w:name w:val="footer"/>
    <w:basedOn w:val="Normal"/>
    <w:link w:val="FooterChar"/>
    <w:uiPriority w:val="99"/>
    <w:unhideWhenUsed/>
    <w:rsid w:val="00B82D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257925">
      <w:bodyDiv w:val="1"/>
      <w:marLeft w:val="0"/>
      <w:marRight w:val="0"/>
      <w:marTop w:val="0"/>
      <w:marBottom w:val="0"/>
      <w:divBdr>
        <w:top w:val="none" w:sz="0" w:space="0" w:color="auto"/>
        <w:left w:val="none" w:sz="0" w:space="0" w:color="auto"/>
        <w:bottom w:val="none" w:sz="0" w:space="0" w:color="auto"/>
        <w:right w:val="none" w:sz="0" w:space="0" w:color="auto"/>
      </w:divBdr>
    </w:div>
    <w:div w:id="1664505906">
      <w:bodyDiv w:val="1"/>
      <w:marLeft w:val="0"/>
      <w:marRight w:val="0"/>
      <w:marTop w:val="0"/>
      <w:marBottom w:val="0"/>
      <w:divBdr>
        <w:top w:val="none" w:sz="0" w:space="0" w:color="auto"/>
        <w:left w:val="none" w:sz="0" w:space="0" w:color="auto"/>
        <w:bottom w:val="none" w:sz="0" w:space="0" w:color="auto"/>
        <w:right w:val="none" w:sz="0" w:space="0" w:color="auto"/>
      </w:divBdr>
    </w:div>
    <w:div w:id="168404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20809214456/https:/www.healthit.gov/buzz-blog/interoperability/e-pluribus-unu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ivitasforhealth.org/hduframewor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8D696-72C2-40BD-92C6-AAD814924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8</Pages>
  <Words>3214</Words>
  <Characters>18325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Howard</dc:creator>
  <cp:keywords/>
  <dc:description/>
  <cp:lastModifiedBy>Bill Howard</cp:lastModifiedBy>
  <cp:revision>8</cp:revision>
  <dcterms:created xsi:type="dcterms:W3CDTF">2025-06-16T22:08:00Z</dcterms:created>
  <dcterms:modified xsi:type="dcterms:W3CDTF">2025-06-16T23:48:00Z</dcterms:modified>
</cp:coreProperties>
</file>