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AF1FC" w14:textId="77777777" w:rsidR="001662A8" w:rsidRDefault="001662A8" w:rsidP="00990262">
      <w:pPr>
        <w:pStyle w:val="NoSpacing"/>
        <w:jc w:val="center"/>
        <w:rPr>
          <w:b/>
          <w:color w:val="17365D" w:themeColor="text2" w:themeShade="BF"/>
          <w:sz w:val="28"/>
          <w:szCs w:val="28"/>
        </w:rPr>
      </w:pPr>
      <w:r>
        <w:rPr>
          <w:b/>
          <w:color w:val="17365D" w:themeColor="text2" w:themeShade="BF"/>
          <w:sz w:val="28"/>
          <w:szCs w:val="28"/>
        </w:rPr>
        <w:t>Wealth House, LLC</w:t>
      </w:r>
    </w:p>
    <w:p w14:paraId="44E22C56" w14:textId="77777777" w:rsidR="00926177" w:rsidRPr="00990262" w:rsidRDefault="001662A8" w:rsidP="00990262">
      <w:pPr>
        <w:pStyle w:val="NoSpacing"/>
        <w:jc w:val="center"/>
        <w:rPr>
          <w:b/>
          <w:color w:val="17365D" w:themeColor="text2" w:themeShade="BF"/>
          <w:sz w:val="28"/>
          <w:szCs w:val="28"/>
        </w:rPr>
      </w:pPr>
      <w:r>
        <w:rPr>
          <w:b/>
          <w:color w:val="17365D" w:themeColor="text2" w:themeShade="BF"/>
          <w:sz w:val="28"/>
          <w:szCs w:val="28"/>
        </w:rPr>
        <w:t>Equity Investment Strategy</w:t>
      </w:r>
    </w:p>
    <w:p w14:paraId="33CBA646" w14:textId="77777777" w:rsidR="0062172E" w:rsidRPr="00990262" w:rsidRDefault="001662A8" w:rsidP="002C26EE">
      <w:pPr>
        <w:pStyle w:val="NoSpacing"/>
        <w:jc w:val="center"/>
        <w:rPr>
          <w:b/>
        </w:rPr>
      </w:pPr>
      <w:r>
        <w:rPr>
          <w:b/>
        </w:rPr>
        <w:t>Milan Kratka</w:t>
      </w:r>
      <w:r w:rsidR="00A07648">
        <w:rPr>
          <w:b/>
        </w:rPr>
        <w:t>, Ph.D.</w:t>
      </w:r>
      <w:r w:rsidR="002C26EE" w:rsidRPr="00990262">
        <w:rPr>
          <w:b/>
        </w:rPr>
        <w:t xml:space="preserve"> </w:t>
      </w:r>
    </w:p>
    <w:p w14:paraId="26B6ACC3" w14:textId="77777777" w:rsidR="00887ECE" w:rsidRDefault="00A07648" w:rsidP="00861DCA">
      <w:pPr>
        <w:pStyle w:val="NoSpacing"/>
        <w:jc w:val="center"/>
        <w:rPr>
          <w:b/>
          <w:sz w:val="20"/>
          <w:szCs w:val="20"/>
        </w:rPr>
      </w:pPr>
      <w:proofErr w:type="spellStart"/>
      <w:r>
        <w:rPr>
          <w:b/>
          <w:sz w:val="20"/>
          <w:szCs w:val="20"/>
        </w:rPr>
        <w:t>Septamber</w:t>
      </w:r>
      <w:proofErr w:type="spellEnd"/>
      <w:r>
        <w:rPr>
          <w:b/>
          <w:sz w:val="20"/>
          <w:szCs w:val="20"/>
        </w:rPr>
        <w:t xml:space="preserve"> 12</w:t>
      </w:r>
      <w:r w:rsidR="00BE0D3C">
        <w:rPr>
          <w:b/>
          <w:sz w:val="20"/>
          <w:szCs w:val="20"/>
        </w:rPr>
        <w:t>, 2018</w:t>
      </w:r>
    </w:p>
    <w:p w14:paraId="490E8CCE" w14:textId="77777777" w:rsidR="002C26EE" w:rsidRPr="00291613" w:rsidRDefault="002C26EE" w:rsidP="00861DCA">
      <w:pPr>
        <w:pStyle w:val="NoSpacing"/>
        <w:jc w:val="center"/>
        <w:rPr>
          <w:b/>
          <w:sz w:val="20"/>
          <w:szCs w:val="20"/>
        </w:rPr>
      </w:pPr>
    </w:p>
    <w:p w14:paraId="4E3C9E1E" w14:textId="77777777" w:rsidR="00861DCA" w:rsidRPr="00291613" w:rsidRDefault="00861DCA" w:rsidP="00861DCA">
      <w:pPr>
        <w:pStyle w:val="NoSpacing"/>
        <w:rPr>
          <w:b/>
          <w:sz w:val="16"/>
          <w:szCs w:val="16"/>
        </w:rPr>
      </w:pPr>
    </w:p>
    <w:p w14:paraId="068AB23A" w14:textId="77777777" w:rsidR="005E2F3E" w:rsidRPr="005E2F3E" w:rsidRDefault="00861DCA" w:rsidP="00861DCA">
      <w:pPr>
        <w:pStyle w:val="NoSpacing"/>
        <w:rPr>
          <w:b/>
          <w:sz w:val="16"/>
          <w:szCs w:val="16"/>
        </w:rPr>
      </w:pPr>
      <w:r w:rsidRPr="00861DCA">
        <w:rPr>
          <w:b/>
          <w:sz w:val="24"/>
          <w:szCs w:val="24"/>
        </w:rPr>
        <w:t>Strategy Description</w:t>
      </w:r>
      <w:r>
        <w:rPr>
          <w:b/>
          <w:sz w:val="24"/>
          <w:szCs w:val="24"/>
        </w:rPr>
        <w:t>:</w:t>
      </w:r>
    </w:p>
    <w:p w14:paraId="11E41FEF" w14:textId="77777777" w:rsidR="00AD7739" w:rsidRDefault="00253C68" w:rsidP="004C16CF">
      <w:pPr>
        <w:pStyle w:val="NoSpacing"/>
        <w:jc w:val="both"/>
      </w:pPr>
      <w:r>
        <w:t xml:space="preserve">The purpose of the strategy is to </w:t>
      </w:r>
      <w:r w:rsidR="00AD7739">
        <w:t xml:space="preserve">dynamically </w:t>
      </w:r>
      <w:r>
        <w:t>invest</w:t>
      </w:r>
      <w:r w:rsidR="00291613">
        <w:t xml:space="preserve"> over long term</w:t>
      </w:r>
      <w:r>
        <w:t xml:space="preserve"> in </w:t>
      </w:r>
      <w:r w:rsidR="00AD7739">
        <w:t>long position in equities</w:t>
      </w:r>
      <w:r>
        <w:t xml:space="preserve"> and funds that </w:t>
      </w:r>
      <w:r w:rsidR="00291613">
        <w:t>are expected to ap</w:t>
      </w:r>
      <w:r>
        <w:t xml:space="preserve">preciate in </w:t>
      </w:r>
      <w:r w:rsidR="00AD7739">
        <w:t xml:space="preserve">their </w:t>
      </w:r>
      <w:r>
        <w:t>value</w:t>
      </w:r>
      <w:r w:rsidR="00AD7739">
        <w:t xml:space="preserve">.  The strategy utilizes long call option positions to </w:t>
      </w:r>
      <w:r w:rsidR="005E2F3E">
        <w:t>enhance</w:t>
      </w:r>
      <w:r w:rsidR="00AD7739">
        <w:t xml:space="preserve"> the upside potential, long put option position to protect against market downward moves, and covered short call option positions as means of profit taking without need of selling the stock.  </w:t>
      </w:r>
    </w:p>
    <w:p w14:paraId="77A9C486" w14:textId="77777777" w:rsidR="00AD7739" w:rsidRPr="005E2F3E" w:rsidRDefault="00AD7739" w:rsidP="00926177">
      <w:pPr>
        <w:pStyle w:val="NoSpacing"/>
        <w:rPr>
          <w:sz w:val="16"/>
          <w:szCs w:val="16"/>
        </w:rPr>
      </w:pPr>
    </w:p>
    <w:p w14:paraId="46E54B6E" w14:textId="77777777" w:rsidR="00853A71" w:rsidRDefault="009E42E5" w:rsidP="004C16CF">
      <w:pPr>
        <w:pStyle w:val="NoSpacing"/>
        <w:jc w:val="both"/>
      </w:pPr>
      <w:r>
        <w:t>A</w:t>
      </w:r>
      <w:r w:rsidR="005E2F3E">
        <w:t xml:space="preserve">verage holding time period </w:t>
      </w:r>
      <w:r w:rsidR="00291613">
        <w:t xml:space="preserve">of the strategy </w:t>
      </w:r>
      <w:r w:rsidR="005E2F3E">
        <w:t>is typically</w:t>
      </w:r>
      <w:r w:rsidR="00291613">
        <w:t xml:space="preserve"> a few weeks to a few </w:t>
      </w:r>
      <w:r w:rsidR="005E2F3E">
        <w:t xml:space="preserve">months.  </w:t>
      </w:r>
      <w:r w:rsidR="00AD7739">
        <w:t xml:space="preserve">The selection of investment stocks is a process </w:t>
      </w:r>
      <w:r w:rsidR="002C26EE">
        <w:t xml:space="preserve">that is </w:t>
      </w:r>
      <w:r w:rsidR="00AD7739">
        <w:t>backed by research of the business, market</w:t>
      </w:r>
      <w:r w:rsidR="005E2F3E">
        <w:t xml:space="preserve"> conditions, and price levels, and</w:t>
      </w:r>
      <w:r w:rsidR="002C26EE">
        <w:t xml:space="preserve"> it accommodates any and all </w:t>
      </w:r>
      <w:r w:rsidR="005E2F3E">
        <w:t>client's preferences and restrictions.  Although historical performance has been</w:t>
      </w:r>
      <w:r w:rsidR="002C26EE">
        <w:t xml:space="preserve"> a bit</w:t>
      </w:r>
      <w:r w:rsidR="005E2F3E">
        <w:t xml:space="preserve"> higher than expected so far, the targeted performance is to provide about </w:t>
      </w:r>
      <w:r w:rsidR="007043AF">
        <w:t>20-</w:t>
      </w:r>
      <w:r w:rsidR="005E2F3E">
        <w:t xml:space="preserve">25% APR over long term.  See </w:t>
      </w:r>
      <w:r w:rsidR="005E2F3E" w:rsidRPr="005E2F3E">
        <w:rPr>
          <w:b/>
        </w:rPr>
        <w:t>Disclosure</w:t>
      </w:r>
      <w:r w:rsidR="005E2F3E">
        <w:t xml:space="preserve"> below.</w:t>
      </w:r>
    </w:p>
    <w:p w14:paraId="658B9373" w14:textId="77777777" w:rsidR="005E2F3E" w:rsidRPr="005E2F3E" w:rsidRDefault="005E2F3E" w:rsidP="00926177">
      <w:pPr>
        <w:pStyle w:val="NoSpacing"/>
        <w:rPr>
          <w:b/>
          <w:sz w:val="18"/>
          <w:szCs w:val="18"/>
        </w:rPr>
      </w:pPr>
    </w:p>
    <w:p w14:paraId="36A49079" w14:textId="77777777" w:rsidR="00853A71" w:rsidRDefault="00853A71" w:rsidP="00926177">
      <w:pPr>
        <w:pStyle w:val="NoSpacing"/>
        <w:rPr>
          <w:b/>
          <w:sz w:val="24"/>
          <w:szCs w:val="24"/>
        </w:rPr>
      </w:pPr>
      <w:r>
        <w:rPr>
          <w:b/>
          <w:sz w:val="24"/>
          <w:szCs w:val="24"/>
        </w:rPr>
        <w:t xml:space="preserve">Risk Management </w:t>
      </w:r>
    </w:p>
    <w:p w14:paraId="624748CC" w14:textId="77777777" w:rsidR="00C41F50" w:rsidRPr="00C41F50" w:rsidRDefault="009E42E5" w:rsidP="004C16CF">
      <w:pPr>
        <w:pStyle w:val="NoSpacing"/>
        <w:jc w:val="both"/>
      </w:pPr>
      <w:r>
        <w:t>Risk management is accomplished via portfolio diversification as well as utilization of out of the money long options.  Although the investment is concentrated in a few equities, size of clients funds determine</w:t>
      </w:r>
      <w:r w:rsidR="004C16CF">
        <w:t>s how diversified</w:t>
      </w:r>
      <w:r>
        <w:t xml:space="preserve"> </w:t>
      </w:r>
      <w:r w:rsidR="004C16CF">
        <w:t xml:space="preserve">their </w:t>
      </w:r>
      <w:r>
        <w:t>holding</w:t>
      </w:r>
      <w:r w:rsidR="004C16CF">
        <w:t>s</w:t>
      </w:r>
      <w:r>
        <w:t xml:space="preserve"> can be.  Clients have live access to real time positions at all</w:t>
      </w:r>
      <w:r w:rsidR="002C26EE">
        <w:t xml:space="preserve"> times and can withdraw funds</w:t>
      </w:r>
      <w:r w:rsidR="004C16CF">
        <w:t xml:space="preserve"> with no imposed delays. </w:t>
      </w:r>
    </w:p>
    <w:p w14:paraId="63C0A7F4" w14:textId="77777777" w:rsidR="00853A71" w:rsidRDefault="00853A71" w:rsidP="00926177">
      <w:pPr>
        <w:pStyle w:val="NoSpacing"/>
        <w:rPr>
          <w:b/>
          <w:sz w:val="24"/>
          <w:szCs w:val="24"/>
        </w:rPr>
      </w:pPr>
    </w:p>
    <w:p w14:paraId="70F8206B" w14:textId="77777777" w:rsidR="00853A71" w:rsidRDefault="00853A71" w:rsidP="00926177">
      <w:pPr>
        <w:pStyle w:val="NoSpacing"/>
        <w:rPr>
          <w:sz w:val="24"/>
          <w:szCs w:val="24"/>
        </w:rPr>
      </w:pPr>
      <w:r>
        <w:rPr>
          <w:b/>
          <w:sz w:val="24"/>
          <w:szCs w:val="24"/>
        </w:rPr>
        <w:t>Account Facilitation</w:t>
      </w:r>
    </w:p>
    <w:p w14:paraId="7A008E78" w14:textId="77777777" w:rsidR="00C41F50" w:rsidRPr="00C41F50" w:rsidRDefault="00C41F50" w:rsidP="004C16CF">
      <w:pPr>
        <w:pStyle w:val="NoSpacing"/>
        <w:jc w:val="both"/>
      </w:pPr>
      <w:r w:rsidRPr="00C41F50">
        <w:t>Interactive Brokers</w:t>
      </w:r>
      <w:r w:rsidR="004C16CF">
        <w:t>, LLC</w:t>
      </w:r>
      <w:r w:rsidR="009E42E5">
        <w:t xml:space="preserve"> facilitates management of </w:t>
      </w:r>
      <w:r w:rsidR="002C26EE">
        <w:t xml:space="preserve">our </w:t>
      </w:r>
      <w:r w:rsidR="009E42E5">
        <w:t>clients</w:t>
      </w:r>
      <w:r w:rsidR="002C26EE">
        <w:t>’</w:t>
      </w:r>
      <w:r w:rsidR="009E42E5">
        <w:t xml:space="preserve"> accounts for investment </w:t>
      </w:r>
      <w:r w:rsidR="004C16CF">
        <w:t xml:space="preserve">advisors.  They provide set of investment, trading, analysis, and reporting tools and complete real time </w:t>
      </w:r>
      <w:r w:rsidR="003A4D69">
        <w:t>access</w:t>
      </w:r>
      <w:r w:rsidR="004C16CF">
        <w:t>.  They also provide all the calculation and administration of the fees, as well documents needed for tax filing.  They provide highly competitive trading fees as well.  Upon agreement, the</w:t>
      </w:r>
      <w:r w:rsidR="003A4D69">
        <w:t>y</w:t>
      </w:r>
      <w:r w:rsidR="004C16CF">
        <w:t xml:space="preserve"> would provide you with a</w:t>
      </w:r>
      <w:r w:rsidR="003A4D69">
        <w:t xml:space="preserve"> web</w:t>
      </w:r>
      <w:r w:rsidR="004C16CF">
        <w:t xml:space="preserve"> link and instr</w:t>
      </w:r>
      <w:r w:rsidR="003A4D69">
        <w:t xml:space="preserve">uctions for opening account, </w:t>
      </w:r>
      <w:r w:rsidR="004C16CF">
        <w:t>its funding</w:t>
      </w:r>
      <w:r w:rsidR="003A4D69">
        <w:t>, and access with full transparency</w:t>
      </w:r>
      <w:r w:rsidR="004C16CF">
        <w:t xml:space="preserve">.  </w:t>
      </w:r>
    </w:p>
    <w:p w14:paraId="02669D7D" w14:textId="77777777" w:rsidR="00853A71" w:rsidRDefault="00853A71" w:rsidP="00853A71">
      <w:pPr>
        <w:pStyle w:val="NoSpacing"/>
        <w:rPr>
          <w:b/>
          <w:sz w:val="24"/>
          <w:szCs w:val="24"/>
        </w:rPr>
      </w:pPr>
    </w:p>
    <w:p w14:paraId="35B47CAF" w14:textId="77777777" w:rsidR="00853A71" w:rsidRDefault="00853A71" w:rsidP="00853A71">
      <w:pPr>
        <w:pStyle w:val="NoSpacing"/>
        <w:rPr>
          <w:b/>
          <w:sz w:val="24"/>
          <w:szCs w:val="24"/>
        </w:rPr>
      </w:pPr>
      <w:r>
        <w:rPr>
          <w:b/>
          <w:sz w:val="24"/>
          <w:szCs w:val="24"/>
        </w:rPr>
        <w:t>Management Fees</w:t>
      </w:r>
    </w:p>
    <w:p w14:paraId="682008DC" w14:textId="77777777" w:rsidR="00C41F50" w:rsidRPr="00C41F50" w:rsidRDefault="004C16CF" w:rsidP="00887ECE">
      <w:pPr>
        <w:pStyle w:val="NoSpacing"/>
        <w:jc w:val="both"/>
      </w:pPr>
      <w:r>
        <w:t xml:space="preserve">Wealth House, LLC for its services charges </w:t>
      </w:r>
      <w:r w:rsidR="00C41F50">
        <w:t>2% management fees</w:t>
      </w:r>
      <w:r w:rsidR="00253C68">
        <w:t xml:space="preserve"> applied monthly</w:t>
      </w:r>
      <w:r>
        <w:t>,</w:t>
      </w:r>
      <w:r w:rsidR="00C41F50">
        <w:t xml:space="preserve"> and 20% performance fees</w:t>
      </w:r>
      <w:r w:rsidR="00253C68">
        <w:t xml:space="preserve"> applied quarterly</w:t>
      </w:r>
      <w:r>
        <w:t xml:space="preserve">.  Interactive Brokers manages the calculation of the fees, watermarks levels, and distribution of the fees.  Wealth House does not charge any other fees (technology or market data). </w:t>
      </w:r>
      <w:r w:rsidR="00C41F50">
        <w:t xml:space="preserve">  </w:t>
      </w:r>
    </w:p>
    <w:p w14:paraId="3000D51C" w14:textId="77777777" w:rsidR="00D12026" w:rsidRPr="00887ECE" w:rsidRDefault="00D12026" w:rsidP="00D12026">
      <w:pPr>
        <w:pStyle w:val="NoSpacing"/>
        <w:rPr>
          <w:b/>
          <w:sz w:val="16"/>
          <w:szCs w:val="16"/>
        </w:rPr>
      </w:pPr>
    </w:p>
    <w:p w14:paraId="2AFC704F" w14:textId="77777777" w:rsidR="00D12026" w:rsidRDefault="00887ECE" w:rsidP="00D12026">
      <w:pPr>
        <w:pStyle w:val="NoSpacing"/>
        <w:rPr>
          <w:b/>
          <w:sz w:val="24"/>
          <w:szCs w:val="24"/>
        </w:rPr>
      </w:pPr>
      <w:r>
        <w:rPr>
          <w:b/>
          <w:sz w:val="24"/>
          <w:szCs w:val="24"/>
        </w:rPr>
        <w:t>References</w:t>
      </w:r>
    </w:p>
    <w:p w14:paraId="316D5813" w14:textId="77777777" w:rsidR="00887ECE" w:rsidRDefault="00887ECE" w:rsidP="00D12026">
      <w:pPr>
        <w:pStyle w:val="NoSpacing"/>
      </w:pPr>
      <w:r>
        <w:t>References and CV of the Wealth House' Portfolio Manager Milan Kratka are available upon request.</w:t>
      </w:r>
    </w:p>
    <w:p w14:paraId="4AD88E6B" w14:textId="77777777" w:rsidR="009410DC" w:rsidRDefault="009410DC" w:rsidP="00D12026">
      <w:pPr>
        <w:pStyle w:val="NoSpacing"/>
      </w:pPr>
    </w:p>
    <w:p w14:paraId="70DC7D94" w14:textId="77777777" w:rsidR="009410DC" w:rsidRPr="00861DCA" w:rsidRDefault="009410DC" w:rsidP="009410DC">
      <w:pPr>
        <w:pStyle w:val="NoSpacing"/>
        <w:rPr>
          <w:sz w:val="24"/>
          <w:szCs w:val="24"/>
        </w:rPr>
      </w:pPr>
      <w:r>
        <w:rPr>
          <w:b/>
          <w:sz w:val="24"/>
          <w:szCs w:val="24"/>
        </w:rPr>
        <w:t>Disclosure</w:t>
      </w:r>
    </w:p>
    <w:p w14:paraId="55CA8762" w14:textId="77777777" w:rsidR="009410DC" w:rsidRPr="00291613" w:rsidRDefault="009410DC" w:rsidP="009410DC">
      <w:pPr>
        <w:pStyle w:val="NoSpacing"/>
        <w:jc w:val="both"/>
        <w:rPr>
          <w:sz w:val="18"/>
          <w:szCs w:val="18"/>
        </w:rPr>
      </w:pPr>
      <w:r w:rsidRPr="00291613">
        <w:rPr>
          <w:sz w:val="18"/>
          <w:szCs w:val="18"/>
        </w:rPr>
        <w:t xml:space="preserve">THE INFORMATION PROVIDED IN THIS DOCUMENT IS NOT COMPREHENSIVE AND DOES NOT INCLUDE INFORMATION THAT MAY BE MATERIAL TO YOUR INVESTMENT DECISION PROCESS.  IT IS CONFIDENTIAL AND MAY NOT BE DISCLOSED TO ANY OTHER PERSON OR ENTITY EXCEPT FOR PURPOSES OF OBTAINING ADVICE WITH RESPECT TO SUITABILITY OF INVESTING VIA WEALTH HOUSE. </w:t>
      </w:r>
    </w:p>
    <w:p w14:paraId="55B894BD" w14:textId="77777777" w:rsidR="009410DC" w:rsidRPr="00291613" w:rsidRDefault="009410DC" w:rsidP="009410DC">
      <w:pPr>
        <w:pStyle w:val="NoSpacing"/>
        <w:rPr>
          <w:sz w:val="18"/>
          <w:szCs w:val="18"/>
        </w:rPr>
      </w:pPr>
    </w:p>
    <w:p w14:paraId="252F0435" w14:textId="77777777" w:rsidR="009410DC" w:rsidRPr="00291613" w:rsidRDefault="009410DC" w:rsidP="009410DC">
      <w:pPr>
        <w:pStyle w:val="NoSpacing"/>
        <w:jc w:val="both"/>
        <w:rPr>
          <w:sz w:val="18"/>
          <w:szCs w:val="18"/>
        </w:rPr>
      </w:pPr>
      <w:r w:rsidRPr="00291613">
        <w:rPr>
          <w:sz w:val="18"/>
          <w:szCs w:val="18"/>
        </w:rPr>
        <w:t xml:space="preserve">PAST PERFORMANCE DOES NOT BY ANY MEANS GUARANTEE FUTURE RESULTS.  MARKET CONDITIONS IN THE FUTURE MAY BE TOTALLY DIFFERENT FROM THE MARKET CONDITIONS IN THE PAST. </w:t>
      </w:r>
    </w:p>
    <w:p w14:paraId="17C12E29" w14:textId="77777777" w:rsidR="009410DC" w:rsidRPr="00291613" w:rsidRDefault="009410DC" w:rsidP="009410DC">
      <w:pPr>
        <w:pStyle w:val="NoSpacing"/>
        <w:rPr>
          <w:sz w:val="18"/>
          <w:szCs w:val="18"/>
        </w:rPr>
      </w:pPr>
    </w:p>
    <w:p w14:paraId="6914AA9E" w14:textId="77777777" w:rsidR="009410DC" w:rsidRPr="00DC545E" w:rsidRDefault="009410DC" w:rsidP="009410DC">
      <w:pPr>
        <w:pStyle w:val="NoSpacing"/>
        <w:jc w:val="both"/>
        <w:rPr>
          <w:sz w:val="18"/>
          <w:szCs w:val="18"/>
        </w:rPr>
      </w:pPr>
      <w:r w:rsidRPr="00291613">
        <w:rPr>
          <w:sz w:val="18"/>
          <w:szCs w:val="18"/>
        </w:rPr>
        <w:t xml:space="preserve">DESPITE STRONG COMMITMENT TO ACTIVE RISK MANAGEMENT, NOTHING HEREIN IS INTENDED TO IMPLY THAT WEALTH HOUSE’S INVESTMENT METHODOLOGY MAY BE CONSIDERED “SAFE” OR “RISK FREE”.  THERE ARE MANY RISKS WHICH CANNOT BE MONITORED OR CONTROLLED AND MAY BE GREATER THEN FORECASTED.  UNUSUAL MARKET CONDITIONS MAY ONLY HIGHLIGHT THE RISKS INVOLVED IN INVESTMENTS. </w:t>
      </w:r>
    </w:p>
    <w:p w14:paraId="58E2536D" w14:textId="77777777" w:rsidR="009410DC" w:rsidRDefault="009410DC" w:rsidP="00D12026">
      <w:pPr>
        <w:pStyle w:val="NoSpacing"/>
      </w:pPr>
    </w:p>
    <w:p w14:paraId="7DA7693E" w14:textId="77777777" w:rsidR="0062172E" w:rsidRDefault="009410DC" w:rsidP="000A75E1">
      <w:pPr>
        <w:rPr>
          <w:sz w:val="16"/>
          <w:szCs w:val="16"/>
        </w:rPr>
      </w:pPr>
      <w:r>
        <w:br w:type="page"/>
      </w:r>
      <w:r>
        <w:lastRenderedPageBreak/>
        <w:t xml:space="preserve">The following is the actual realized historical strategy performance chart based on </w:t>
      </w:r>
      <w:r w:rsidR="0054017F">
        <w:t>monthly</w:t>
      </w:r>
      <w:r>
        <w:t xml:space="preserve"> data from Interactive Brokers report:</w:t>
      </w:r>
    </w:p>
    <w:p w14:paraId="1A7D57E7" w14:textId="77777777" w:rsidR="000A75E1" w:rsidRDefault="00745E58" w:rsidP="009410DC">
      <w:pPr>
        <w:jc w:val="center"/>
        <w:rPr>
          <w:sz w:val="16"/>
          <w:szCs w:val="16"/>
        </w:rPr>
      </w:pPr>
      <w:r w:rsidRPr="00745E58">
        <w:rPr>
          <w:noProof/>
          <w:sz w:val="16"/>
          <w:szCs w:val="16"/>
        </w:rPr>
        <w:drawing>
          <wp:inline distT="0" distB="0" distL="0" distR="0" wp14:anchorId="7DB283A4" wp14:editId="44712469">
            <wp:extent cx="5781675" cy="2933700"/>
            <wp:effectExtent l="19050" t="0" r="952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55A1ED71" w14:textId="77777777" w:rsidR="004C783A" w:rsidRDefault="004C783A" w:rsidP="004C783A">
      <w:r>
        <w:t xml:space="preserve">The following is a recent report from Interactive Brokers on the cumulative performance and the value of Assets Under Management:  </w:t>
      </w:r>
    </w:p>
    <w:p w14:paraId="401EEE8E" w14:textId="77777777" w:rsidR="00D569B6" w:rsidRPr="00887ECE" w:rsidRDefault="00745E58" w:rsidP="009410DC">
      <w:pPr>
        <w:jc w:val="center"/>
        <w:rPr>
          <w:sz w:val="16"/>
          <w:szCs w:val="16"/>
        </w:rPr>
      </w:pPr>
      <w:r>
        <w:rPr>
          <w:noProof/>
          <w:sz w:val="16"/>
          <w:szCs w:val="16"/>
        </w:rPr>
        <w:drawing>
          <wp:inline distT="0" distB="0" distL="0" distR="0" wp14:anchorId="438EB779" wp14:editId="552162F0">
            <wp:extent cx="5810250" cy="3930463"/>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816813" cy="3934903"/>
                    </a:xfrm>
                    <a:prstGeom prst="rect">
                      <a:avLst/>
                    </a:prstGeom>
                    <a:noFill/>
                    <a:ln w="9525">
                      <a:noFill/>
                      <a:miter lim="800000"/>
                      <a:headEnd/>
                      <a:tailEnd/>
                    </a:ln>
                  </pic:spPr>
                </pic:pic>
              </a:graphicData>
            </a:graphic>
          </wp:inline>
        </w:drawing>
      </w:r>
    </w:p>
    <w:sectPr w:rsidR="00D569B6" w:rsidRPr="00887ECE" w:rsidSect="00253C68">
      <w:pgSz w:w="12240" w:h="15840"/>
      <w:pgMar w:top="900" w:right="1440" w:bottom="1080" w:left="1440" w:header="720" w:footer="720" w:gutter="0"/>
      <w:pgBorders w:offsetFrom="page">
        <w:top w:val="single" w:sz="18" w:space="24" w:color="C00000"/>
        <w:left w:val="single" w:sz="18" w:space="24" w:color="C00000"/>
        <w:bottom w:val="single" w:sz="18" w:space="24" w:color="C00000"/>
        <w:right w:val="single" w:sz="18" w:space="24" w:color="C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5A5C9" w14:textId="77777777" w:rsidR="00477784" w:rsidRDefault="00477784" w:rsidP="00291613">
      <w:pPr>
        <w:spacing w:after="0" w:line="240" w:lineRule="auto"/>
      </w:pPr>
      <w:r>
        <w:separator/>
      </w:r>
    </w:p>
  </w:endnote>
  <w:endnote w:type="continuationSeparator" w:id="0">
    <w:p w14:paraId="11E833A0" w14:textId="77777777" w:rsidR="00477784" w:rsidRDefault="00477784" w:rsidP="00291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5450A" w14:textId="77777777" w:rsidR="00477784" w:rsidRDefault="00477784" w:rsidP="00291613">
      <w:pPr>
        <w:spacing w:after="0" w:line="240" w:lineRule="auto"/>
      </w:pPr>
      <w:r>
        <w:separator/>
      </w:r>
    </w:p>
  </w:footnote>
  <w:footnote w:type="continuationSeparator" w:id="0">
    <w:p w14:paraId="34991867" w14:textId="77777777" w:rsidR="00477784" w:rsidRDefault="00477784" w:rsidP="0029161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09B"/>
    <w:rsid w:val="00005E47"/>
    <w:rsid w:val="000436F3"/>
    <w:rsid w:val="000A75E1"/>
    <w:rsid w:val="000B2625"/>
    <w:rsid w:val="000C3E11"/>
    <w:rsid w:val="000C66A4"/>
    <w:rsid w:val="000D5B5B"/>
    <w:rsid w:val="000E309B"/>
    <w:rsid w:val="00116AFB"/>
    <w:rsid w:val="00147145"/>
    <w:rsid w:val="001662A8"/>
    <w:rsid w:val="00185D8C"/>
    <w:rsid w:val="001B20E3"/>
    <w:rsid w:val="00220752"/>
    <w:rsid w:val="002254C1"/>
    <w:rsid w:val="00246D3C"/>
    <w:rsid w:val="002535ED"/>
    <w:rsid w:val="00253C68"/>
    <w:rsid w:val="00270C52"/>
    <w:rsid w:val="00291613"/>
    <w:rsid w:val="00297DCE"/>
    <w:rsid w:val="002C26EE"/>
    <w:rsid w:val="002F4699"/>
    <w:rsid w:val="00331848"/>
    <w:rsid w:val="00343D66"/>
    <w:rsid w:val="00365CE9"/>
    <w:rsid w:val="003A4D69"/>
    <w:rsid w:val="00430604"/>
    <w:rsid w:val="00432C32"/>
    <w:rsid w:val="00477784"/>
    <w:rsid w:val="004A14AD"/>
    <w:rsid w:val="004C16CF"/>
    <w:rsid w:val="004C3F4B"/>
    <w:rsid w:val="004C783A"/>
    <w:rsid w:val="0054017F"/>
    <w:rsid w:val="005B749D"/>
    <w:rsid w:val="005E2F3E"/>
    <w:rsid w:val="005E557B"/>
    <w:rsid w:val="0062172E"/>
    <w:rsid w:val="0065748F"/>
    <w:rsid w:val="006576F6"/>
    <w:rsid w:val="00691CE9"/>
    <w:rsid w:val="006B7161"/>
    <w:rsid w:val="007043AF"/>
    <w:rsid w:val="0070794E"/>
    <w:rsid w:val="00745E58"/>
    <w:rsid w:val="00747748"/>
    <w:rsid w:val="00764778"/>
    <w:rsid w:val="007816C4"/>
    <w:rsid w:val="007E16E8"/>
    <w:rsid w:val="007F31F7"/>
    <w:rsid w:val="00853A71"/>
    <w:rsid w:val="00861DCA"/>
    <w:rsid w:val="00884156"/>
    <w:rsid w:val="00887ECE"/>
    <w:rsid w:val="008C646E"/>
    <w:rsid w:val="008F04A7"/>
    <w:rsid w:val="00926177"/>
    <w:rsid w:val="009410DC"/>
    <w:rsid w:val="00962856"/>
    <w:rsid w:val="009648E0"/>
    <w:rsid w:val="009758AA"/>
    <w:rsid w:val="00990262"/>
    <w:rsid w:val="009D4105"/>
    <w:rsid w:val="009E42E5"/>
    <w:rsid w:val="00A07648"/>
    <w:rsid w:val="00A15BE2"/>
    <w:rsid w:val="00A218D1"/>
    <w:rsid w:val="00A90B96"/>
    <w:rsid w:val="00AA4253"/>
    <w:rsid w:val="00AD7739"/>
    <w:rsid w:val="00B23433"/>
    <w:rsid w:val="00B77EFD"/>
    <w:rsid w:val="00B90048"/>
    <w:rsid w:val="00B902B8"/>
    <w:rsid w:val="00BA5763"/>
    <w:rsid w:val="00BE0D3C"/>
    <w:rsid w:val="00BE410F"/>
    <w:rsid w:val="00C152E1"/>
    <w:rsid w:val="00C41F50"/>
    <w:rsid w:val="00C75BC0"/>
    <w:rsid w:val="00CA1901"/>
    <w:rsid w:val="00CB6CA0"/>
    <w:rsid w:val="00CE587F"/>
    <w:rsid w:val="00D12026"/>
    <w:rsid w:val="00D569B6"/>
    <w:rsid w:val="00DA6530"/>
    <w:rsid w:val="00DC545E"/>
    <w:rsid w:val="00DF7433"/>
    <w:rsid w:val="00E13C4D"/>
    <w:rsid w:val="00E76ADF"/>
    <w:rsid w:val="00EA0AC6"/>
    <w:rsid w:val="00EE4CE3"/>
    <w:rsid w:val="00F06928"/>
    <w:rsid w:val="00FA2665"/>
    <w:rsid w:val="00FA7981"/>
    <w:rsid w:val="00FD3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33B8"/>
  <w15:docId w15:val="{2DB288D8-B114-4F30-9DC1-AF31ED674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D6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30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23433"/>
    <w:pPr>
      <w:spacing w:after="0" w:line="240" w:lineRule="auto"/>
    </w:pPr>
  </w:style>
  <w:style w:type="paragraph" w:styleId="Header">
    <w:name w:val="header"/>
    <w:basedOn w:val="Normal"/>
    <w:link w:val="HeaderChar"/>
    <w:uiPriority w:val="99"/>
    <w:semiHidden/>
    <w:unhideWhenUsed/>
    <w:rsid w:val="0029161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91613"/>
  </w:style>
  <w:style w:type="paragraph" w:styleId="Footer">
    <w:name w:val="footer"/>
    <w:basedOn w:val="Normal"/>
    <w:link w:val="FooterChar"/>
    <w:uiPriority w:val="99"/>
    <w:semiHidden/>
    <w:unhideWhenUsed/>
    <w:rsid w:val="0029161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91613"/>
  </w:style>
  <w:style w:type="paragraph" w:styleId="BalloonText">
    <w:name w:val="Balloon Text"/>
    <w:basedOn w:val="Normal"/>
    <w:link w:val="BalloonTextChar"/>
    <w:uiPriority w:val="99"/>
    <w:semiHidden/>
    <w:unhideWhenUsed/>
    <w:rsid w:val="001B20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20E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32300">
      <w:bodyDiv w:val="1"/>
      <w:marLeft w:val="0"/>
      <w:marRight w:val="0"/>
      <w:marTop w:val="0"/>
      <w:marBottom w:val="0"/>
      <w:divBdr>
        <w:top w:val="none" w:sz="0" w:space="0" w:color="auto"/>
        <w:left w:val="none" w:sz="0" w:space="0" w:color="auto"/>
        <w:bottom w:val="none" w:sz="0" w:space="0" w:color="auto"/>
        <w:right w:val="none" w:sz="0" w:space="0" w:color="auto"/>
      </w:divBdr>
    </w:div>
    <w:div w:id="1342589136">
      <w:bodyDiv w:val="1"/>
      <w:marLeft w:val="0"/>
      <w:marRight w:val="0"/>
      <w:marTop w:val="0"/>
      <w:marBottom w:val="0"/>
      <w:divBdr>
        <w:top w:val="none" w:sz="0" w:space="0" w:color="auto"/>
        <w:left w:val="none" w:sz="0" w:space="0" w:color="auto"/>
        <w:bottom w:val="none" w:sz="0" w:space="0" w:color="auto"/>
        <w:right w:val="none" w:sz="0" w:space="0" w:color="auto"/>
      </w:divBdr>
    </w:div>
    <w:div w:id="1901289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C:\WealthHouse\WealthHouse_Performanc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lineChart>
        <c:grouping val="standard"/>
        <c:varyColors val="0"/>
        <c:ser>
          <c:idx val="0"/>
          <c:order val="0"/>
          <c:tx>
            <c:strRef>
              <c:f>Monthly!$B$1</c:f>
              <c:strCache>
                <c:ptCount val="1"/>
                <c:pt idx="0">
                  <c:v>Monthly Cummulative Return</c:v>
                </c:pt>
              </c:strCache>
            </c:strRef>
          </c:tx>
          <c:marker>
            <c:symbol val="circle"/>
            <c:size val="5"/>
          </c:marker>
          <c:cat>
            <c:numRef>
              <c:f>Monthly!$A$2:$A$41</c:f>
              <c:numCache>
                <c:formatCode>m/d/yyyy</c:formatCode>
                <c:ptCount val="40"/>
                <c:pt idx="0">
                  <c:v>42003</c:v>
                </c:pt>
                <c:pt idx="1">
                  <c:v>42034</c:v>
                </c:pt>
                <c:pt idx="2">
                  <c:v>42062</c:v>
                </c:pt>
                <c:pt idx="3">
                  <c:v>42094</c:v>
                </c:pt>
                <c:pt idx="4">
                  <c:v>42124</c:v>
                </c:pt>
                <c:pt idx="5">
                  <c:v>42153</c:v>
                </c:pt>
                <c:pt idx="6">
                  <c:v>42185</c:v>
                </c:pt>
                <c:pt idx="7">
                  <c:v>42216</c:v>
                </c:pt>
                <c:pt idx="8">
                  <c:v>42247</c:v>
                </c:pt>
                <c:pt idx="9">
                  <c:v>42277</c:v>
                </c:pt>
                <c:pt idx="10">
                  <c:v>42307</c:v>
                </c:pt>
                <c:pt idx="11">
                  <c:v>42338</c:v>
                </c:pt>
                <c:pt idx="12">
                  <c:v>42369</c:v>
                </c:pt>
                <c:pt idx="13">
                  <c:v>42398</c:v>
                </c:pt>
                <c:pt idx="14">
                  <c:v>42429</c:v>
                </c:pt>
                <c:pt idx="15">
                  <c:v>42460</c:v>
                </c:pt>
                <c:pt idx="16">
                  <c:v>42489</c:v>
                </c:pt>
                <c:pt idx="17">
                  <c:v>42521</c:v>
                </c:pt>
                <c:pt idx="18">
                  <c:v>42551</c:v>
                </c:pt>
                <c:pt idx="19">
                  <c:v>42580</c:v>
                </c:pt>
                <c:pt idx="20">
                  <c:v>42613</c:v>
                </c:pt>
                <c:pt idx="21">
                  <c:v>42643</c:v>
                </c:pt>
                <c:pt idx="22">
                  <c:v>42674</c:v>
                </c:pt>
                <c:pt idx="23">
                  <c:v>42704</c:v>
                </c:pt>
                <c:pt idx="24">
                  <c:v>42735</c:v>
                </c:pt>
                <c:pt idx="25">
                  <c:v>42766</c:v>
                </c:pt>
                <c:pt idx="26">
                  <c:v>42794</c:v>
                </c:pt>
                <c:pt idx="27">
                  <c:v>42825</c:v>
                </c:pt>
                <c:pt idx="28">
                  <c:v>42855</c:v>
                </c:pt>
                <c:pt idx="29">
                  <c:v>42886</c:v>
                </c:pt>
                <c:pt idx="30">
                  <c:v>42916</c:v>
                </c:pt>
                <c:pt idx="31">
                  <c:v>42947</c:v>
                </c:pt>
                <c:pt idx="32">
                  <c:v>42978</c:v>
                </c:pt>
                <c:pt idx="33">
                  <c:v>43007</c:v>
                </c:pt>
                <c:pt idx="34">
                  <c:v>43039</c:v>
                </c:pt>
                <c:pt idx="35">
                  <c:v>43069</c:v>
                </c:pt>
                <c:pt idx="36">
                  <c:v>43098</c:v>
                </c:pt>
                <c:pt idx="37">
                  <c:v>43131</c:v>
                </c:pt>
                <c:pt idx="38">
                  <c:v>43159</c:v>
                </c:pt>
                <c:pt idx="39">
                  <c:v>43168</c:v>
                </c:pt>
              </c:numCache>
            </c:numRef>
          </c:cat>
          <c:val>
            <c:numRef>
              <c:f>Monthly!$B$2:$B$41</c:f>
              <c:numCache>
                <c:formatCode>0</c:formatCode>
                <c:ptCount val="40"/>
                <c:pt idx="0">
                  <c:v>100</c:v>
                </c:pt>
                <c:pt idx="1">
                  <c:v>100.85</c:v>
                </c:pt>
                <c:pt idx="2">
                  <c:v>105.93</c:v>
                </c:pt>
                <c:pt idx="3">
                  <c:v>105.43</c:v>
                </c:pt>
                <c:pt idx="4">
                  <c:v>106.79</c:v>
                </c:pt>
                <c:pt idx="5">
                  <c:v>108.16999999999999</c:v>
                </c:pt>
                <c:pt idx="6">
                  <c:v>99.86</c:v>
                </c:pt>
                <c:pt idx="7">
                  <c:v>92.78</c:v>
                </c:pt>
                <c:pt idx="8">
                  <c:v>92.28</c:v>
                </c:pt>
                <c:pt idx="9">
                  <c:v>90.910000000000025</c:v>
                </c:pt>
                <c:pt idx="10">
                  <c:v>104.53</c:v>
                </c:pt>
                <c:pt idx="11">
                  <c:v>111.76</c:v>
                </c:pt>
                <c:pt idx="12">
                  <c:v>84.649999999999991</c:v>
                </c:pt>
                <c:pt idx="13">
                  <c:v>82.93</c:v>
                </c:pt>
                <c:pt idx="14">
                  <c:v>80.08</c:v>
                </c:pt>
                <c:pt idx="15">
                  <c:v>92.83</c:v>
                </c:pt>
                <c:pt idx="16">
                  <c:v>108.17999999999998</c:v>
                </c:pt>
                <c:pt idx="17">
                  <c:v>128.91999999999999</c:v>
                </c:pt>
                <c:pt idx="18">
                  <c:v>129.13</c:v>
                </c:pt>
                <c:pt idx="19">
                  <c:v>140.80000000000001</c:v>
                </c:pt>
                <c:pt idx="20">
                  <c:v>152.68</c:v>
                </c:pt>
                <c:pt idx="21">
                  <c:v>152.83000000000001</c:v>
                </c:pt>
                <c:pt idx="22">
                  <c:v>157.25</c:v>
                </c:pt>
                <c:pt idx="23">
                  <c:v>192.4</c:v>
                </c:pt>
                <c:pt idx="24">
                  <c:v>232.9</c:v>
                </c:pt>
                <c:pt idx="25">
                  <c:v>214.17</c:v>
                </c:pt>
                <c:pt idx="26">
                  <c:v>222.69</c:v>
                </c:pt>
                <c:pt idx="27">
                  <c:v>218.51999999999998</c:v>
                </c:pt>
                <c:pt idx="28">
                  <c:v>218.51</c:v>
                </c:pt>
                <c:pt idx="29">
                  <c:v>204.22</c:v>
                </c:pt>
                <c:pt idx="30">
                  <c:v>206.99</c:v>
                </c:pt>
                <c:pt idx="31">
                  <c:v>211.23</c:v>
                </c:pt>
                <c:pt idx="32">
                  <c:v>211.09</c:v>
                </c:pt>
                <c:pt idx="33">
                  <c:v>225.5</c:v>
                </c:pt>
                <c:pt idx="34">
                  <c:v>229.34</c:v>
                </c:pt>
                <c:pt idx="35">
                  <c:v>246.26</c:v>
                </c:pt>
                <c:pt idx="36">
                  <c:v>245.3</c:v>
                </c:pt>
                <c:pt idx="37">
                  <c:v>249.33</c:v>
                </c:pt>
                <c:pt idx="38">
                  <c:v>248.26</c:v>
                </c:pt>
                <c:pt idx="39">
                  <c:v>260.22999999999962</c:v>
                </c:pt>
              </c:numCache>
            </c:numRef>
          </c:val>
          <c:smooth val="0"/>
          <c:extLst>
            <c:ext xmlns:c16="http://schemas.microsoft.com/office/drawing/2014/chart" uri="{C3380CC4-5D6E-409C-BE32-E72D297353CC}">
              <c16:uniqueId val="{00000000-29CB-4594-A68F-D71206E10C41}"/>
            </c:ext>
          </c:extLst>
        </c:ser>
        <c:dLbls>
          <c:showLegendKey val="0"/>
          <c:showVal val="0"/>
          <c:showCatName val="0"/>
          <c:showSerName val="0"/>
          <c:showPercent val="0"/>
          <c:showBubbleSize val="0"/>
        </c:dLbls>
        <c:marker val="1"/>
        <c:smooth val="0"/>
        <c:axId val="74899456"/>
        <c:axId val="75850880"/>
      </c:lineChart>
      <c:dateAx>
        <c:axId val="74899456"/>
        <c:scaling>
          <c:orientation val="minMax"/>
        </c:scaling>
        <c:delete val="0"/>
        <c:axPos val="b"/>
        <c:numFmt formatCode="m/d/yyyy" sourceLinked="1"/>
        <c:majorTickMark val="out"/>
        <c:minorTickMark val="none"/>
        <c:tickLblPos val="nextTo"/>
        <c:crossAx val="75850880"/>
        <c:crosses val="autoZero"/>
        <c:auto val="1"/>
        <c:lblOffset val="100"/>
        <c:baseTimeUnit val="days"/>
      </c:dateAx>
      <c:valAx>
        <c:axId val="75850880"/>
        <c:scaling>
          <c:orientation val="minMax"/>
        </c:scaling>
        <c:delete val="0"/>
        <c:axPos val="l"/>
        <c:majorGridlines/>
        <c:numFmt formatCode="0" sourceLinked="1"/>
        <c:majorTickMark val="out"/>
        <c:minorTickMark val="none"/>
        <c:tickLblPos val="nextTo"/>
        <c:crossAx val="74899456"/>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515</Words>
  <Characters>2937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Milan</dc:creator>
  <cp:lastModifiedBy>Milan Kratka</cp:lastModifiedBy>
  <cp:revision>2</cp:revision>
  <cp:lastPrinted>2017-07-05T18:53:00Z</cp:lastPrinted>
  <dcterms:created xsi:type="dcterms:W3CDTF">2025-06-17T00:35:00Z</dcterms:created>
  <dcterms:modified xsi:type="dcterms:W3CDTF">2025-06-17T00:35:00Z</dcterms:modified>
</cp:coreProperties>
</file>