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【問】问化他：『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未到慧多，無色定多，四禪等</w:t>
      </w:r>
      <w:r>
        <w:rPr>
          <w:rFonts w:ascii="华文中宋" w:eastAsia="华文中宋" w:hAnsi="华文中宋" w:hint="eastAsia"/>
          <w:snapToGrid w:val="0"/>
          <w:kern w:val="0"/>
        </w:rPr>
        <w:t>』智者大师这句话什么意思？【答】欲界有一种定叫做“未到地定”（相当于欲界第六天“他化自在天”之定），欲界“未到地定”慧多、定少；四无色定（相当于无色界“四空天”之定）定多、慧少；四禅（相当于色界“四禅天”之定）定、慧基本相等。【問】这里是问菩萨化他，说这些未到定是什么意思呢？【答】智者大师先以四禅定慧具足为比况，实际上指别教初地、圆教初住定慧具足，所以能够化他无碍。荆溪尊者云：“今從極說，故展轉比，乃至地、住，方乃具足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【問】麻烦你帮我白话翻译一下『釋四伏難』四段文？【答】第一段，弥勒请文殊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回答大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法莲华经》？是佛将要给大众弟子授未来成佛之记？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夫以下測上，止可罔像卜度，惟昔儔今 ，不可頓決，所以初從髣髴；次引略見；略見未周，更引廣見；以多證一，爾乃分判。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以文殊等觉位，来猜测佛妙觉位，以下位测上位，只能够依稀仿佛，猜个大概而已。回忆往昔旧事，而来比较目前所发生之事，不能一下子决定是否如此。所以文殊从一开始的大概猜测，到随后的回忆过去略略曾经见到过相似的情景。略略曾经见过的情景还不够详细，文殊又再回忆了过去详细的相似的情景。文殊以智慧推断，并以往昔时的详略不同的多种见闻，来作证明，确定现在释迦佛确实如同往昔时的日月灯明佛一样，即将宣讲《妙法莲华经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明其法說不用，何者？迹本兩門，由籍各異。迹由籍起彌勒生疑，文殊為釋；本由籍未起，彌勒何所疑？文殊何所釋？若於此中已是釋於開近顯遠之疑者，後地裂眾涌，彌勒何故更疑？更疑則浪疑浪釋。釋後既虛，釋前亦謬，此大有所妨，故不用也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现在智者大师明白地宣布，不用光宅法师“法说”（光宅以“欲说大法”、“演大法义”两句为“法说”，以“雨大法雨”等三句为“譬说”）的说法（只取光宅“譬说”的说法）。为什么呢？迹门（前十四品）与本门（后十四品），两门的“别序”缘由各不相同。迹门的“别序”缘由，起源于弥勒生疑、文殊为弥勒解释。本门的“别序”缘由此时还没有生起（本门在第十五品《从地涌出品》后），弥勒此时哪里谈得上因本门起疑呢？文殊此时又哪里谈得上为弥勒解释本门的缘由呢？如果这里已经是文殊为弥勒解释本门“开近显远”的疑惑的话，那么后面第十五品《从地涌出品》中“地裂、众涌”，弥勒为何再次起疑呢？如果弥勒后面再次起疑，那么这种疑惑就没有什么道理（前面文殊已经解释疑惑，后面弥勒又再次起疑，所以这种再次起疑显得没有道理）。如果弥勒后面的疑惑没有道理，那么释迦后面的解释也同样没有道理。释迦后面的解释如果没有意义，文殊前面的解释也就同样没有作用。光宅法师的这种说法大有妨碍，所以智者大师不用这种说法。光宅法师的“譬说”只譬了迹门，而“法说”竟然同时指迹门与本门。现在只是迹门“别序”，与本门“别序”毫无关系。所以智者大师不用光宅法师“法说”的说法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問】『南無大有義，或言度我。』“南无”意思是：“度我”义只可施众生，这个好理解，但后面说“惊怖者，正可施佛也”，弟子不解何意，为何惊怖可以施佛？【答】佛见众生处于三界火宅，故而惊怖。“施佛”二字意为“用在佛那里”，相对于“度我”二字用在众生那里。《法华经》：“长者见是大火从四面起，即大惊怖。”【問】“若佛答诸佛”时，也是“惊怖”义吗？【答】佛没必要让诸佛“度我”，因为“惊怖”于众生火宅之难，故而用诸佛所施权教方便法门，令众生出于三界火宅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BDF5612-16AA-46A3-8290-DB2EEAAF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20</cp:revision>
  <dcterms:created xsi:type="dcterms:W3CDTF">2018-01-10T12:07:00Z</dcterms:created>
  <dcterms:modified xsi:type="dcterms:W3CDTF">2018-04-16T07:12:00Z</dcterms:modified>
</cp:coreProperties>
</file>