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彼救</w:t>
      </w:r>
      <w:r>
        <w:rPr>
          <w:rFonts w:ascii="华文中宋" w:eastAsia="华文中宋" w:hAnsi="华文中宋" w:hint="eastAsia"/>
          <w:snapToGrid w:val="0"/>
          <w:kern w:val="0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再難</w:t>
      </w:r>
      <w:r>
        <w:rPr>
          <w:rFonts w:ascii="华文中宋" w:eastAsia="华文中宋" w:hAnsi="华文中宋" w:hint="eastAsia"/>
          <w:snapToGrid w:val="0"/>
          <w:kern w:val="0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  <w:snapToGrid w:val="0"/>
          <w:kern w:val="0"/>
        </w:rPr>
        <w:t>』【答】印师说，阿含的有相善无法成佛，《无量义经》的无相善才能成佛。所以应该以《无量义经》作为《法华经》之序。他认为《无量义经》与《大品般若》的无相不同。他认为《大品》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虽说无相，但是却说有三乘、无三乘；而无量义经却不说有三乘、无三乘。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指者不來秦地</w:t>
      </w:r>
      <w:r>
        <w:rPr>
          <w:rFonts w:ascii="华文中宋" w:eastAsia="华文中宋" w:hAnsi="华文中宋" w:hint="eastAsia"/>
          <w:snapToGrid w:val="0"/>
          <w:kern w:val="0"/>
        </w:rPr>
        <w:t>』此句什</w:t>
      </w:r>
      <w:r>
        <w:rPr>
          <w:rFonts w:ascii="华文中宋" w:eastAsia="华文中宋" w:hAnsi="华文中宋"/>
          <w:snapToGrid w:val="0"/>
          <w:kern w:val="0"/>
        </w:rPr>
        <w:t>么</w:t>
      </w:r>
      <w:r>
        <w:rPr>
          <w:rFonts w:ascii="华文中宋" w:eastAsia="华文中宋" w:hAnsi="华文中宋" w:hint="eastAsia"/>
          <w:snapToGrid w:val="0"/>
          <w:kern w:val="0"/>
        </w:rPr>
        <w:t>意思？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破光宅</w:t>
      </w:r>
      <w:r>
        <w:rPr>
          <w:rFonts w:ascii="华文中宋" w:eastAsia="华文中宋" w:hAnsi="华文中宋" w:hint="eastAsia"/>
          <w:snapToGrid w:val="0"/>
          <w:kern w:val="0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劉虬下，破注家也</w:t>
      </w:r>
      <w:r>
        <w:rPr>
          <w:rFonts w:ascii="华文中宋" w:eastAsia="华文中宋" w:hAnsi="华文中宋" w:hint="eastAsia"/>
          <w:snapToGrid w:val="0"/>
          <w:kern w:val="0"/>
        </w:rPr>
        <w:t>』【答】他说无相含义很多，含义多即是有相，与他说的无相自相矛盾。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歷教破舊</w:t>
      </w:r>
      <w:r>
        <w:rPr>
          <w:rFonts w:ascii="华文中宋" w:eastAsia="华文中宋" w:hAnsi="华文中宋" w:hint="eastAsia"/>
          <w:snapToGrid w:val="0"/>
          <w:kern w:val="0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  <w:snapToGrid w:val="0"/>
          <w:kern w:val="0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明光表。表中先破舊</w:t>
      </w:r>
      <w:r>
        <w:rPr>
          <w:rFonts w:ascii="华文中宋" w:eastAsia="华文中宋" w:hAnsi="华文中宋" w:hint="eastAsia"/>
          <w:snapToGrid w:val="0"/>
          <w:kern w:val="0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？【答】钝根声闻在法华之前，没有开圆教之慧（佛慧），现在机缘成熟说法华经，应该为他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们开圆教实相佛慧了。所以先用万八千等数来表法、作序。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今同仍隱，但成二耳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九祖后面的解释什么意思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瞻仁及我</w:t>
      </w:r>
      <w:r>
        <w:rPr>
          <w:rFonts w:ascii="华文中宋" w:eastAsia="华文中宋" w:hAnsi="华文中宋" w:hint="eastAsia"/>
          <w:snapToGrid w:val="0"/>
          <w:kern w:val="0"/>
        </w:rPr>
        <w:t>』何解？仰慕地看着您文殊（仁者）以及我弥勒。</w: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10</cp:revision>
  <dcterms:created xsi:type="dcterms:W3CDTF">2018-01-10T12:07:00Z</dcterms:created>
  <dcterms:modified xsi:type="dcterms:W3CDTF">2018-01-12T07:17:00Z</dcterms:modified>
</cp:coreProperties>
</file>