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a3"/>
        <w:rPr>
          <w:rFonts w:ascii="华文中宋" w:eastAsia="华文中宋" w:hAnsi="华文中宋"/>
          <w:b/>
          <w:snapToGrid w:val="0"/>
          <w:spacing w:val="20"/>
          <w:kern w:val="0"/>
          <w:sz w:val="28"/>
          <w:szCs w:val="28"/>
        </w:rPr>
      </w:pPr>
      <w:r>
        <w:rPr>
          <w:rFonts w:ascii="华文中宋" w:eastAsia="华文中宋" w:hAnsi="华文中宋" w:hint="eastAsia"/>
          <w:b/>
          <w:snapToGrid w:val="0"/>
          <w:spacing w:val="20"/>
          <w:kern w:val="0"/>
          <w:sz w:val="28"/>
          <w:szCs w:val="28"/>
        </w:rPr>
        <w:t>《觀音世音普門品》慧航法師答問記</w:t>
      </w:r>
    </w:p>
    <w:p>
      <w:pPr>
        <w:pStyle w:val="a3"/>
        <w:rPr>
          <w:rFonts w:ascii="华文中宋" w:eastAsia="华文中宋" w:hAnsi="华文中宋"/>
          <w:snapToGrid w:val="0"/>
          <w:spacing w:val="20"/>
          <w:kern w:val="0"/>
          <w:sz w:val="28"/>
          <w:szCs w:val="28"/>
        </w:rPr>
      </w:pPr>
    </w:p>
    <w:p>
      <w:pPr>
        <w:pStyle w:val="a3"/>
        <w:numPr>
          <w:ilvl w:val="0"/>
          <w:numId w:val="3"/>
        </w:numPr>
        <w:adjustRightInd w:val="0"/>
        <w:spacing w:beforeLines="50"/>
        <w:ind w:left="851" w:hanging="851"/>
        <w:rPr>
          <w:rFonts w:ascii="华文中宋" w:eastAsia="华文中宋" w:hAnsi="华文中宋"/>
          <w:snapToGrid w:val="0"/>
          <w:kern w:val="0"/>
        </w:rPr>
      </w:pPr>
      <w:r>
        <w:rPr>
          <w:rFonts w:ascii="华文中宋" w:eastAsia="华文中宋" w:hAnsi="华文中宋" w:hint="eastAsia"/>
          <w:snapToGrid w:val="0"/>
          <w:kern w:val="0"/>
        </w:rPr>
        <w:t>【問】</w:t>
      </w:r>
      <w:r>
        <w:rPr>
          <w:rFonts w:asciiTheme="minorEastAsia" w:eastAsiaTheme="minorEastAsia" w:hAnsiTheme="minorEastAsia" w:cs="MS Mincho" w:hint="eastAsia"/>
          <w:snapToGrid w:val="0"/>
          <w:kern w:val="0"/>
        </w:rPr>
        <w:t xml:space="preserve"> </w:t>
      </w:r>
      <w:r>
        <w:rPr>
          <w:rFonts w:ascii="华文中宋" w:eastAsia="华文中宋" w:hAnsi="华文中宋" w:hint="eastAsia"/>
          <w:snapToGrid w:val="0"/>
          <w:kern w:val="0"/>
        </w:rPr>
        <w:t>师父常说，《普门品》普门示现，即天台圆教究竟法门。天台三大部浓缩于此一卷《普门品》。但弟子愚钝，除了对观世音菩萨寻声救苦之外，对如此妙义难以随文入观。师父能否略做开示？【答】普门示现，要义亦在本迹。以观音所证法身为本，所应化之十法界身为迹。观迹而知本。随闻法处，应生佛想。【</w:t>
      </w:r>
      <w:r>
        <w:rPr>
          <w:rFonts w:ascii="华文中宋" w:eastAsia="华文中宋" w:hAnsi="华文中宋" w:hint="eastAsia"/>
          <w:i/>
          <w:snapToGrid w:val="0"/>
          <w:kern w:val="0"/>
        </w:rPr>
        <w:t>注：《文句記輯注》『</w:t>
      </w:r>
      <w:r>
        <w:rPr>
          <w:rFonts w:ascii="华文中宋" w:eastAsia="华文中宋" w:hAnsi="华文中宋" w:hint="eastAsia"/>
          <w:i/>
          <w:snapToGrid w:val="0"/>
          <w:kern w:val="0"/>
          <w:u w:val="single"/>
        </w:rPr>
        <w:t>隨聞法處，應生佛想</w:t>
      </w:r>
      <w:r>
        <w:rPr>
          <w:rFonts w:ascii="华文中宋" w:eastAsia="华文中宋" w:hAnsi="华文中宋" w:hint="eastAsia"/>
          <w:i/>
          <w:snapToGrid w:val="0"/>
          <w:kern w:val="0"/>
        </w:rPr>
        <w:t>』全文為「生起者，現在聞經，得真似兩解益，如上說。若直聞一句而生隨喜，如現在四信。格其功德，未來無佛，恐人疑福少，故說滅後五品功德也。因功德微密，未若果功德彰灼，故說法師功德品。因果雙舉，未若引證分明，故說不輕。雖舉往人，未若現變，故說神力。雖示神力，未若摩頂付囑，故說囑累。雖通途囑累，未若示其要術，棄身存道，故說藥王。雖誡能化，未若誡其所化，隨聞法處，應生佛想，故說妙音、觀音。若初心弘經，既無神力，當依內禁，故說陀羅尼。復須外護，故說嚴王、普賢。聯翩重疊，使大法弘通耳。」</w:t>
      </w:r>
      <w:r>
        <w:rPr>
          <w:rFonts w:ascii="华文中宋" w:eastAsia="华文中宋" w:hAnsi="华文中宋" w:hint="eastAsia"/>
          <w:snapToGrid w:val="0"/>
          <w:kern w:val="0"/>
        </w:rPr>
        <w:t>】</w:t>
      </w:r>
    </w:p>
    <w:p>
      <w:pPr>
        <w:pStyle w:val="a3"/>
        <w:rPr>
          <w:rFonts w:ascii="华文中宋" w:eastAsia="华文中宋" w:hAnsi="华文中宋"/>
          <w:b/>
          <w:snapToGrid w:val="0"/>
          <w:spacing w:val="20"/>
          <w:kern w:val="0"/>
          <w:sz w:val="28"/>
          <w:szCs w:val="28"/>
        </w:rPr>
      </w:pPr>
    </w:p>
    <w:p>
      <w:pPr>
        <w:pStyle w:val="a3"/>
        <w:rPr>
          <w:rFonts w:ascii="华文中宋" w:eastAsia="华文中宋" w:hAnsi="华文中宋"/>
          <w:b/>
          <w:snapToGrid w:val="0"/>
          <w:spacing w:val="20"/>
          <w:kern w:val="0"/>
          <w:sz w:val="28"/>
          <w:szCs w:val="28"/>
        </w:rPr>
      </w:pPr>
    </w:p>
    <w:p>
      <w:pPr>
        <w:pStyle w:val="a3"/>
        <w:rPr>
          <w:rFonts w:ascii="华文中宋" w:eastAsia="华文中宋" w:hAnsi="华文中宋"/>
          <w:b/>
          <w:snapToGrid w:val="0"/>
          <w:spacing w:val="20"/>
          <w:kern w:val="0"/>
          <w:sz w:val="28"/>
          <w:szCs w:val="28"/>
        </w:rPr>
      </w:pPr>
      <w:r>
        <w:rPr>
          <w:rFonts w:ascii="华文中宋" w:eastAsia="华文中宋" w:hAnsi="华文中宋" w:hint="eastAsia"/>
          <w:b/>
          <w:snapToGrid w:val="0"/>
          <w:spacing w:val="20"/>
          <w:kern w:val="0"/>
          <w:sz w:val="28"/>
          <w:szCs w:val="28"/>
        </w:rPr>
        <w:t>《觀音玄義》慧航法師答問記</w:t>
      </w:r>
    </w:p>
    <w:p>
      <w:pPr>
        <w:pStyle w:val="a3"/>
        <w:rPr>
          <w:rFonts w:ascii="华文中宋" w:eastAsia="华文中宋" w:hAnsi="华文中宋"/>
          <w:snapToGrid w:val="0"/>
          <w:spacing w:val="20"/>
          <w:kern w:val="0"/>
          <w:sz w:val="28"/>
          <w:szCs w:val="28"/>
        </w:rPr>
      </w:pPr>
    </w:p>
    <w:p>
      <w:pPr>
        <w:pStyle w:val="a3"/>
        <w:numPr>
          <w:ilvl w:val="0"/>
          <w:numId w:val="2"/>
        </w:numPr>
        <w:adjustRightInd w:val="0"/>
        <w:spacing w:beforeLines="50"/>
        <w:ind w:left="851" w:hanging="851"/>
        <w:rPr>
          <w:rFonts w:ascii="华文中宋" w:eastAsia="华文中宋" w:hAnsi="华文中宋"/>
          <w:snapToGrid w:val="0"/>
          <w:kern w:val="0"/>
        </w:rPr>
      </w:pPr>
      <w:r>
        <w:rPr>
          <w:rFonts w:ascii="华文中宋" w:eastAsia="华文中宋" w:hAnsi="华文中宋" w:hint="eastAsia"/>
          <w:snapToGrid w:val="0"/>
          <w:kern w:val="0"/>
        </w:rPr>
        <w:t>【問】『</w:t>
      </w:r>
      <w:r>
        <w:rPr>
          <w:rFonts w:ascii="华文中宋" w:eastAsia="PMingLiU" w:hAnsi="华文中宋" w:hint="eastAsia"/>
          <w:b/>
          <w:snapToGrid w:val="0"/>
          <w:kern w:val="0"/>
          <w:u w:val="single"/>
          <w:lang w:eastAsia="zh-TW"/>
        </w:rPr>
        <w:t>處有不永</w:t>
      </w:r>
      <w:r>
        <w:rPr>
          <w:rFonts w:ascii="华文中宋" w:eastAsia="华文中宋" w:hAnsi="华文中宋" w:hint="eastAsia"/>
          <w:snapToGrid w:val="0"/>
          <w:kern w:val="0"/>
        </w:rPr>
        <w:t>』一</w:t>
      </w:r>
      <w:r>
        <w:rPr>
          <w:rFonts w:ascii="华文中宋" w:eastAsia="华文中宋" w:hAnsi="华文中宋"/>
          <w:snapToGrid w:val="0"/>
          <w:kern w:val="0"/>
        </w:rPr>
        <w:t>句</w:t>
      </w:r>
      <w:r>
        <w:rPr>
          <w:rFonts w:ascii="华文中宋" w:eastAsia="华文中宋" w:hAnsi="华文中宋" w:hint="eastAsia"/>
          <w:snapToGrid w:val="0"/>
          <w:kern w:val="0"/>
        </w:rPr>
        <w:t>一句怎么理解呢？【答】处有不永，指佛法身所示现的应化之身并非永恒不灭，或长（如阿弥陀佛）或短（如释迦），最后都会涅槃寂灭。处有，指佛的应化身处于六道之有，或九法界之有。【問】经查，  知礼大师之《观音经玄义记会本》中，此处“处有不永”后多一“有”字，全句为“处有不永有寂入不二之文”，这与《观音玄义》文本有异，但义似无别。当如何择取？请  师父开示？【答】应该加上后面的“有”字。【問】《觀音經玄義記會本》卷1：「處有不永[1]有寂入不二之文。通以九界名之為有以其皆有業報故也應身雖乃處在其中而其真智自冥極理故云寂入不二之旨前即真身而垂應相此即應相而示真身。」 [1]：永有有存舊補不永寂東春作不乖寂。是的，师父。这与前句——“故無在無不在化應九道之身。”才有整齐的形式。</w:t>
      </w:r>
    </w:p>
    <w:p>
      <w:pPr>
        <w:pStyle w:val="a3"/>
        <w:adjustRightInd w:val="0"/>
        <w:spacing w:beforeLines="50"/>
        <w:rPr>
          <w:rFonts w:ascii="华文中宋" w:eastAsia="华文中宋" w:hAnsi="华文中宋"/>
          <w:snapToGrid w:val="0"/>
          <w:kern w:val="0"/>
        </w:rPr>
      </w:pPr>
    </w:p>
    <w:sectPr>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ind w:left="-105"/>
      </w:pPr>
      <w:r>
        <w:separator/>
      </w:r>
    </w:p>
  </w:endnote>
  <w:endnote w:type="continuationSeparator" w:id="0">
    <w:p>
      <w:pPr>
        <w:ind w:left="-105"/>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ind w:left="-105"/>
      </w:pPr>
      <w:r>
        <w:separator/>
      </w:r>
    </w:p>
  </w:footnote>
  <w:footnote w:type="continuationSeparator" w:id="0">
    <w:p>
      <w:pPr>
        <w:ind w:left="-105"/>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ind w:left="-10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ind w:leftChars="0" w:left="-10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ind w:left="-10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3A0"/>
    <w:multiLevelType w:val="hybridMultilevel"/>
    <w:tmpl w:val="E594DCF2"/>
    <w:lvl w:ilvl="0" w:tplc="F1863EF0">
      <w:start w:val="1"/>
      <w:numFmt w:val="chineseCountingThousand"/>
      <w:lvlText w:val="%1、"/>
      <w:lvlJc w:val="left"/>
      <w:pPr>
        <w:ind w:left="680" w:hanging="6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F17BEA"/>
    <w:multiLevelType w:val="hybridMultilevel"/>
    <w:tmpl w:val="33EA1E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B5CB3"/>
    <w:multiLevelType w:val="hybridMultilevel"/>
    <w:tmpl w:val="DBD28A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50" w:left="-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pPr>
      <w:snapToGrid w:val="0"/>
      <w:ind w:leftChars="0" w:left="0"/>
      <w:jc w:val="left"/>
    </w:pPr>
    <w:rPr>
      <w:rFonts w:ascii="宋体" w:eastAsia="宋体" w:hAnsi="宋体" w:cs="Times New Roman"/>
      <w:color w:val="000000"/>
      <w:sz w:val="24"/>
      <w:szCs w:val="24"/>
    </w:rPr>
  </w:style>
  <w:style w:type="character" w:customStyle="1" w:styleId="Char">
    <w:name w:val="尾注文本 Char"/>
    <w:basedOn w:val="a0"/>
    <w:link w:val="a3"/>
    <w:rPr>
      <w:rFonts w:ascii="宋体" w:eastAsia="宋体" w:hAnsi="宋体" w:cs="Times New Roman"/>
      <w:color w:val="000000"/>
      <w:sz w:val="24"/>
      <w:szCs w:val="24"/>
    </w:rPr>
  </w:style>
  <w:style w:type="character" w:styleId="a4">
    <w:name w:val="endnote reference"/>
    <w:basedOn w:val="a0"/>
    <w:rPr>
      <w:vertAlign w:val="superscript"/>
    </w:rPr>
  </w:style>
  <w:style w:type="paragraph" w:styleId="a5">
    <w:name w:val="header"/>
    <w:basedOn w:val="a"/>
    <w:link w:val="Char0"/>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Pr>
      <w:sz w:val="18"/>
      <w:szCs w:val="18"/>
    </w:rPr>
  </w:style>
  <w:style w:type="paragraph" w:styleId="a6">
    <w:name w:val="footer"/>
    <w:basedOn w:val="a"/>
    <w:link w:val="Char1"/>
    <w:unhideWhenUsed/>
    <w:pPr>
      <w:tabs>
        <w:tab w:val="center" w:pos="4153"/>
        <w:tab w:val="right" w:pos="8306"/>
      </w:tabs>
      <w:snapToGrid w:val="0"/>
      <w:jc w:val="left"/>
    </w:pPr>
    <w:rPr>
      <w:sz w:val="18"/>
      <w:szCs w:val="18"/>
    </w:rPr>
  </w:style>
  <w:style w:type="character" w:customStyle="1" w:styleId="Char1">
    <w:name w:val="页脚 Char"/>
    <w:basedOn w:val="a0"/>
    <w:link w:val="a6"/>
    <w:uiPriority w:val="99"/>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82FA4621-610D-48FC-BCE5-2C6EFF8C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16</cp:revision>
  <dcterms:created xsi:type="dcterms:W3CDTF">2018-01-10T12:07:00Z</dcterms:created>
  <dcterms:modified xsi:type="dcterms:W3CDTF">2018-01-18T07:03:00Z</dcterms:modified>
</cp:coreProperties>
</file>