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74" w:rsidRDefault="005C0B00">
      <w:pPr>
        <w:rPr>
          <w:rFonts w:ascii="微软雅黑" w:eastAsia="微软雅黑" w:hAnsi="微软雅黑"/>
          <w:b/>
          <w:color w:val="000000" w:themeColor="text1"/>
          <w:sz w:val="44"/>
          <w:szCs w:val="44"/>
        </w:rPr>
      </w:pPr>
      <w:r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 xml:space="preserve">       </w:t>
      </w:r>
      <w:r>
        <w:rPr>
          <w:rFonts w:ascii="微软雅黑" w:eastAsia="微软雅黑" w:hAnsi="微软雅黑" w:hint="eastAsia"/>
          <w:b/>
          <w:color w:val="000000" w:themeColor="text1"/>
          <w:sz w:val="44"/>
          <w:szCs w:val="44"/>
        </w:rPr>
        <w:t>台宗别教“证道同圆”略证</w:t>
      </w:r>
    </w:p>
    <w:p w:rsidR="00DF7974" w:rsidRDefault="005C0B0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诵经僧法达偈云“羊、鹿、牛权设。”统而论之，非但藏、通三乘，亦乃前之三教，无非圣人方便施设。“有教无人”，“果头无人”，即其义也。</w:t>
      </w:r>
      <w:r>
        <w:rPr>
          <w:rFonts w:ascii="微软雅黑" w:eastAsia="微软雅黑" w:hAnsi="微软雅黑" w:hint="eastAsia"/>
          <w:b/>
          <w:sz w:val="28"/>
          <w:szCs w:val="28"/>
        </w:rPr>
        <w:t>智者《观音玄义》卷下云：“三藏、通教，教观十六门，能通、所通皆是权；别教教观，能通是权、所通是实；圆教教观八门，能通、所通皆是实。”荆溪《辅行》卷三云：“前之两教，教证俱权；圆教教证，俱皆是实。此并易明。但别教中，教权、证实，意稍难晓，人多迷之，使此别教，其义壅隔！”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呜乎！教之难明，在唐已然！“二道”之文，出自荆溪，克论其源，实肇智者（借《地论》义）。何者？“教权、证实”之与“能通是权、所通是实”，语虽出入，义实无别。</w:t>
      </w:r>
    </w:p>
    <w:p w:rsidR="00DF7974" w:rsidRDefault="005C0B0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智者《摩诃止观》卷三云：“别教因中，有教行证人；若就果者，但有其教，无行证人。何以故？若破无明、登初地时，即是圆家初住位，非复别家初地位也。初地尚尔，何况后地、后果？故知因人不到于果。故云‘果头无人’。”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荆溪《辅行》卷三释云：“初地入住，此为正文。于‘教道’文，不须疑也。”《辅行》卷三又云：“是故今家借用《地论》教、证二道，以消别门。于中应须先知二意：</w:t>
      </w:r>
      <w:r>
        <w:rPr>
          <w:rFonts w:ascii="微软雅黑" w:eastAsia="微软雅黑" w:hAnsi="微软雅黑" w:hint="eastAsia"/>
          <w:b/>
          <w:sz w:val="28"/>
          <w:szCs w:val="28"/>
        </w:rPr>
        <w:t>一者约行，则地前为教，登地为证。何者？地前仰信，登地现前。岂有亲证，复存隔历？二者约说，为地前说始终属教。何者？如云“真如为惑所覆”；或将十度，以对十地，互不相收；或云“须离二边，修真如观”；或云“等觉入重玄门”；或云“五地习学世法”；或云“八地入无功用”；等觉一位或有或无；断十二品称为妙觉。如是等例，不可具载，悉是权施，为引凡下，为入地方便。入地自证，权门自开，故云</w:t>
      </w: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‘初地即是初住’，入证道也。”</w:t>
      </w:r>
    </w:p>
    <w:p w:rsidR="00DF7974" w:rsidRDefault="005C0B0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又智者《四教义》卷十云：“十地者，此是圣种性位。从此位见佛性，发中道第一义谛观，双照二谛，心心寂灭，自然流入萨</w:t>
      </w:r>
      <w:r>
        <w:rPr>
          <w:rFonts w:ascii="微软雅黑" w:eastAsia="微软雅黑" w:hAnsi="微软雅黑" w:hint="eastAsia"/>
          <w:b/>
          <w:sz w:val="28"/>
          <w:szCs w:val="28"/>
        </w:rPr>
        <w:t>婆若海，证‘无作四谛’、一实平等、法界圆融。从初地至佛地，皆断无明。”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此亦堪为“证道同圆”之确据也。</w:t>
      </w:r>
    </w:p>
    <w:p w:rsidR="00DF7974" w:rsidRDefault="005C0B0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又智者《法华玄义》卷三云：“如善财《入法界》中说：于一善知识所，各闻一法为行：或如幻三昧，或投岩赴火、算砂、相黡、发菩提心等。种种一行，皆云‘佛法如海，我唯知此一法门，余非所知。’乃至一百一十善知识，一一法门皆如是。是一一行，皆破无明，入深境界。”荆溪《玄义释签》卷八释云：“言‘皆破无明，入深境界’者，今文通论一教，不分贤、圣之位。若于诸善知识所，但得俗谛三昧，则但破无知，名为无明；若入实相，则破障中微细无</w:t>
      </w:r>
      <w:r>
        <w:rPr>
          <w:rFonts w:ascii="微软雅黑" w:eastAsia="微软雅黑" w:hAnsi="微软雅黑" w:hint="eastAsia"/>
          <w:b/>
          <w:sz w:val="28"/>
          <w:szCs w:val="28"/>
        </w:rPr>
        <w:t>明。多分并约教道不融，破无明惑，故云‘我唯知此一法门’耳。证道无隔，岂得不知？”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荆溪此文，若以“但破无知（尘沙）”为“教道不融”、以“破障中微细无明”为“证道无隔”，则名“约行”教、证二道（地前为教，登地为证）；若亦以“破障中微细无明”一句兼指教、证二道，则名“约说”教、证二道（“为地前说始终”属教；“入地自证，权门自开”属证）。以约行、约说二种“教道不融”而论，故云“我唯知此一法门，余非所知”；以约行、约说二种“证道无隔”而论，故云“岂得不知？”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其中“教、证二道”，可谓泾渭分明！</w:t>
      </w:r>
    </w:p>
    <w:p w:rsidR="00DF7974" w:rsidRDefault="005C0B0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道䆳《天台宗未决》最澄</w:t>
      </w:r>
      <w:r>
        <w:rPr>
          <w:rFonts w:ascii="微软雅黑" w:eastAsia="微软雅黑" w:hAnsi="微软雅黑" w:hint="eastAsia"/>
          <w:b/>
          <w:sz w:val="28"/>
          <w:szCs w:val="28"/>
        </w:rPr>
        <w:t>第一问云：“别教菩萨三贤位究竟、入初地时，即回入圆教初住，更不涉二地、三地（云云）。今所疑，若有别教菩萨登二地，乃至十地及等觉位，回入圆教位乎？”答云：“大师教中，有其二说：一者</w:t>
      </w: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教道说，二者证道说。别人初地，即是初住。以证道同故。更无二、三等地也。此约证道说也。教道说者，为有一分机缘，宜闻浅深隔历不融之法，则说十地深浅、证位各异、下地不知上地功德。但有教道，无人也。”</w:t>
      </w:r>
    </w:p>
    <w:p w:rsidR="00DF7974" w:rsidRDefault="005C0B0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法智《四明尊者教行录》中《绛帏问答三十章》四明第十三问云：“别教理性既有三因，何故别修缘、了？”净觉答云：“理性有三因者，皆但中之德也；别修</w:t>
      </w:r>
      <w:r>
        <w:rPr>
          <w:rFonts w:ascii="微软雅黑" w:eastAsia="微软雅黑" w:hAnsi="微软雅黑" w:hint="eastAsia"/>
          <w:b/>
          <w:sz w:val="28"/>
          <w:szCs w:val="28"/>
        </w:rPr>
        <w:t>缘、了者，皆二边之行也。边既非中，修则成别。何哉？先以声闻空心，断于见爱；次以菩萨假智，断于尘沙。斯乃从空边而入有边，用别惑而除通惑。如此二边，缘、了具足，始为中道遮、照方便。须登初地，正显但中（云云）。”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此则正明别教教道修行次第。何以知之？正以未登初地，故云“须登初地”；若已登地，何谓“须登”？</w:t>
      </w:r>
      <w:r>
        <w:rPr>
          <w:rFonts w:ascii="微软雅黑" w:eastAsia="微软雅黑" w:hAnsi="微软雅黑" w:hint="eastAsia"/>
          <w:b/>
          <w:sz w:val="28"/>
          <w:szCs w:val="28"/>
        </w:rPr>
        <w:t>如前《辅行》之文：“一者约行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（“教、证二道”）</w:t>
      </w:r>
      <w:r>
        <w:rPr>
          <w:rFonts w:ascii="微软雅黑" w:eastAsia="微软雅黑" w:hAnsi="微软雅黑" w:hint="eastAsia"/>
          <w:b/>
          <w:sz w:val="28"/>
          <w:szCs w:val="28"/>
        </w:rPr>
        <w:t>，则地前为教，登地为证。何者？地前仰信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（但中）</w:t>
      </w:r>
      <w:r>
        <w:rPr>
          <w:rFonts w:ascii="微软雅黑" w:eastAsia="微软雅黑" w:hAnsi="微软雅黑" w:hint="eastAsia"/>
          <w:b/>
          <w:sz w:val="28"/>
          <w:szCs w:val="28"/>
        </w:rPr>
        <w:t>，登地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（圆中）</w:t>
      </w:r>
      <w:r>
        <w:rPr>
          <w:rFonts w:ascii="微软雅黑" w:eastAsia="微软雅黑" w:hAnsi="微软雅黑" w:hint="eastAsia"/>
          <w:b/>
          <w:sz w:val="28"/>
          <w:szCs w:val="28"/>
        </w:rPr>
        <w:t>现前。岂有亲证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（圆中）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b/>
          <w:sz w:val="28"/>
          <w:szCs w:val="28"/>
        </w:rPr>
        <w:t>复存隔历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（但中）</w:t>
      </w:r>
      <w:r>
        <w:rPr>
          <w:rFonts w:ascii="微软雅黑" w:eastAsia="微软雅黑" w:hAnsi="微软雅黑" w:hint="eastAsia"/>
          <w:b/>
          <w:sz w:val="28"/>
          <w:szCs w:val="28"/>
        </w:rPr>
        <w:t>？二者约说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（“教、证二道”）</w:t>
      </w:r>
      <w:r>
        <w:rPr>
          <w:rFonts w:ascii="微软雅黑" w:eastAsia="微软雅黑" w:hAnsi="微软雅黑" w:hint="eastAsia"/>
          <w:b/>
          <w:sz w:val="28"/>
          <w:szCs w:val="28"/>
        </w:rPr>
        <w:t>，为地前说始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（初信）</w:t>
      </w:r>
      <w:r>
        <w:rPr>
          <w:rFonts w:ascii="微软雅黑" w:eastAsia="微软雅黑" w:hAnsi="微软雅黑" w:hint="eastAsia"/>
          <w:b/>
          <w:sz w:val="28"/>
          <w:szCs w:val="28"/>
        </w:rPr>
        <w:t>终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（妙觉）</w:t>
      </w:r>
      <w:r>
        <w:rPr>
          <w:rFonts w:ascii="微软雅黑" w:eastAsia="微软雅黑" w:hAnsi="微软雅黑" w:hint="eastAsia"/>
          <w:b/>
          <w:sz w:val="28"/>
          <w:szCs w:val="28"/>
        </w:rPr>
        <w:t>属教。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（中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略）</w:t>
      </w:r>
      <w:r>
        <w:rPr>
          <w:rFonts w:ascii="微软雅黑" w:eastAsia="微软雅黑" w:hAnsi="微软雅黑" w:hint="eastAsia"/>
          <w:b/>
          <w:sz w:val="28"/>
          <w:szCs w:val="28"/>
        </w:rPr>
        <w:t>入地自证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（圆中）</w:t>
      </w:r>
      <w:r>
        <w:rPr>
          <w:rFonts w:ascii="微软雅黑" w:eastAsia="微软雅黑" w:hAnsi="微软雅黑" w:hint="eastAsia"/>
          <w:b/>
          <w:sz w:val="28"/>
          <w:szCs w:val="28"/>
        </w:rPr>
        <w:t>，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（但中）</w:t>
      </w:r>
      <w:r>
        <w:rPr>
          <w:rFonts w:ascii="微软雅黑" w:eastAsia="微软雅黑" w:hAnsi="微软雅黑" w:hint="eastAsia"/>
          <w:b/>
          <w:sz w:val="28"/>
          <w:szCs w:val="28"/>
        </w:rPr>
        <w:t>权门自开，故云‘初地即是初住’，入证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（圆中）</w:t>
      </w:r>
      <w:r>
        <w:rPr>
          <w:rFonts w:ascii="微软雅黑" w:eastAsia="微软雅黑" w:hAnsi="微软雅黑" w:hint="eastAsia"/>
          <w:b/>
          <w:sz w:val="28"/>
          <w:szCs w:val="28"/>
        </w:rPr>
        <w:t>道也。”</w:t>
      </w:r>
    </w:p>
    <w:p w:rsidR="00DF7974" w:rsidRDefault="005C0B0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蕅益《占察善恶业报经玄义》明别教云：“缘理断九，不知诸法当体即中。虽云‘证道同圆’，当教谈理不融。”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以“证道同圆”与“教理不融”对举，“教、证二道”，隐然于中。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又蕅益</w:t>
      </w:r>
      <w:r>
        <w:rPr>
          <w:rFonts w:ascii="微软雅黑" w:eastAsia="微软雅黑" w:hAnsi="微软雅黑" w:hint="eastAsia"/>
          <w:b/>
          <w:sz w:val="28"/>
          <w:szCs w:val="28"/>
        </w:rPr>
        <w:t>《教观纲宗》文后释“同”字云：“别十地证道同圆，不复名接。但存教道之粗，以待《法华》开会成妙。”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故知《法华》所开所会之权门，只别教“教道”之粗理是也。“十地证道同圆”，即荆溪“岂有亲证（圆中），复存隔历（但中）？”“入地自证（圆中），（但中）权门自开，故云‘初地即是初住’”之义耳。</w:t>
      </w:r>
    </w:p>
    <w:p w:rsidR="00DF7974" w:rsidRDefault="005C0B00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                            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甲午岁佛成道后一日后学沙弥慧航恭录</w:t>
      </w:r>
      <w:bookmarkStart w:id="0" w:name="_GoBack"/>
      <w:bookmarkEnd w:id="0"/>
    </w:p>
    <w:sectPr w:rsidR="00DF7974" w:rsidSect="00DF7974">
      <w:footerReference w:type="default" r:id="rId7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B00" w:rsidRDefault="005C0B00" w:rsidP="00DF7974">
      <w:r>
        <w:separator/>
      </w:r>
    </w:p>
  </w:endnote>
  <w:endnote w:type="continuationSeparator" w:id="0">
    <w:p w:rsidR="005C0B00" w:rsidRDefault="005C0B00" w:rsidP="00DF7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6544629"/>
    </w:sdtPr>
    <w:sdtContent>
      <w:sdt>
        <w:sdtPr>
          <w:id w:val="1728636285"/>
        </w:sdtPr>
        <w:sdtContent>
          <w:p w:rsidR="00DF7974" w:rsidRDefault="005C0B0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F797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F7974">
              <w:rPr>
                <w:b/>
                <w:bCs/>
                <w:sz w:val="24"/>
                <w:szCs w:val="24"/>
              </w:rPr>
              <w:fldChar w:fldCharType="separate"/>
            </w:r>
            <w:r w:rsidR="00F6227E">
              <w:rPr>
                <w:b/>
                <w:bCs/>
                <w:noProof/>
              </w:rPr>
              <w:t>3</w:t>
            </w:r>
            <w:r w:rsidR="00DF7974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F797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F7974">
              <w:rPr>
                <w:b/>
                <w:bCs/>
                <w:sz w:val="24"/>
                <w:szCs w:val="24"/>
              </w:rPr>
              <w:fldChar w:fldCharType="separate"/>
            </w:r>
            <w:r w:rsidR="00F6227E">
              <w:rPr>
                <w:b/>
                <w:bCs/>
                <w:noProof/>
              </w:rPr>
              <w:t>3</w:t>
            </w:r>
            <w:r w:rsidR="00DF797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7974" w:rsidRDefault="00DF797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B00" w:rsidRDefault="005C0B00" w:rsidP="00DF7974">
      <w:r>
        <w:separator/>
      </w:r>
    </w:p>
  </w:footnote>
  <w:footnote w:type="continuationSeparator" w:id="0">
    <w:p w:rsidR="005C0B00" w:rsidRDefault="005C0B00" w:rsidP="00DF79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EB7"/>
    <w:rsid w:val="00021C88"/>
    <w:rsid w:val="00032C94"/>
    <w:rsid w:val="001026B9"/>
    <w:rsid w:val="00124C66"/>
    <w:rsid w:val="001B2500"/>
    <w:rsid w:val="001B35F5"/>
    <w:rsid w:val="001D7A30"/>
    <w:rsid w:val="001E1CB3"/>
    <w:rsid w:val="00224DA4"/>
    <w:rsid w:val="0025669F"/>
    <w:rsid w:val="00261216"/>
    <w:rsid w:val="002F25A2"/>
    <w:rsid w:val="00331B59"/>
    <w:rsid w:val="003962D2"/>
    <w:rsid w:val="003A6E45"/>
    <w:rsid w:val="003A7F4E"/>
    <w:rsid w:val="003E34B9"/>
    <w:rsid w:val="004126FE"/>
    <w:rsid w:val="0045043C"/>
    <w:rsid w:val="004D2535"/>
    <w:rsid w:val="0050045A"/>
    <w:rsid w:val="00520C51"/>
    <w:rsid w:val="00582B7C"/>
    <w:rsid w:val="005B4C5B"/>
    <w:rsid w:val="005C0B00"/>
    <w:rsid w:val="005D3972"/>
    <w:rsid w:val="00663547"/>
    <w:rsid w:val="007300BA"/>
    <w:rsid w:val="007609BC"/>
    <w:rsid w:val="007F13CA"/>
    <w:rsid w:val="00816BDC"/>
    <w:rsid w:val="008601AD"/>
    <w:rsid w:val="008868D4"/>
    <w:rsid w:val="008A103F"/>
    <w:rsid w:val="00920EB7"/>
    <w:rsid w:val="0097457B"/>
    <w:rsid w:val="00A57D16"/>
    <w:rsid w:val="00A6170A"/>
    <w:rsid w:val="00A91D58"/>
    <w:rsid w:val="00AB7A1B"/>
    <w:rsid w:val="00AD5F36"/>
    <w:rsid w:val="00BF72E7"/>
    <w:rsid w:val="00C22B66"/>
    <w:rsid w:val="00C4582D"/>
    <w:rsid w:val="00C57858"/>
    <w:rsid w:val="00CB73E3"/>
    <w:rsid w:val="00CE1D57"/>
    <w:rsid w:val="00CF00CB"/>
    <w:rsid w:val="00CF3072"/>
    <w:rsid w:val="00D17E19"/>
    <w:rsid w:val="00D27232"/>
    <w:rsid w:val="00DC39FE"/>
    <w:rsid w:val="00DE113C"/>
    <w:rsid w:val="00DF7974"/>
    <w:rsid w:val="00E03F01"/>
    <w:rsid w:val="00E2262E"/>
    <w:rsid w:val="00E63143"/>
    <w:rsid w:val="00E862F2"/>
    <w:rsid w:val="00E951E5"/>
    <w:rsid w:val="00EA529D"/>
    <w:rsid w:val="00F031E5"/>
    <w:rsid w:val="00F22351"/>
    <w:rsid w:val="00F6227E"/>
    <w:rsid w:val="00F9021A"/>
    <w:rsid w:val="08412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97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F79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9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79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F79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F79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F79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F797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F797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F7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F7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DF79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DF79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DF7974"/>
    <w:rPr>
      <w:b/>
      <w:bCs/>
    </w:rPr>
  </w:style>
  <w:style w:type="character" w:styleId="a9">
    <w:name w:val="FollowedHyperlink"/>
    <w:basedOn w:val="a0"/>
    <w:uiPriority w:val="99"/>
    <w:unhideWhenUsed/>
    <w:rsid w:val="00DF7974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DF7974"/>
    <w:rPr>
      <w:i/>
      <w:iCs/>
    </w:rPr>
  </w:style>
  <w:style w:type="character" w:styleId="ab">
    <w:name w:val="Hyperlink"/>
    <w:basedOn w:val="a0"/>
    <w:uiPriority w:val="99"/>
    <w:unhideWhenUsed/>
    <w:qFormat/>
    <w:rsid w:val="00DF797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F79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F79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F79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79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F797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DF79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DF797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DF79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F7974"/>
    <w:rPr>
      <w:rFonts w:asciiTheme="majorHAnsi" w:eastAsiaTheme="majorEastAsia" w:hAnsiTheme="majorHAnsi" w:cstheme="majorBidi"/>
      <w:szCs w:val="21"/>
    </w:rPr>
  </w:style>
  <w:style w:type="character" w:customStyle="1" w:styleId="Char3">
    <w:name w:val="标题 Char"/>
    <w:basedOn w:val="a0"/>
    <w:link w:val="a7"/>
    <w:uiPriority w:val="10"/>
    <w:qFormat/>
    <w:rsid w:val="00DF79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sid w:val="00DF79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不明显强调1"/>
    <w:basedOn w:val="a0"/>
    <w:uiPriority w:val="19"/>
    <w:qFormat/>
    <w:rsid w:val="00DF7974"/>
    <w:rPr>
      <w:i/>
      <w:iCs/>
      <w:color w:val="7F7F7F" w:themeColor="text1" w:themeTint="80"/>
    </w:rPr>
  </w:style>
  <w:style w:type="character" w:customStyle="1" w:styleId="11">
    <w:name w:val="明显强调1"/>
    <w:basedOn w:val="a0"/>
    <w:uiPriority w:val="21"/>
    <w:qFormat/>
    <w:rsid w:val="00DF7974"/>
    <w:rPr>
      <w:b/>
      <w:bCs/>
      <w:i/>
      <w:iCs/>
      <w:color w:val="4F81BD" w:themeColor="accent1"/>
    </w:rPr>
  </w:style>
  <w:style w:type="paragraph" w:customStyle="1" w:styleId="12">
    <w:name w:val="引用1"/>
    <w:basedOn w:val="a"/>
    <w:next w:val="a"/>
    <w:link w:val="Char4"/>
    <w:uiPriority w:val="29"/>
    <w:qFormat/>
    <w:rsid w:val="00DF7974"/>
    <w:rPr>
      <w:i/>
      <w:iCs/>
      <w:color w:val="000000" w:themeColor="text1"/>
    </w:rPr>
  </w:style>
  <w:style w:type="character" w:customStyle="1" w:styleId="Char4">
    <w:name w:val="引用 Char"/>
    <w:basedOn w:val="a0"/>
    <w:link w:val="12"/>
    <w:uiPriority w:val="29"/>
    <w:qFormat/>
    <w:rsid w:val="00DF7974"/>
    <w:rPr>
      <w:i/>
      <w:iCs/>
      <w:color w:val="000000" w:themeColor="text1"/>
    </w:rPr>
  </w:style>
  <w:style w:type="paragraph" w:customStyle="1" w:styleId="13">
    <w:name w:val="明显引用1"/>
    <w:basedOn w:val="a"/>
    <w:next w:val="a"/>
    <w:link w:val="Char5"/>
    <w:uiPriority w:val="30"/>
    <w:qFormat/>
    <w:rsid w:val="00DF79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13"/>
    <w:uiPriority w:val="30"/>
    <w:qFormat/>
    <w:rsid w:val="00DF7974"/>
    <w:rPr>
      <w:b/>
      <w:bCs/>
      <w:i/>
      <w:iCs/>
      <w:color w:val="4F81BD" w:themeColor="accent1"/>
    </w:rPr>
  </w:style>
  <w:style w:type="character" w:customStyle="1" w:styleId="14">
    <w:name w:val="不明显参考1"/>
    <w:basedOn w:val="a0"/>
    <w:uiPriority w:val="31"/>
    <w:qFormat/>
    <w:rsid w:val="00DF7974"/>
    <w:rPr>
      <w:smallCaps/>
      <w:color w:val="C0504D" w:themeColor="accent2"/>
      <w:u w:val="single"/>
    </w:rPr>
  </w:style>
  <w:style w:type="character" w:customStyle="1" w:styleId="15">
    <w:name w:val="明显参考1"/>
    <w:basedOn w:val="a0"/>
    <w:uiPriority w:val="32"/>
    <w:qFormat/>
    <w:rsid w:val="00DF7974"/>
    <w:rPr>
      <w:b/>
      <w:bCs/>
      <w:smallCaps/>
      <w:color w:val="C0504D" w:themeColor="accent2"/>
      <w:spacing w:val="5"/>
      <w:u w:val="single"/>
    </w:rPr>
  </w:style>
  <w:style w:type="character" w:customStyle="1" w:styleId="16">
    <w:name w:val="书籍标题1"/>
    <w:basedOn w:val="a0"/>
    <w:uiPriority w:val="33"/>
    <w:qFormat/>
    <w:rsid w:val="00DF7974"/>
    <w:rPr>
      <w:b/>
      <w:bCs/>
      <w:smallCaps/>
      <w:spacing w:val="5"/>
    </w:rPr>
  </w:style>
  <w:style w:type="paragraph" w:customStyle="1" w:styleId="17">
    <w:name w:val="列出段落1"/>
    <w:basedOn w:val="a"/>
    <w:uiPriority w:val="34"/>
    <w:qFormat/>
    <w:rsid w:val="00DF7974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DF7974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F797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9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DADI</cp:lastModifiedBy>
  <cp:revision>1</cp:revision>
  <cp:lastPrinted>2016-06-16T22:57:00Z</cp:lastPrinted>
  <dcterms:created xsi:type="dcterms:W3CDTF">2015-01-28T14:44:00Z</dcterms:created>
  <dcterms:modified xsi:type="dcterms:W3CDTF">2016-11-24T10:19:00Z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