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/>
        <w:spacing w:line="360" w:lineRule="atLeast"/>
        <w:ind w:leftChars="0" w:left="-105"/>
        <w:jc w:val="left"/>
        <w:rPr>
          <w:rFonts w:ascii="楷体" w:eastAsia="楷体" w:hAnsi="楷体" w:cs="Helvetica" w:hint="eastAsia"/>
          <w:color w:val="000000"/>
          <w:kern w:val="0"/>
          <w:sz w:val="30"/>
          <w:szCs w:val="30"/>
        </w:rPr>
      </w:pP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t>天台宗答問錄-慧航法師</w:t>
      </w:r>
    </w:p>
    <w:p>
      <w:pPr>
        <w:widowControl/>
        <w:spacing w:line="360" w:lineRule="atLeast"/>
        <w:ind w:leftChars="0" w:left="-105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>
      <w:pPr>
        <w:pStyle w:val="a6"/>
        <w:widowControl/>
        <w:numPr>
          <w:ilvl w:val="0"/>
          <w:numId w:val="2"/>
        </w:numPr>
        <w:spacing w:line="360" w:lineRule="atLeast"/>
        <w:ind w:leftChars="0" w:left="851" w:firstLineChars="0" w:hanging="851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t>問：俗谛，真谛这两个词语，不止台宗用的，有时还兼带方便义，究竟义，真实义这些词语，净土，禅宗，密宗很多师父讲开示时也会用的。这种情况，末学该如何去把握摄受？犹如今日，很多师父在讲教观纲宗，其中一定符合天台山家，智者，湛然，智礼大师的却难说，但就净土，禅宗，密宗等弟子，听听会有多少法益呢？该如何摄受呢？或者，换个角度，不想正儿八经的修学台教，就是粗粗学习下，听他们的讲解可以吗？感恩顶礼法师</w:t>
      </w:r>
    </w:p>
    <w:p>
      <w:pPr>
        <w:pStyle w:val="a6"/>
        <w:widowControl/>
        <w:spacing w:line="360" w:lineRule="atLeast"/>
        <w:ind w:leftChars="0" w:left="851" w:firstLineChars="0" w:firstLine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t>答：二谛有七种。他宗笼统不分，何有大小偏圆之别？古有说佛出二谛外，亦有说佛在二谛中，众说纷纭，皆因不知藏、通、别、圆皆有二谛。藕益大师自不能算山家正宗。但末法已到此，挽回为难，各顺其缘，各行其道即可。</w:t>
      </w:r>
    </w:p>
    <w:p>
      <w:pPr>
        <w:pStyle w:val="a6"/>
        <w:widowControl/>
        <w:numPr>
          <w:ilvl w:val="0"/>
          <w:numId w:val="2"/>
        </w:numPr>
        <w:spacing w:line="360" w:lineRule="atLeast"/>
        <w:ind w:leftChars="0" w:left="851" w:firstLineChars="0" w:hanging="851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t>問：时临末法，人根陋劣，天台教观，实为高妙，难于普及。文句、妙玄多引《释论》，四教仪辅宏记常引《释论》《瑜伽论》《大毗婆沙论》《俱舍论》，可否在学三大部之前，学这些大论作为基础？</w:t>
      </w:r>
    </w:p>
    <w:p>
      <w:pPr>
        <w:pStyle w:val="a6"/>
        <w:widowControl/>
        <w:spacing w:line="360" w:lineRule="atLeast"/>
        <w:ind w:leftChars="0" w:left="851" w:firstLineChars="0" w:firstLine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t>答：荆溪《止观义例》云：“一家教门，以《法华》为宗骨，以《智论》为指南，以《大经》为扶疏，以《大品》为观法。引诸经以增信，引诸论以助成。观心为经，诸法为纬，织成部帙，不与他同。”</w:t>
      </w: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br/>
      </w: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lastRenderedPageBreak/>
        <w:t>既“引诸经以增信，引诸论以助成”，则学天台教典，非但含摄诸经、诸论，实已融为一炉、超而越之。故云：“不与他同”也。此即《法华玄义》“天竺大论，尚非其类”之意。若先习诸论，非但未必尽明其义，纵能全明，再习台教，然已皓首，三鼓而竭。莫若盛年，一鼓作气，方为直截。教宗天台，行归净土。似顺水以扬帆、如虎而戴角矣。</w:t>
      </w:r>
    </w:p>
    <w:p>
      <w:pPr>
        <w:pStyle w:val="a6"/>
        <w:widowControl/>
        <w:numPr>
          <w:ilvl w:val="0"/>
          <w:numId w:val="2"/>
        </w:numPr>
        <w:spacing w:line="360" w:lineRule="atLeast"/>
        <w:ind w:leftChars="0" w:left="851" w:firstLineChars="0" w:hanging="851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t>問：末学但知天台宗承传有山家及山外之分。请问什么是山家？又什么是山外？</w:t>
      </w:r>
    </w:p>
    <w:p>
      <w:pPr>
        <w:pStyle w:val="a6"/>
        <w:widowControl/>
        <w:spacing w:line="360" w:lineRule="atLeast"/>
        <w:ind w:leftChars="0" w:left="851" w:firstLineChars="0" w:firstLine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t>答：山家、山外是宋初天台宗于战乱后复兴之时，对天台教义（尤其是对荆溪尊者著作之理解，两家各各自谓深符荆溪。）出现明显分岐，从而引发数十年之争论，后以四明尊者山家一脉胜出告终。从地理而言，山家固以天台山为主；山外以钱塘（杭州）为主。山家、山外观点，分岐甚多。若究其源，乃由山外受贤首、清凉影响，混乱天台圆妙知见。别、圆之际，其义未明；定境修观，境、智两碍。</w:t>
      </w:r>
    </w:p>
    <w:p>
      <w:pPr>
        <w:pStyle w:val="a6"/>
        <w:widowControl/>
        <w:numPr>
          <w:ilvl w:val="0"/>
          <w:numId w:val="2"/>
        </w:numPr>
        <w:spacing w:line="360" w:lineRule="atLeast"/>
        <w:ind w:leftChars="0" w:left="851" w:firstLineChars="0" w:hanging="851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t>問：知法师独重天台宗山家之说，请问法师，是什么原因？学习了山外之说，会对后学有什么影响？</w:t>
      </w:r>
    </w:p>
    <w:p>
      <w:pPr>
        <w:pStyle w:val="a6"/>
        <w:widowControl/>
        <w:spacing w:line="360" w:lineRule="atLeast"/>
        <w:ind w:leftChars="0" w:left="851" w:firstLineChars="0" w:firstLine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t>答：山家承智者大师《摩诃止观》“一念三千”之旨，主张以“妄心”为所观之境。四明尊者《十不二门指要钞》辨“两重能（观）所（观）”云：“今更自立一譬，双明</w:t>
      </w: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lastRenderedPageBreak/>
        <w:t>两重能所。如器（即加工成器）诸淳朴（即所加工原料），岂单用槌，而无砧邪？故知槌（三观智）、砧（三谛境），自分能（观）、所（观）；若望淳朴（一念阴妄之心），皆属能（观）也。智者以喻得解，幸可详之。皆为不辩两重所观，故迷斯旨。又若不立阴等为境，妙观就何处用？妙境于何处显？故知：若离三道（惑、业、苦），即无三德（法身、般若、解脱），如烦恼（惑）即菩提（般若）、生死（苦）即涅盘（法身），玄文略列十乘，皆约此立。又《止观大意》以此二句，为发心、立行之体格。岂有圆顿，更过于此？若如二师（山外二师）所立，合云：菩提即菩提、涅盘即涅盘也。又引常坐中，起、对俱法界者，今问：法界因何有起、对邪？须知约根、尘、识故，方云：起、对法界。故《义例》释此文，云：体达(修观)若起、若对(阴入)不出法界(成不思议)。彼有约理、约观、约果三义，此文正约观行辨也。又，安心文，云：唯信法性者，未审信何法为法性邪？而不知此文，正是于阴修乎止观。故《起信论》云：『一切众生，从本已来，未曾离念。』又下文云『浊成本有』。若不观三道即妙，便同偏观清净真如（山外所观之境：于一念妄心之外，别立清净真如，则真、妄判然为二，反不圆融。）。荆溪还许不（当然不许）？故《辅行》解安住世谛云『以止观安故，世谛方成不思议』，又云『安，即观也』。故谈圆妙，不违现文，</w:t>
      </w: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lastRenderedPageBreak/>
        <w:t>方为正说。今释一念，乃是趣举根、尘和合，一剎那心，若阴、若惑，若善、若恶，皆具三千，皆即三谛，乃十妙之大体，故云：咸尔。斯之一念（妄心），为成观故。今文专约（一念妄心），明乎不二。不可不晓，故兹委辨。」”</w:t>
      </w:r>
    </w:p>
    <w:p>
      <w:pPr>
        <w:pStyle w:val="a6"/>
        <w:widowControl/>
        <w:spacing w:after="240" w:line="360" w:lineRule="atLeast"/>
        <w:ind w:leftChars="0" w:left="851" w:firstLineChars="0" w:firstLine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noProof/>
          <w:kern w:val="0"/>
        </w:rPr>
        <w:drawing>
          <wp:inline distT="0" distB="0" distL="0" distR="0">
            <wp:extent cx="4248150" cy="1743075"/>
            <wp:effectExtent l="19050" t="0" r="0" b="0"/>
            <wp:docPr id="1" name="图片 1" descr="天台問答錄-慧航法師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天台問答錄-慧航法師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6"/>
        <w:widowControl/>
        <w:spacing w:line="360" w:lineRule="atLeast"/>
        <w:ind w:leftChars="0" w:left="851" w:firstLineChars="0" w:firstLine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t>山外唯有一重能（观）所（观），恰如只有槌、砧，而无原料，如何加工成器？若离一念妄心，如何即妄成真、即凡为圣？是知山外唯观“清净真如”，乃拔苗助长、欲速不达；山家观妄即真，则不疾而速、不行而至矣。</w:t>
      </w:r>
    </w:p>
    <w:p>
      <w:pPr>
        <w:pStyle w:val="a6"/>
        <w:widowControl/>
        <w:spacing w:line="360" w:lineRule="atLeast"/>
        <w:ind w:leftChars="0" w:left="851" w:firstLineChars="0" w:firstLine="0"/>
        <w:jc w:val="left"/>
        <w:rPr>
          <w:rFonts w:ascii="楷体" w:eastAsia="楷体" w:hAnsi="楷体" w:cs="Helvetica" w:hint="eastAsia"/>
          <w:color w:val="000000"/>
          <w:kern w:val="0"/>
          <w:sz w:val="30"/>
          <w:szCs w:val="30"/>
        </w:rPr>
      </w:pP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t>有不恭之意。但见藕益大师以天台宗判教，有违智者大师的原则之处，后学应如何看待藕益大师的著作？</w:t>
      </w:r>
    </w:p>
    <w:p>
      <w:pPr>
        <w:pStyle w:val="a6"/>
        <w:widowControl/>
        <w:spacing w:line="360" w:lineRule="atLeast"/>
        <w:ind w:leftChars="0" w:left="851" w:firstLineChars="0" w:firstLine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t>答：藕益大师著作，若合山家旨趣，则不妨引之、用之；其不合处，亦不妨驳之、斥之。若无把握，不妨置之，以待高明。</w:t>
      </w:r>
    </w:p>
    <w:p>
      <w:pPr>
        <w:pStyle w:val="a6"/>
        <w:widowControl/>
        <w:numPr>
          <w:ilvl w:val="0"/>
          <w:numId w:val="2"/>
        </w:numPr>
        <w:spacing w:line="360" w:lineRule="atLeast"/>
        <w:ind w:leftChars="0" w:left="851" w:firstLineChars="0" w:hanging="851"/>
        <w:jc w:val="left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t>请问法师，后学于佛法研习时，应该于各宗广学多闻，兼收并储？还是应该一宗深入，专宗专解？</w:t>
      </w:r>
    </w:p>
    <w:p>
      <w:pPr>
        <w:pStyle w:val="a6"/>
        <w:widowControl/>
        <w:spacing w:line="360" w:lineRule="atLeast"/>
        <w:ind w:leftChars="0" w:left="851" w:firstLineChars="0" w:firstLine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t>答：天台一家，非但深明本宗旨趣，亦复广辨诸宗乖、合。如智者大师，分别尔前南三、北七，而先破后立；荆溪尊</w:t>
      </w: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lastRenderedPageBreak/>
        <w:t>者，驳斥贤首、法相、暗禅，而中兴天台；四明尊者，精析山家、山外之别，而正本清源。若得深入台宗，自能笼罩诸宗。如此方为事半功倍。</w:t>
      </w:r>
    </w:p>
    <w:p>
      <w:pPr>
        <w:pStyle w:val="a6"/>
        <w:widowControl/>
        <w:numPr>
          <w:ilvl w:val="0"/>
          <w:numId w:val="2"/>
        </w:numPr>
        <w:spacing w:line="360" w:lineRule="atLeast"/>
        <w:ind w:leftChars="0" w:left="851" w:firstLineChars="0" w:hanging="851"/>
        <w:jc w:val="left"/>
        <w:rPr>
          <w:rFonts w:ascii="楷体" w:eastAsia="楷体" w:hAnsi="楷体" w:cs="Helvetica" w:hint="eastAsia"/>
          <w:color w:val="000000"/>
          <w:kern w:val="0"/>
          <w:sz w:val="30"/>
          <w:szCs w:val="30"/>
        </w:rPr>
      </w:pP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t>请问法师，有志学习天台宗的后学，应如何面对他宗？是以天台圆摄各宗？然而他宗又未必同意台宗所说，故此又是否应该各行其道，各依本宗所教修行？</w:t>
      </w:r>
    </w:p>
    <w:p>
      <w:pPr>
        <w:pStyle w:val="a6"/>
        <w:widowControl/>
        <w:spacing w:line="360" w:lineRule="atLeast"/>
        <w:ind w:leftChars="0" w:left="851" w:firstLineChars="0" w:hanging="851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楷体" w:eastAsia="楷体" w:hAnsi="楷体" w:cs="Helvetica" w:hint="eastAsia"/>
          <w:color w:val="000000"/>
          <w:kern w:val="0"/>
          <w:sz w:val="30"/>
          <w:szCs w:val="30"/>
        </w:rPr>
        <w:t>答：台宗门人，于诸法门，自可如智者大师《法华玄义》，先判权实、粗妙，次乃开权显实、点粗成妙。若乃本宗法义之论，亦不必定须讳言他宗；若非务必明辨之时，亦不必刻意批评他宗。不卑不亢、亦引亦驳，为法随缘而已。</w:t>
      </w:r>
    </w:p>
    <w:p>
      <w:pPr>
        <w:ind w:left="-105"/>
      </w:pP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ind w:left="-105"/>
      </w:pPr>
      <w:r>
        <w:separator/>
      </w:r>
    </w:p>
  </w:endnote>
  <w:endnote w:type="continuationSeparator" w:id="0">
    <w:p>
      <w:pPr>
        <w:ind w:left="-10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4"/>
      <w:ind w:left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4"/>
      <w:ind w:left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4"/>
      <w:ind w:left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ind w:left="0"/>
      </w:pPr>
      <w:r>
        <w:separator/>
      </w:r>
    </w:p>
  </w:footnote>
  <w:footnote w:type="continuationSeparator" w:id="0">
    <w:p>
      <w:pPr>
        <w:ind w:left="-10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  <w:ind w:left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ind w:leftChars="0" w:left="-10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5587E"/>
    <w:multiLevelType w:val="hybridMultilevel"/>
    <w:tmpl w:val="58D2F3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841991"/>
    <w:multiLevelType w:val="hybridMultilevel"/>
    <w:tmpl w:val="5FD0354C"/>
    <w:lvl w:ilvl="0" w:tplc="79CC23B6">
      <w:start w:val="1"/>
      <w:numFmt w:val="japaneseCounting"/>
      <w:lvlText w:val="%1、"/>
      <w:lvlJc w:val="left"/>
      <w:pPr>
        <w:ind w:left="576" w:hanging="576"/>
      </w:pPr>
      <w:rPr>
        <w:rFonts w:ascii="楷体" w:eastAsia="楷体" w:hAnsi="楷体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50" w:left="-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8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03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2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7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54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13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9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31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46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7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40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75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04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90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94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46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98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27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16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08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03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83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62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39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78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17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57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49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76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31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25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photo.blog.sina.com.cn/showpic.html#blogid=6063734b0102xgba&amp;url=http://album.sina.com.cn/pic/001Lrjt1zy74ZwZrrDa20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2</cp:revision>
  <dcterms:created xsi:type="dcterms:W3CDTF">2018-01-12T13:19:00Z</dcterms:created>
  <dcterms:modified xsi:type="dcterms:W3CDTF">2018-01-12T13:57:00Z</dcterms:modified>
</cp:coreProperties>
</file>