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56"/>
          <w:szCs w:val="56"/>
        </w:rPr>
        <w:t xml:space="preserve">SCOTTISH INDEPENDENCE</w:t>
      </w:r>
    </w:p>
    <w:p>
      <w:pPr>
        <w:spacing w:after="120" w:before="0"/>
        <w:jc w:val="center"/>
      </w:pPr>
      <w:r>
        <w:rPr>
          <w:rFonts w:ascii="Arial" w:cs="Arial" w:eastAsia="Arial" w:hAnsi="Arial"/>
          <w:color w:val="2E6DA4"/>
          <w:sz w:val="36"/>
          <w:szCs w:val="36"/>
        </w:rPr>
        <w:t xml:space="preserve">Economic Impact Assessment</w:t>
      </w:r>
    </w:p>
    <w:p>
      <w:pPr>
        <w:pBdr>
          <w:bottom w:val="single" w:color="C8A84B" w:sz="12" w:space="4"/>
        </w:pBdr>
        <w:spacing w:after="800" w:before="120"/>
        <w:jc w:val="center"/>
      </w:pPr>
      <w:r>
        <w:rPr>
          <w:rFonts w:ascii="Arial" w:cs="Arial" w:eastAsia="Arial" w:hAnsi="Arial"/>
          <w:i/>
          <w:iCs/>
          <w:color w:val="666666"/>
          <w:sz w:val="22"/>
          <w:szCs w:val="22"/>
        </w:rPr>
        <w:t xml:space="preserve">An Independent, Evidence-Based Analysis  |  Second Edition</w:t>
      </w:r>
    </w:p>
    <w:p>
      <w:pPr>
        <w:spacing w:after="40" w:before="400"/>
        <w:jc w:val="center"/>
      </w:pPr>
      <w:r>
        <w:rPr>
          <w:rFonts w:ascii="Arial" w:cs="Arial" w:eastAsia="Arial" w:hAnsi="Arial"/>
          <w:color w:val="555555"/>
          <w:sz w:val="20"/>
          <w:szCs w:val="20"/>
        </w:rPr>
        <w:t xml:space="preserve">Prepared by: Independent Economic Research</w:t>
      </w:r>
    </w:p>
    <w:p>
      <w:pPr>
        <w:spacing w:after="40" w:before="0"/>
        <w:jc w:val="center"/>
      </w:pPr>
      <w:r>
        <w:rPr>
          <w:rFonts w:ascii="Arial" w:cs="Arial" w:eastAsia="Arial" w:hAnsi="Arial"/>
          <w:color w:val="555555"/>
          <w:sz w:val="20"/>
          <w:szCs w:val="20"/>
        </w:rPr>
        <w:t xml:space="preserve">Date: April 2026  |  Version 2.0</w:t>
      </w:r>
    </w:p>
    <w:p>
      <w:pPr>
        <w:spacing w:after="0" w:before="160"/>
        <w:jc w:val="center"/>
      </w:pPr>
      <w:r>
        <w:rPr>
          <w:rFonts w:ascii="Arial" w:cs="Arial" w:eastAsia="Arial" w:hAnsi="Arial"/>
          <w:i/>
          <w:iCs/>
          <w:color w:val="888888"/>
          <w:sz w:val="16"/>
          <w:szCs w:val="16"/>
        </w:rPr>
        <w:t xml:space="preserve">Sources: ONS, Scottish Government GERS, IFS, Fraser of Allander Institute, OBR, IMF, OECD, UK MOD, Bank of England</w:t>
      </w:r>
    </w:p>
    <w:p>
      <w:pPr>
        <w:spacing w:after="80" w:before="80"/>
      </w:pPr>
      <w:r>
        <w:t xml:space="preserve"/>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 Executive Summary</w:t>
      </w:r>
    </w:p>
    <w:p>
      <w:pPr>
        <w:spacing w:after="80" w:before="60"/>
      </w:pPr>
      <w:r>
        <w:rPr>
          <w:rFonts w:ascii="Arial" w:cs="Arial" w:eastAsia="Arial" w:hAnsi="Arial"/>
          <w:color w:val="1A1A2E"/>
          <w:sz w:val="20"/>
          <w:szCs w:val="20"/>
        </w:rPr>
        <w:t xml:space="preserve">Scotland faces a complex and genuinely uncertain economic calculus around independence. The question does not resolve to a simple positive or negative verdict: outcomes depend critically on variables that cannot be known in advance, including currency choice, the speed and outcome of EU membership negotiations, the nature of any border arrangements with the rest of the UK (rUK), and the global economic environment at the time of transition.</w:t>
      </w:r>
    </w:p>
    <w:p>
      <w:pPr>
        <w:spacing w:after="80" w:before="60"/>
      </w:pPr>
      <w:r>
        <w:rPr>
          <w:rFonts w:ascii="Arial" w:cs="Arial" w:eastAsia="Arial" w:hAnsi="Arial"/>
          <w:color w:val="1A1A2E"/>
          <w:sz w:val="20"/>
          <w:szCs w:val="20"/>
        </w:rPr>
        <w:t xml:space="preserve">Key opportunities identified in this analysis include: access to the EU single market (if membership is secured), full control over immigration and skills policy, long-term renewable energy export revenues, and the ability to design a fiscal and regulatory framework calibrated to Scotland's economic structure. An independent Scotland would also gain full autonomy over defence spending, potentially at lower cost than its current per-capita share of UK defence expenditure.</w:t>
      </w:r>
    </w:p>
    <w:p>
      <w:pPr>
        <w:spacing w:after="80" w:before="60"/>
      </w:pPr>
      <w:r>
        <w:rPr>
          <w:rFonts w:ascii="Arial" w:cs="Arial" w:eastAsia="Arial" w:hAnsi="Arial"/>
          <w:color w:val="1A1A2E"/>
          <w:sz w:val="20"/>
          <w:szCs w:val="20"/>
        </w:rPr>
        <w:t xml:space="preserve">Key risks are equally significant. Scotland runs a structural fiscal deficit of approximately 9–10% of GDP on a GERS-equivalent basis, substantially above the UK average. The dominant trade relationship remains with rUK (~60% of Scottish exports), meaning border-related friction carries immediate economic cost. Financial services firms face clear relocation incentives. The absence of a central bank lender of last resort — in any currency scenario short of Euro adoption — represents a material financial stability risk. And household-level impacts — mortgages, pensions, savings — carry significant near-term uncertainty that macroeconomic analysis alone does not capture.</w:t>
      </w:r>
    </w:p>
    <w:p>
      <w:pPr>
        <w:spacing w:after="80" w:before="60"/>
      </w:pPr>
      <w:r>
        <w:rPr>
          <w:rFonts w:ascii="Arial" w:cs="Arial" w:eastAsia="Arial" w:hAnsi="Arial"/>
          <w:color w:val="1A1A2E"/>
          <w:sz w:val="20"/>
          <w:szCs w:val="20"/>
        </w:rPr>
        <w:t xml:space="preserve">This revised edition adds six substantive sections absent from the first edition: fiscal repair modelling; currency operational scenarios; a defence and security economics assessment; household-level impact analysis; a detailed EU accession assessment; and a renewable energy revenue realism review. It also includes a dedicated steel-man section testing the strongest pro-independence economic arguments against the evidence.</w:t>
      </w:r>
    </w:p>
    <w:p>
      <w:pPr>
        <w:pBdr>
          <w:left w:val="single" w:color="C8A84B" w:sz="12" w:space="4"/>
        </w:pBdr>
        <w:shd w:fill="EAF2FA" w:val="clear"/>
        <w:spacing w:after="80" w:before="80"/>
        <w:ind w:left="360"/>
      </w:pPr>
      <w:r>
        <w:rPr>
          <w:rFonts w:ascii="Arial" w:cs="Arial" w:eastAsia="Arial" w:hAnsi="Arial"/>
          <w:i/>
          <w:iCs/>
          <w:color w:val="1A1A2E"/>
          <w:sz w:val="19"/>
          <w:szCs w:val="19"/>
        </w:rPr>
        <w:t xml:space="preserve">Analytical note: Short-term risks are larger and better-evidenced than long-term opportunities. This asymmetry reflects the evidence base, not editorial bias. Long-run opportunities are real but contingent on policy choices and external variables that cannot be modelled with precision.</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2. Baseline Context</w:t>
      </w:r>
    </w:p>
    <w:p>
      <w:pPr>
        <w:pStyle w:val="Heading2"/>
        <w:spacing w:after="80" w:before="280"/>
      </w:pPr>
      <w:r>
        <w:rPr>
          <w:rFonts w:ascii="Arial" w:cs="Arial" w:eastAsia="Arial" w:hAnsi="Arial"/>
          <w:b/>
          <w:bCs/>
          <w:color w:val="2E6DA4"/>
          <w:sz w:val="24"/>
          <w:szCs w:val="24"/>
        </w:rPr>
        <w:t xml:space="preserve">2.1 Structure of Scotland's Economy</w:t>
      </w:r>
    </w:p>
    <w:p>
      <w:pPr>
        <w:spacing w:after="80" w:before="60"/>
      </w:pPr>
      <w:r>
        <w:rPr>
          <w:rFonts w:ascii="Arial" w:cs="Arial" w:eastAsia="Arial" w:hAnsi="Arial"/>
          <w:color w:val="1A1A2E"/>
          <w:sz w:val="20"/>
          <w:szCs w:val="20"/>
        </w:rPr>
        <w:t xml:space="preserve">Scotland's GDP is approximately £205 billion (2023, Scottish Government), representing around 8% of UK GDP. Per capita GDP is broadly comparable to the UK average. Key sectors by GVA contribution:</w:t>
      </w:r>
    </w:p>
    <w:p>
      <w:pPr>
        <w:pStyle w:val="ListParagraph"/>
        <w:numPr>
          <w:ilvl w:val="0"/>
          <w:numId w:val="2"/>
        </w:numPr>
        <w:spacing w:after="40" w:before="40"/>
      </w:pPr>
      <w:r>
        <w:rPr>
          <w:rFonts w:ascii="Arial" w:cs="Arial" w:eastAsia="Arial" w:hAnsi="Arial"/>
          <w:color w:val="1A1A2E"/>
          <w:sz w:val="20"/>
          <w:szCs w:val="20"/>
        </w:rPr>
        <w:t xml:space="preserve">Financial and business services (~18%)</w:t>
      </w:r>
    </w:p>
    <w:p>
      <w:pPr>
        <w:pStyle w:val="ListParagraph"/>
        <w:numPr>
          <w:ilvl w:val="0"/>
          <w:numId w:val="2"/>
        </w:numPr>
        <w:spacing w:after="40" w:before="40"/>
      </w:pPr>
      <w:r>
        <w:rPr>
          <w:rFonts w:ascii="Arial" w:cs="Arial" w:eastAsia="Arial" w:hAnsi="Arial"/>
          <w:color w:val="1A1A2E"/>
          <w:sz w:val="20"/>
          <w:szCs w:val="20"/>
        </w:rPr>
        <w:t xml:space="preserve">Public administration, education and health (~20%)</w:t>
      </w:r>
    </w:p>
    <w:p>
      <w:pPr>
        <w:pStyle w:val="ListParagraph"/>
        <w:numPr>
          <w:ilvl w:val="0"/>
          <w:numId w:val="2"/>
        </w:numPr>
        <w:spacing w:after="40" w:before="40"/>
      </w:pPr>
      <w:r>
        <w:rPr>
          <w:rFonts w:ascii="Arial" w:cs="Arial" w:eastAsia="Arial" w:hAnsi="Arial"/>
          <w:color w:val="1A1A2E"/>
          <w:sz w:val="20"/>
          <w:szCs w:val="20"/>
        </w:rPr>
        <w:t xml:space="preserve">Real estate and professional services (~16%)</w:t>
      </w:r>
    </w:p>
    <w:p>
      <w:pPr>
        <w:pStyle w:val="ListParagraph"/>
        <w:numPr>
          <w:ilvl w:val="0"/>
          <w:numId w:val="2"/>
        </w:numPr>
        <w:spacing w:after="40" w:before="40"/>
      </w:pPr>
      <w:r>
        <w:rPr>
          <w:rFonts w:ascii="Arial" w:cs="Arial" w:eastAsia="Arial" w:hAnsi="Arial"/>
          <w:color w:val="1A1A2E"/>
          <w:sz w:val="20"/>
          <w:szCs w:val="20"/>
        </w:rPr>
        <w:t xml:space="preserve">Energy — oil, gas, and renewables (economically significant and volatile)</w:t>
      </w:r>
    </w:p>
    <w:p>
      <w:pPr>
        <w:pStyle w:val="ListParagraph"/>
        <w:numPr>
          <w:ilvl w:val="0"/>
          <w:numId w:val="2"/>
        </w:numPr>
        <w:spacing w:after="40" w:before="40"/>
      </w:pPr>
      <w:r>
        <w:rPr>
          <w:rFonts w:ascii="Arial" w:cs="Arial" w:eastAsia="Arial" w:hAnsi="Arial"/>
          <w:color w:val="1A1A2E"/>
          <w:sz w:val="20"/>
          <w:szCs w:val="20"/>
        </w:rPr>
        <w:t xml:space="preserve">Food and drink, including whisky (a major export earner — ~£5.6bn annually)</w:t>
      </w:r>
    </w:p>
    <w:p>
      <w:pPr>
        <w:pStyle w:val="ListParagraph"/>
        <w:numPr>
          <w:ilvl w:val="0"/>
          <w:numId w:val="2"/>
        </w:numPr>
        <w:spacing w:after="40" w:before="40"/>
      </w:pPr>
      <w:r>
        <w:rPr>
          <w:rFonts w:ascii="Arial" w:cs="Arial" w:eastAsia="Arial" w:hAnsi="Arial"/>
          <w:color w:val="1A1A2E"/>
          <w:sz w:val="20"/>
          <w:szCs w:val="20"/>
        </w:rPr>
        <w:t xml:space="preserve">Manufacturing, including life sciences, aerospace, and defence-related industries</w:t>
      </w:r>
    </w:p>
    <w:p>
      <w:pPr>
        <w:spacing w:after="80" w:before="60"/>
      </w:pPr>
      <w:r>
        <w:rPr>
          <w:rFonts w:ascii="Arial" w:cs="Arial" w:eastAsia="Arial" w:hAnsi="Arial"/>
          <w:color w:val="1A1A2E"/>
          <w:sz w:val="20"/>
          <w:szCs w:val="20"/>
        </w:rPr>
        <w:t xml:space="preserve">Scotland has above-average public sector employment relative to rUK and a significant dependency on UK-wide institutional frameworks: BoE, HMRC, DWP, MOD, and UK financial regulation.</w:t>
      </w:r>
    </w:p>
    <w:p>
      <w:pPr>
        <w:pStyle w:val="Heading2"/>
        <w:spacing w:after="80" w:before="280"/>
      </w:pPr>
      <w:r>
        <w:rPr>
          <w:rFonts w:ascii="Arial" w:cs="Arial" w:eastAsia="Arial" w:hAnsi="Arial"/>
          <w:b/>
          <w:bCs/>
          <w:color w:val="2E6DA4"/>
          <w:sz w:val="24"/>
          <w:szCs w:val="24"/>
        </w:rPr>
        <w:t xml:space="preserve">2.2 Fiscal Position (GERS Analysis)</w:t>
      </w:r>
    </w:p>
    <w:p>
      <w:pPr>
        <w:spacing w:after="80" w:before="60"/>
      </w:pPr>
      <w:r>
        <w:rPr>
          <w:rFonts w:ascii="Arial" w:cs="Arial" w:eastAsia="Arial" w:hAnsi="Arial"/>
          <w:color w:val="1A1A2E"/>
          <w:sz w:val="20"/>
          <w:szCs w:val="20"/>
        </w:rPr>
        <w:t xml:space="preserve">The Government Expenditure and Revenue Scotland (GERS) publication provides the most comprehensive fiscal baseline. Key figures (2022/23):</w:t>
      </w:r>
    </w:p>
    <w:p>
      <w:pPr>
        <w:pStyle w:val="ListParagraph"/>
        <w:numPr>
          <w:ilvl w:val="0"/>
          <w:numId w:val="2"/>
        </w:numPr>
        <w:spacing w:after="40" w:before="40"/>
      </w:pPr>
      <w:r>
        <w:rPr>
          <w:rFonts w:ascii="Arial" w:cs="Arial" w:eastAsia="Arial" w:hAnsi="Arial"/>
          <w:color w:val="1A1A2E"/>
          <w:sz w:val="20"/>
          <w:szCs w:val="20"/>
        </w:rPr>
        <w:t xml:space="preserve">Estimated Scottish tax revenues (including geographic share of North Sea): ~£87 billion</w:t>
      </w:r>
    </w:p>
    <w:p>
      <w:pPr>
        <w:pStyle w:val="ListParagraph"/>
        <w:numPr>
          <w:ilvl w:val="0"/>
          <w:numId w:val="2"/>
        </w:numPr>
        <w:spacing w:after="40" w:before="40"/>
      </w:pPr>
      <w:r>
        <w:rPr>
          <w:rFonts w:ascii="Arial" w:cs="Arial" w:eastAsia="Arial" w:hAnsi="Arial"/>
          <w:color w:val="1A1A2E"/>
          <w:sz w:val="20"/>
          <w:szCs w:val="20"/>
        </w:rPr>
        <w:t xml:space="preserve">Public spending in Scotland: ~£108 billion</w:t>
      </w:r>
    </w:p>
    <w:p>
      <w:pPr>
        <w:pStyle w:val="ListParagraph"/>
        <w:numPr>
          <w:ilvl w:val="0"/>
          <w:numId w:val="2"/>
        </w:numPr>
        <w:spacing w:after="40" w:before="40"/>
      </w:pPr>
      <w:r>
        <w:rPr>
          <w:rFonts w:ascii="Arial" w:cs="Arial" w:eastAsia="Arial" w:hAnsi="Arial"/>
          <w:color w:val="1A1A2E"/>
          <w:sz w:val="20"/>
          <w:szCs w:val="20"/>
        </w:rPr>
        <w:t xml:space="preserve">Implied fiscal deficit: ~£21 billion, equivalent to ~9–10% of Scottish GDP</w:t>
      </w:r>
    </w:p>
    <w:p>
      <w:pPr>
        <w:pStyle w:val="ListParagraph"/>
        <w:numPr>
          <w:ilvl w:val="0"/>
          <w:numId w:val="2"/>
        </w:numPr>
        <w:spacing w:after="40" w:before="40"/>
      </w:pPr>
      <w:r>
        <w:rPr>
          <w:rFonts w:ascii="Arial" w:cs="Arial" w:eastAsia="Arial" w:hAnsi="Arial"/>
          <w:color w:val="1A1A2E"/>
          <w:sz w:val="20"/>
          <w:szCs w:val="20"/>
        </w:rPr>
        <w:t xml:space="preserve">UK-wide deficit in same period: ~5% of UK GDP</w:t>
      </w:r>
    </w:p>
    <w:p>
      <w:pPr>
        <w:spacing w:after="80" w:before="60"/>
      </w:pPr>
      <w:r>
        <w:rPr>
          <w:rFonts w:ascii="Arial" w:cs="Arial" w:eastAsia="Arial" w:hAnsi="Arial"/>
          <w:color w:val="1A1A2E"/>
          <w:sz w:val="20"/>
          <w:szCs w:val="20"/>
        </w:rPr>
        <w:t xml:space="preserve">GERS is subject to legitimate methodological debate. Critics note that allocated UK debt interest (~£3.5bn to Scotland) would not necessarily be inherited in full, and that defence spending allocations (~£3.4bn) may not reflect Scotland's actual security requirements. Even under the most favourable GERS adjustments, however, a structural deficit of at least £10–15 billion remains — a figure that is not seriously contested analytically.</w:t>
      </w:r>
    </w:p>
    <w:p>
      <w:pPr>
        <w:pBdr>
          <w:left w:val="single" w:color="C8A84B" w:sz="12" w:space="4"/>
        </w:pBdr>
        <w:shd w:fill="FFF3CD" w:val="clear"/>
        <w:spacing w:after="80" w:before="80"/>
        <w:ind w:left="360"/>
      </w:pPr>
      <w:r>
        <w:rPr>
          <w:rFonts w:ascii="Arial" w:cs="Arial" w:eastAsia="Arial" w:hAnsi="Arial"/>
          <w:i/>
          <w:iCs/>
          <w:color w:val="1A1A2E"/>
          <w:sz w:val="19"/>
          <w:szCs w:val="19"/>
        </w:rPr>
        <w:t xml:space="preserve">Key sensitivity: If Scotland negotiated a lower debt share (e.g., based on geographic rather than population principle) and replaced UK defence spending with a lower-cost Scottish defence posture, the adjusted deficit could be £4–6bn lower. This narrows but does not close the gap.</w:t>
      </w:r>
    </w:p>
    <w:p>
      <w:pPr>
        <w:pStyle w:val="Heading2"/>
        <w:spacing w:after="80" w:before="280"/>
      </w:pPr>
      <w:r>
        <w:rPr>
          <w:rFonts w:ascii="Arial" w:cs="Arial" w:eastAsia="Arial" w:hAnsi="Arial"/>
          <w:b/>
          <w:bCs/>
          <w:color w:val="2E6DA4"/>
          <w:sz w:val="24"/>
          <w:szCs w:val="24"/>
        </w:rPr>
        <w:t xml:space="preserve">2.3 Relationship with rUK</w:t>
      </w:r>
    </w:p>
    <w:p>
      <w:pPr>
        <w:spacing w:after="80" w:before="60"/>
      </w:pPr>
      <w:r>
        <w:rPr>
          <w:rFonts w:ascii="Arial" w:cs="Arial" w:eastAsia="Arial" w:hAnsi="Arial"/>
          <w:color w:val="1A1A2E"/>
          <w:sz w:val="20"/>
          <w:szCs w:val="20"/>
        </w:rPr>
        <w:t xml:space="preserve">Approximately 60% of Scottish exports go to rUK. Scots benefit from the UK-wide labour market, pension system, financial regulation, and Bank of England backstop. The Barnett Formula provides block grant funding calibrated to English public spending. Any independence settlement would require unwinding or renegotiating all of these relationships simultaneously — one of the most complex economic transitions a modern advanced economy has attempted outside wartime.</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3. Key Economic Dimensions of Independence</w:t>
      </w:r>
    </w:p>
    <w:p>
      <w:pPr>
        <w:pStyle w:val="Heading2"/>
        <w:spacing w:after="80" w:before="280"/>
      </w:pPr>
      <w:r>
        <w:rPr>
          <w:rFonts w:ascii="Arial" w:cs="Arial" w:eastAsia="Arial" w:hAnsi="Arial"/>
          <w:b/>
          <w:bCs/>
          <w:color w:val="2E6DA4"/>
          <w:sz w:val="24"/>
          <w:szCs w:val="24"/>
        </w:rPr>
        <w:t xml:space="preserve">3a. Trade &amp; Borders</w:t>
      </w:r>
    </w:p>
    <w:p>
      <w:pPr>
        <w:shd w:fill="D6E8F7" w:val="clear"/>
        <w:spacing w:after="40" w:before="100"/>
      </w:pPr>
      <w:r>
        <w:rPr>
          <w:rFonts w:ascii="Arial" w:cs="Arial" w:eastAsia="Arial" w:hAnsi="Arial"/>
          <w:b/>
          <w:bCs/>
          <w:i/>
          <w:iCs/>
          <w:color w:val="2E6DA4"/>
          <w:sz w:val="18"/>
          <w:szCs w:val="18"/>
        </w:rPr>
        <w:t xml:space="preserve">  Opportunities</w:t>
      </w:r>
    </w:p>
    <w:p>
      <w:pPr>
        <w:pStyle w:val="ListParagraph"/>
        <w:numPr>
          <w:ilvl w:val="0"/>
          <w:numId w:val="2"/>
        </w:numPr>
        <w:spacing w:after="40" w:before="40"/>
      </w:pPr>
      <w:r>
        <w:rPr>
          <w:rFonts w:ascii="Arial" w:cs="Arial" w:eastAsia="Arial" w:hAnsi="Arial"/>
          <w:color w:val="1A1A2E"/>
          <w:sz w:val="20"/>
          <w:szCs w:val="20"/>
        </w:rPr>
        <w:t xml:space="preserve">If EU membership is secured, Scotland regains access to the EU single market (450 million consumers), potentially offsetting rUK trade losses over 10–15 years.</w:t>
      </w:r>
    </w:p>
    <w:p>
      <w:pPr>
        <w:pStyle w:val="ListParagraph"/>
        <w:numPr>
          <w:ilvl w:val="0"/>
          <w:numId w:val="2"/>
        </w:numPr>
        <w:spacing w:after="40" w:before="40"/>
      </w:pPr>
      <w:r>
        <w:rPr>
          <w:rFonts w:ascii="Arial" w:cs="Arial" w:eastAsia="Arial" w:hAnsi="Arial"/>
          <w:color w:val="1A1A2E"/>
          <w:sz w:val="20"/>
          <w:szCs w:val="20"/>
        </w:rPr>
        <w:t xml:space="preserve">An independent Scotland could negotiate its own trade agreements and regulatory frameworks.</w:t>
      </w:r>
    </w:p>
    <w:p>
      <w:pPr>
        <w:shd w:fill="D6E8F7" w:val="clear"/>
        <w:spacing w:after="40" w:before="100"/>
      </w:pPr>
      <w:r>
        <w:rPr>
          <w:rFonts w:ascii="Arial" w:cs="Arial" w:eastAsia="Arial" w:hAnsi="Arial"/>
          <w:b/>
          <w:bCs/>
          <w:i/>
          <w:iCs/>
          <w:color w:val="2E6DA4"/>
          <w:sz w:val="18"/>
          <w:szCs w:val="18"/>
        </w:rPr>
        <w:t xml:space="preserve">  Risks</w:t>
      </w:r>
    </w:p>
    <w:p>
      <w:pPr>
        <w:pStyle w:val="ListParagraph"/>
        <w:numPr>
          <w:ilvl w:val="0"/>
          <w:numId w:val="2"/>
        </w:numPr>
        <w:spacing w:after="40" w:before="40"/>
      </w:pPr>
      <w:r>
        <w:rPr>
          <w:rFonts w:ascii="Arial" w:cs="Arial" w:eastAsia="Arial" w:hAnsi="Arial"/>
          <w:color w:val="1A1A2E"/>
          <w:sz w:val="20"/>
          <w:szCs w:val="20"/>
        </w:rPr>
        <w:t xml:space="preserve">With ~60% of exports going to rUK, even modest non-tariff barriers (regulatory divergence, customs checks) carry a material GDP impact. The Centre for European Reform estimated post-Brexit UK trade was 15% below counterfactual; a Scotland–rUK border could carry analogous effects, proportionally.</w:t>
      </w:r>
    </w:p>
    <w:p>
      <w:pPr>
        <w:pStyle w:val="ListParagraph"/>
        <w:numPr>
          <w:ilvl w:val="0"/>
          <w:numId w:val="2"/>
        </w:numPr>
        <w:spacing w:after="40" w:before="40"/>
      </w:pPr>
      <w:r>
        <w:rPr>
          <w:rFonts w:ascii="Arial" w:cs="Arial" w:eastAsia="Arial" w:hAnsi="Arial"/>
          <w:color w:val="1A1A2E"/>
          <w:sz w:val="20"/>
          <w:szCs w:val="20"/>
        </w:rPr>
        <w:t xml:space="preserve">EU membership is not automatic. Accession requires unanimous member state agreement; Spain and Belgium have signalled historic reluctance to support secessionist entities within EU member states (though their legal positions are not unambiguous). Accession could take 5–15 years.</w:t>
      </w:r>
    </w:p>
    <w:p>
      <w:pPr>
        <w:pStyle w:val="ListParagraph"/>
        <w:numPr>
          <w:ilvl w:val="0"/>
          <w:numId w:val="2"/>
        </w:numPr>
        <w:spacing w:after="40" w:before="40"/>
      </w:pPr>
      <w:r>
        <w:rPr>
          <w:rFonts w:ascii="Arial" w:cs="Arial" w:eastAsia="Arial" w:hAnsi="Arial"/>
          <w:color w:val="1A1A2E"/>
          <w:sz w:val="20"/>
          <w:szCs w:val="20"/>
        </w:rPr>
        <w:t xml:space="preserve">During any period outside both the UK single market and EU single market, Scotland would face trade friction on its two largest trading relationships simultaneously.</w:t>
      </w:r>
    </w:p>
    <w:p>
      <w:pPr>
        <w:spacing w:after="80" w:before="60"/>
      </w:pPr>
      <w:r>
        <w:rPr>
          <w:rFonts w:ascii="Arial" w:cs="Arial" w:eastAsia="Arial" w:hAnsi="Arial"/>
          <w:color w:val="1A1A2E"/>
          <w:sz w:val="20"/>
          <w:szCs w:val="20"/>
        </w:rPr>
        <w:t xml:space="preserve">Sector-specific rUK trade exposure (approximate, Scottish Government trade statistics):</w:t>
      </w:r>
    </w:p>
    <w:p>
      <w:pPr>
        <w:pStyle w:val="ListParagraph"/>
        <w:numPr>
          <w:ilvl w:val="0"/>
          <w:numId w:val="2"/>
        </w:numPr>
        <w:spacing w:after="40" w:before="40"/>
      </w:pPr>
      <w:r>
        <w:rPr>
          <w:rFonts w:ascii="Arial" w:cs="Arial" w:eastAsia="Arial" w:hAnsi="Arial"/>
          <w:color w:val="1A1A2E"/>
          <w:sz w:val="20"/>
          <w:szCs w:val="20"/>
        </w:rPr>
        <w:t xml:space="preserve">Food and drink: ~45% of exports to rUK — highly exposed to border friction and regulatory divergence</w:t>
      </w:r>
    </w:p>
    <w:p>
      <w:pPr>
        <w:pStyle w:val="ListParagraph"/>
        <w:numPr>
          <w:ilvl w:val="0"/>
          <w:numId w:val="2"/>
        </w:numPr>
        <w:spacing w:after="40" w:before="40"/>
      </w:pPr>
      <w:r>
        <w:rPr>
          <w:rFonts w:ascii="Arial" w:cs="Arial" w:eastAsia="Arial" w:hAnsi="Arial"/>
          <w:color w:val="1A1A2E"/>
          <w:sz w:val="20"/>
          <w:szCs w:val="20"/>
        </w:rPr>
        <w:t xml:space="preserve">Financial services: significant rUK counterparty relationships — passporting arrangements lost</w:t>
      </w:r>
    </w:p>
    <w:p>
      <w:pPr>
        <w:pStyle w:val="ListParagraph"/>
        <w:numPr>
          <w:ilvl w:val="0"/>
          <w:numId w:val="2"/>
        </w:numPr>
        <w:spacing w:after="40" w:before="40"/>
      </w:pPr>
      <w:r>
        <w:rPr>
          <w:rFonts w:ascii="Arial" w:cs="Arial" w:eastAsia="Arial" w:hAnsi="Arial"/>
          <w:color w:val="1A1A2E"/>
          <w:sz w:val="20"/>
          <w:szCs w:val="20"/>
        </w:rPr>
        <w:t xml:space="preserve">Retail and wholesale: deeply integrated UK supply chains; just-in-time models disrupted by customs</w:t>
      </w:r>
    </w:p>
    <w:p>
      <w:pPr>
        <w:pStyle w:val="ListParagraph"/>
        <w:numPr>
          <w:ilvl w:val="0"/>
          <w:numId w:val="2"/>
        </w:numPr>
        <w:spacing w:after="40" w:before="40"/>
      </w:pPr>
      <w:r>
        <w:rPr>
          <w:rFonts w:ascii="Arial" w:cs="Arial" w:eastAsia="Arial" w:hAnsi="Arial"/>
          <w:color w:val="1A1A2E"/>
          <w:sz w:val="20"/>
          <w:szCs w:val="20"/>
        </w:rPr>
        <w:t xml:space="preserve">Manufacturing: ~35% of output sold to rUK — significant exposure to tariff and non-tariff barriers</w:t>
      </w:r>
    </w:p>
    <w:p>
      <w:pPr>
        <w:spacing w:after="80" w:before="60"/>
      </w:pPr>
      <w:r>
        <w:rPr>
          <w:rFonts w:ascii="Arial" w:cs="Arial" w:eastAsia="Arial" w:hAnsi="Arial"/>
          <w:color w:val="1A1A2E"/>
          <w:sz w:val="20"/>
          <w:szCs w:val="20"/>
        </w:rPr>
        <w:t xml:space="preserve">Regulatory divergence with rUK is not inevitable. A bilateral regulatory alignment agreement (similar in concept to the UK–EU Trade and Cooperation Agreement but deeper) could minimise friction — but this depends on rUK's willingness to negotiate such an arrangement, which cannot be assumed.</w:t>
      </w:r>
    </w:p>
    <w:p>
      <w:pPr>
        <w:pStyle w:val="Heading2"/>
        <w:spacing w:after="80" w:before="280"/>
      </w:pPr>
      <w:r>
        <w:rPr>
          <w:rFonts w:ascii="Arial" w:cs="Arial" w:eastAsia="Arial" w:hAnsi="Arial"/>
          <w:b/>
          <w:bCs/>
          <w:color w:val="2E6DA4"/>
          <w:sz w:val="24"/>
          <w:szCs w:val="24"/>
        </w:rPr>
        <w:t xml:space="preserve">3b. Currency &amp; Monetary Policy</w:t>
      </w:r>
    </w:p>
    <w:p>
      <w:pPr>
        <w:shd w:fill="D6E8F7" w:val="clear"/>
        <w:spacing w:after="40" w:before="100"/>
      </w:pPr>
      <w:r>
        <w:rPr>
          <w:rFonts w:ascii="Arial" w:cs="Arial" w:eastAsia="Arial" w:hAnsi="Arial"/>
          <w:b/>
          <w:bCs/>
          <w:i/>
          <w:iCs/>
          <w:color w:val="2E6DA4"/>
          <w:sz w:val="18"/>
          <w:szCs w:val="18"/>
        </w:rPr>
        <w:t xml:space="preserve">  Options &amp; Operational Assessment</w:t>
      </w:r>
    </w:p>
    <w:p>
      <w:pPr>
        <w:pStyle w:val="ListParagraph"/>
        <w:numPr>
          <w:ilvl w:val="0"/>
          <w:numId w:val="2"/>
        </w:numPr>
        <w:spacing w:after="40" w:before="40"/>
      </w:pPr>
      <w:r>
        <w:rPr>
          <w:rFonts w:ascii="Arial" w:cs="Arial" w:eastAsia="Arial" w:hAnsi="Arial"/>
          <w:color w:val="1A1A2E"/>
          <w:sz w:val="20"/>
          <w:szCs w:val="20"/>
        </w:rPr>
        <w:t xml:space="preserve">Sterlingisation (informal GBP use): Low transition cost; no need for redenomination; but no monetary sovereignty, no lender of last resort, and Scotland subject to BoE decisions without representation. Foreign reserves not required. Capital flight risk: LOW in transition but HIGH in any future stress event.</w:t>
      </w:r>
    </w:p>
    <w:p>
      <w:pPr>
        <w:pStyle w:val="ListParagraph"/>
        <w:numPr>
          <w:ilvl w:val="0"/>
          <w:numId w:val="2"/>
        </w:numPr>
        <w:spacing w:after="40" w:before="40"/>
      </w:pPr>
      <w:r>
        <w:rPr>
          <w:rFonts w:ascii="Arial" w:cs="Arial" w:eastAsia="Arial" w:hAnsi="Arial"/>
          <w:color w:val="1A1A2E"/>
          <w:sz w:val="20"/>
          <w:szCs w:val="20"/>
        </w:rPr>
        <w:t xml:space="preserve">Managed peg to GBP (formal currency board): Requires £10–20 billion in foreign reserves to be credible. Provides stability but no independent monetary policy. Peg can be broken under speculative attack. Capital flight risk: MEDIUM — peg credibility is critical.</w:t>
      </w:r>
    </w:p>
    <w:p>
      <w:pPr>
        <w:pStyle w:val="ListParagraph"/>
        <w:numPr>
          <w:ilvl w:val="0"/>
          <w:numId w:val="2"/>
        </w:numPr>
        <w:spacing w:after="40" w:before="40"/>
      </w:pPr>
      <w:r>
        <w:rPr>
          <w:rFonts w:ascii="Arial" w:cs="Arial" w:eastAsia="Arial" w:hAnsi="Arial"/>
          <w:color w:val="1A1A2E"/>
          <w:sz w:val="20"/>
          <w:szCs w:val="20"/>
        </w:rPr>
        <w:t xml:space="preserve">New floating Scottish pound: Full monetary sovereignty. Requires central bank establishment, currency infrastructure, foreign reserves (estimated £15–30bn for initial credibility). Redenomination of all Scottish-law contracts required. Capital flight risk: HIGH in transition — historical precedents (Czech koruna 1993, Baltic states) show this is manageable but costly.</w:t>
      </w:r>
    </w:p>
    <w:p>
      <w:pPr>
        <w:pStyle w:val="ListParagraph"/>
        <w:numPr>
          <w:ilvl w:val="0"/>
          <w:numId w:val="2"/>
        </w:numPr>
        <w:spacing w:after="40" w:before="40"/>
      </w:pPr>
      <w:r>
        <w:rPr>
          <w:rFonts w:ascii="Arial" w:cs="Arial" w:eastAsia="Arial" w:hAnsi="Arial"/>
          <w:color w:val="1A1A2E"/>
          <w:sz w:val="20"/>
          <w:szCs w:val="20"/>
        </w:rPr>
        <w:t xml:space="preserve">Euro adoption: Requires EU membership and meeting Maastricht convergence criteria (deficit &lt;3% of GDP, debt &lt;60% of GDP). Scotland currently meets neither criterion. Realistic timeline: 10–15 years post-independence at earliest.</w:t>
      </w:r>
    </w:p>
    <w:p>
      <w:pPr>
        <w:shd w:fill="D6E8F7" w:val="clear"/>
        <w:spacing w:after="40" w:before="100"/>
      </w:pPr>
      <w:r>
        <w:rPr>
          <w:rFonts w:ascii="Arial" w:cs="Arial" w:eastAsia="Arial" w:hAnsi="Arial"/>
          <w:b/>
          <w:bCs/>
          <w:i/>
          <w:iCs/>
          <w:color w:val="2E6DA4"/>
          <w:sz w:val="18"/>
          <w:szCs w:val="18"/>
        </w:rPr>
        <w:t xml:space="preserve">  Household Redenomination</w:t>
      </w:r>
    </w:p>
    <w:p>
      <w:pPr>
        <w:spacing w:after="80" w:before="60"/>
      </w:pPr>
      <w:r>
        <w:rPr>
          <w:rFonts w:ascii="Arial" w:cs="Arial" w:eastAsia="Arial" w:hAnsi="Arial"/>
          <w:color w:val="1A1A2E"/>
          <w:sz w:val="20"/>
          <w:szCs w:val="20"/>
        </w:rPr>
        <w:t xml:space="preserve">A critical operational gap in most independence analyses is what happens to contracts denominated in sterling when a new Scottish currency is introduced:</w:t>
      </w:r>
    </w:p>
    <w:p>
      <w:pPr>
        <w:pStyle w:val="ListParagraph"/>
        <w:numPr>
          <w:ilvl w:val="0"/>
          <w:numId w:val="2"/>
        </w:numPr>
        <w:spacing w:after="40" w:before="40"/>
      </w:pPr>
      <w:r>
        <w:rPr>
          <w:rFonts w:ascii="Arial" w:cs="Arial" w:eastAsia="Arial" w:hAnsi="Arial"/>
          <w:color w:val="1A1A2E"/>
          <w:sz w:val="20"/>
          <w:szCs w:val="20"/>
        </w:rPr>
        <w:t xml:space="preserve">Mortgages: Most Scottish mortgages are governed by Scottish law. Under a new currency, these would typically redenominate to the new Scottish pound at the conversion rate — but lenders may reprice if currency depreciates, increasing effective debt burdens.</w:t>
      </w:r>
    </w:p>
    <w:p>
      <w:pPr>
        <w:pStyle w:val="ListParagraph"/>
        <w:numPr>
          <w:ilvl w:val="0"/>
          <w:numId w:val="2"/>
        </w:numPr>
        <w:spacing w:after="40" w:before="40"/>
      </w:pPr>
      <w:r>
        <w:rPr>
          <w:rFonts w:ascii="Arial" w:cs="Arial" w:eastAsia="Arial" w:hAnsi="Arial"/>
          <w:color w:val="1A1A2E"/>
          <w:sz w:val="20"/>
          <w:szCs w:val="20"/>
        </w:rPr>
        <w:t xml:space="preserve">Pensions: Occupational pensions with cross-border membership face complex regulatory questions. UK-regulated pension funds may need to restructure; defined benefit schemes face particular uncertainty.</w:t>
      </w:r>
    </w:p>
    <w:p>
      <w:pPr>
        <w:pStyle w:val="ListParagraph"/>
        <w:numPr>
          <w:ilvl w:val="0"/>
          <w:numId w:val="2"/>
        </w:numPr>
        <w:spacing w:after="40" w:before="40"/>
      </w:pPr>
      <w:r>
        <w:rPr>
          <w:rFonts w:ascii="Arial" w:cs="Arial" w:eastAsia="Arial" w:hAnsi="Arial"/>
          <w:color w:val="1A1A2E"/>
          <w:sz w:val="20"/>
          <w:szCs w:val="20"/>
        </w:rPr>
        <w:t xml:space="preserve">Savings and deposits: A new deposit guarantee scheme would need to be established, replacing the UK FSCS (£85,000 guarantee). During transition, deposit protection uncertainty could trigger outflows.</w:t>
      </w:r>
    </w:p>
    <w:p>
      <w:pPr>
        <w:pBdr>
          <w:left w:val="single" w:color="C8A84B" w:sz="12" w:space="4"/>
        </w:pBdr>
        <w:shd w:fill="FFF3CD" w:val="clear"/>
        <w:spacing w:after="80" w:before="80"/>
        <w:ind w:left="360"/>
      </w:pPr>
      <w:r>
        <w:rPr>
          <w:rFonts w:ascii="Arial" w:cs="Arial" w:eastAsia="Arial" w:hAnsi="Arial"/>
          <w:i/>
          <w:iCs/>
          <w:color w:val="1A1A2E"/>
          <w:sz w:val="19"/>
          <w:szCs w:val="19"/>
        </w:rPr>
        <w:t xml:space="preserve">The Czech-Slovak monetary union dissolution (1993) is the most relevant modern precedent. The split was technically orderly but required 6 weeks of advance preparation, stamp-marking of banknotes, and immediate capital controls. Scotland's economy is significantly more complex.</w:t>
      </w:r>
    </w:p>
    <w:p>
      <w:pPr>
        <w:pStyle w:val="Heading2"/>
        <w:spacing w:after="80" w:before="280"/>
      </w:pPr>
      <w:r>
        <w:rPr>
          <w:rFonts w:ascii="Arial" w:cs="Arial" w:eastAsia="Arial" w:hAnsi="Arial"/>
          <w:b/>
          <w:bCs/>
          <w:color w:val="2E6DA4"/>
          <w:sz w:val="24"/>
          <w:szCs w:val="24"/>
        </w:rPr>
        <w:t xml:space="preserve">3c. Fiscal Position &amp; Public Finances</w:t>
      </w:r>
    </w:p>
    <w:p>
      <w:pPr>
        <w:spacing w:after="80" w:before="60"/>
      </w:pPr>
      <w:r>
        <w:rPr>
          <w:rFonts w:ascii="Arial" w:cs="Arial" w:eastAsia="Arial" w:hAnsi="Arial"/>
          <w:color w:val="1A1A2E"/>
          <w:sz w:val="20"/>
          <w:szCs w:val="20"/>
        </w:rPr>
        <w:t xml:space="preserve">As established in Section 2.2, Scotland's structural deficit is the most significant near-term economic challenge. See Section 5 for full fiscal repair modelling. Key issues:</w:t>
      </w:r>
    </w:p>
    <w:p>
      <w:pPr>
        <w:pStyle w:val="ListParagraph"/>
        <w:numPr>
          <w:ilvl w:val="0"/>
          <w:numId w:val="2"/>
        </w:numPr>
        <w:spacing w:after="40" w:before="40"/>
      </w:pPr>
      <w:r>
        <w:rPr>
          <w:rFonts w:ascii="Arial" w:cs="Arial" w:eastAsia="Arial" w:hAnsi="Arial"/>
          <w:color w:val="1A1A2E"/>
          <w:sz w:val="20"/>
          <w:szCs w:val="20"/>
        </w:rPr>
        <w:t xml:space="preserve">Debt allocation: A share of UK national debt (~£1.8 trillion) would be negotiated. Population share (~8.2%) implies ~£148 billion. GDP share implies slightly less. Creditor nations (like rUK) typically negotiate hard on debt allocation in separations.</w:t>
      </w:r>
    </w:p>
    <w:p>
      <w:pPr>
        <w:pStyle w:val="ListParagraph"/>
        <w:numPr>
          <w:ilvl w:val="0"/>
          <w:numId w:val="2"/>
        </w:numPr>
        <w:spacing w:after="40" w:before="40"/>
      </w:pPr>
      <w:r>
        <w:rPr>
          <w:rFonts w:ascii="Arial" w:cs="Arial" w:eastAsia="Arial" w:hAnsi="Arial"/>
          <w:color w:val="1A1A2E"/>
          <w:sz w:val="20"/>
          <w:szCs w:val="20"/>
        </w:rPr>
        <w:t xml:space="preserve">North Sea revenues: Volatile and structurally declining. OBR projects near-zero production revenues by the 2040s. Decommissioning liabilities (estimated £20bn+) would transfer to Scotland and represent a future fiscal cost, not a revenue.</w:t>
      </w:r>
    </w:p>
    <w:p>
      <w:pPr>
        <w:pStyle w:val="ListParagraph"/>
        <w:numPr>
          <w:ilvl w:val="0"/>
          <w:numId w:val="2"/>
        </w:numPr>
        <w:spacing w:after="40" w:before="40"/>
      </w:pPr>
      <w:r>
        <w:rPr>
          <w:rFonts w:ascii="Arial" w:cs="Arial" w:eastAsia="Arial" w:hAnsi="Arial"/>
          <w:color w:val="1A1A2E"/>
          <w:sz w:val="20"/>
          <w:szCs w:val="20"/>
        </w:rPr>
        <w:t xml:space="preserve">Borrowing costs: A newly independent Scotland would access capital markets without the track record of the UK. Even a 100–200bps premium on gilts would add £1–3bn annually in debt servicing costs on a moderate debt stock.</w:t>
      </w:r>
    </w:p>
    <w:p>
      <w:pPr>
        <w:pStyle w:val="Heading2"/>
        <w:spacing w:after="80" w:before="280"/>
      </w:pPr>
      <w:r>
        <w:rPr>
          <w:rFonts w:ascii="Arial" w:cs="Arial" w:eastAsia="Arial" w:hAnsi="Arial"/>
          <w:b/>
          <w:bCs/>
          <w:color w:val="2E6DA4"/>
          <w:sz w:val="24"/>
          <w:szCs w:val="24"/>
        </w:rPr>
        <w:t xml:space="preserve">3d. Investment &amp; Business Environment</w:t>
      </w:r>
    </w:p>
    <w:p>
      <w:pPr>
        <w:shd w:fill="D6E8F7" w:val="clear"/>
        <w:spacing w:after="40" w:before="100"/>
      </w:pPr>
      <w:r>
        <w:rPr>
          <w:rFonts w:ascii="Arial" w:cs="Arial" w:eastAsia="Arial" w:hAnsi="Arial"/>
          <w:b/>
          <w:bCs/>
          <w:i/>
          <w:iCs/>
          <w:color w:val="2E6DA4"/>
          <w:sz w:val="18"/>
          <w:szCs w:val="18"/>
        </w:rPr>
        <w:t xml:space="preserve">  Risks</w:t>
      </w:r>
    </w:p>
    <w:p>
      <w:pPr>
        <w:pStyle w:val="ListParagraph"/>
        <w:numPr>
          <w:ilvl w:val="0"/>
          <w:numId w:val="2"/>
        </w:numPr>
        <w:spacing w:after="40" w:before="40"/>
      </w:pPr>
      <w:r>
        <w:rPr>
          <w:rFonts w:ascii="Arial" w:cs="Arial" w:eastAsia="Arial" w:hAnsi="Arial"/>
          <w:color w:val="1A1A2E"/>
          <w:sz w:val="20"/>
          <w:szCs w:val="20"/>
        </w:rPr>
        <w:t xml:space="preserve">Regulatory and legal uncertainty during transition is likely to suppress FDI and domestic investment — a near-universal finding in constitutional transition economics.</w:t>
      </w:r>
    </w:p>
    <w:p>
      <w:pPr>
        <w:pStyle w:val="ListParagraph"/>
        <w:numPr>
          <w:ilvl w:val="0"/>
          <w:numId w:val="2"/>
        </w:numPr>
        <w:spacing w:after="40" w:before="40"/>
      </w:pPr>
      <w:r>
        <w:rPr>
          <w:rFonts w:ascii="Arial" w:cs="Arial" w:eastAsia="Arial" w:hAnsi="Arial"/>
          <w:color w:val="1A1A2E"/>
          <w:sz w:val="20"/>
          <w:szCs w:val="20"/>
        </w:rPr>
        <w:t xml:space="preserve">Financial services firms regulated under UK law face incentives to relocate headquarters to rUK to maintain regulatory continuity and client relationships.</w:t>
      </w:r>
    </w:p>
    <w:p>
      <w:pPr>
        <w:shd w:fill="D6E8F7" w:val="clear"/>
        <w:spacing w:after="40" w:before="100"/>
      </w:pPr>
      <w:r>
        <w:rPr>
          <w:rFonts w:ascii="Arial" w:cs="Arial" w:eastAsia="Arial" w:hAnsi="Arial"/>
          <w:b/>
          <w:bCs/>
          <w:i/>
          <w:iCs/>
          <w:color w:val="2E6DA4"/>
          <w:sz w:val="18"/>
          <w:szCs w:val="18"/>
        </w:rPr>
        <w:t xml:space="preserve">  Opportunities</w:t>
      </w:r>
    </w:p>
    <w:p>
      <w:pPr>
        <w:pStyle w:val="ListParagraph"/>
        <w:numPr>
          <w:ilvl w:val="0"/>
          <w:numId w:val="2"/>
        </w:numPr>
        <w:spacing w:after="40" w:before="40"/>
      </w:pPr>
      <w:r>
        <w:rPr>
          <w:rFonts w:ascii="Arial" w:cs="Arial" w:eastAsia="Arial" w:hAnsi="Arial"/>
          <w:color w:val="1A1A2E"/>
          <w:sz w:val="20"/>
          <w:szCs w:val="20"/>
        </w:rPr>
        <w:t xml:space="preserve">EU single market access (if achieved) could attract inward investment from EU firms using Scotland as a UK-adjacent base.</w:t>
      </w:r>
    </w:p>
    <w:p>
      <w:pPr>
        <w:pStyle w:val="ListParagraph"/>
        <w:numPr>
          <w:ilvl w:val="0"/>
          <w:numId w:val="2"/>
        </w:numPr>
        <w:spacing w:after="40" w:before="40"/>
      </w:pPr>
      <w:r>
        <w:rPr>
          <w:rFonts w:ascii="Arial" w:cs="Arial" w:eastAsia="Arial" w:hAnsi="Arial"/>
          <w:color w:val="1A1A2E"/>
          <w:sz w:val="20"/>
          <w:szCs w:val="20"/>
        </w:rPr>
        <w:t xml:space="preserve">Scotland's renewable energy potential may attract long-term green infrastructure investment.</w:t>
      </w:r>
    </w:p>
    <w:p>
      <w:pPr>
        <w:pStyle w:val="ListParagraph"/>
        <w:numPr>
          <w:ilvl w:val="0"/>
          <w:numId w:val="2"/>
        </w:numPr>
        <w:spacing w:after="40" w:before="40"/>
      </w:pPr>
      <w:r>
        <w:rPr>
          <w:rFonts w:ascii="Arial" w:cs="Arial" w:eastAsia="Arial" w:hAnsi="Arial"/>
          <w:color w:val="1A1A2E"/>
          <w:sz w:val="20"/>
          <w:szCs w:val="20"/>
        </w:rPr>
        <w:t xml:space="preserve">Scotland could design a targeted FDI attraction regime, including corporation tax policy — though this is constrained within the EU state aid framework.</w:t>
      </w:r>
    </w:p>
    <w:p>
      <w:pPr>
        <w:pStyle w:val="Heading2"/>
        <w:spacing w:after="80" w:before="280"/>
      </w:pPr>
      <w:r>
        <w:rPr>
          <w:rFonts w:ascii="Arial" w:cs="Arial" w:eastAsia="Arial" w:hAnsi="Arial"/>
          <w:b/>
          <w:bCs/>
          <w:color w:val="2E6DA4"/>
          <w:sz w:val="24"/>
          <w:szCs w:val="24"/>
        </w:rPr>
        <w:t xml:space="preserve">3e. Energy &amp; Natural Resources</w:t>
      </w:r>
    </w:p>
    <w:p>
      <w:pPr>
        <w:shd w:fill="D6E8F7" w:val="clear"/>
        <w:spacing w:after="40" w:before="100"/>
      </w:pPr>
      <w:r>
        <w:rPr>
          <w:rFonts w:ascii="Arial" w:cs="Arial" w:eastAsia="Arial" w:hAnsi="Arial"/>
          <w:b/>
          <w:bCs/>
          <w:i/>
          <w:iCs/>
          <w:color w:val="2E6DA4"/>
          <w:sz w:val="18"/>
          <w:szCs w:val="18"/>
        </w:rPr>
        <w:t xml:space="preserve">  North Sea Oil &amp; Gas</w:t>
      </w:r>
    </w:p>
    <w:p>
      <w:pPr>
        <w:pStyle w:val="ListParagraph"/>
        <w:numPr>
          <w:ilvl w:val="0"/>
          <w:numId w:val="2"/>
        </w:numPr>
        <w:spacing w:after="40" w:before="40"/>
      </w:pPr>
      <w:r>
        <w:rPr>
          <w:rFonts w:ascii="Arial" w:cs="Arial" w:eastAsia="Arial" w:hAnsi="Arial"/>
          <w:color w:val="1A1A2E"/>
          <w:sz w:val="20"/>
          <w:szCs w:val="20"/>
        </w:rPr>
        <w:t xml:space="preserve">Revenues are material but volatile and structurally declining. OBR projections show near-zero production revenues by the 2040s. Decommissioning liability (~£20bn+) transfers in full.</w:t>
      </w:r>
    </w:p>
    <w:p>
      <w:pPr>
        <w:pStyle w:val="ListParagraph"/>
        <w:numPr>
          <w:ilvl w:val="0"/>
          <w:numId w:val="2"/>
        </w:numPr>
        <w:spacing w:after="40" w:before="40"/>
      </w:pPr>
      <w:r>
        <w:rPr>
          <w:rFonts w:ascii="Arial" w:cs="Arial" w:eastAsia="Arial" w:hAnsi="Arial"/>
          <w:color w:val="1A1A2E"/>
          <w:sz w:val="20"/>
          <w:szCs w:val="20"/>
        </w:rPr>
        <w:t xml:space="preserve">Scotland cannot replicate Norway's sovereign wealth fund — the window for accumulation at scale has closed. Norway's fund was built during decades of high production and prices not available to an independent Scotland from its current position.</w:t>
      </w:r>
    </w:p>
    <w:p>
      <w:pPr>
        <w:shd w:fill="D6E8F7" w:val="clear"/>
        <w:spacing w:after="40" w:before="100"/>
      </w:pPr>
      <w:r>
        <w:rPr>
          <w:rFonts w:ascii="Arial" w:cs="Arial" w:eastAsia="Arial" w:hAnsi="Arial"/>
          <w:b/>
          <w:bCs/>
          <w:i/>
          <w:iCs/>
          <w:color w:val="2E6DA4"/>
          <w:sz w:val="18"/>
          <w:szCs w:val="18"/>
        </w:rPr>
        <w:t xml:space="preserve">  Renewables — Revenue Realism Challenge</w:t>
      </w:r>
    </w:p>
    <w:p>
      <w:pPr>
        <w:spacing w:after="80" w:before="60"/>
      </w:pPr>
      <w:r>
        <w:rPr>
          <w:rFonts w:ascii="Arial" w:cs="Arial" w:eastAsia="Arial" w:hAnsi="Arial"/>
          <w:color w:val="1A1A2E"/>
          <w:sz w:val="20"/>
          <w:szCs w:val="20"/>
        </w:rPr>
        <w:t xml:space="preserve">Scotland's renewable energy potential is genuinely significant — it already generates more electricity from renewables than it consumes domestically. However, the translation of this physical resource into fiscal revenue requires careful analysis:</w:t>
      </w:r>
    </w:p>
    <w:p>
      <w:pPr>
        <w:pStyle w:val="ListParagraph"/>
        <w:numPr>
          <w:ilvl w:val="0"/>
          <w:numId w:val="2"/>
        </w:numPr>
        <w:spacing w:after="40" w:before="40"/>
      </w:pPr>
      <w:r>
        <w:rPr>
          <w:rFonts w:ascii="Arial" w:cs="Arial" w:eastAsia="Arial" w:hAnsi="Arial"/>
          <w:color w:val="1A1A2E"/>
          <w:sz w:val="20"/>
          <w:szCs w:val="20"/>
        </w:rPr>
        <w:t xml:space="preserve">Profit capture: Most renewable generation assets in Scotland are owned by private firms (SSE, ScottishPower/Iberdrola, large pension funds). An independent Scottish government would not automatically capture the profits — it would need to tax, part-nationalise, or establish new ownership frameworks. The economic impact therefore depends critically on policy design.</w:t>
      </w:r>
    </w:p>
    <w:p>
      <w:pPr>
        <w:pStyle w:val="ListParagraph"/>
        <w:numPr>
          <w:ilvl w:val="0"/>
          <w:numId w:val="2"/>
        </w:numPr>
        <w:spacing w:after="40" w:before="40"/>
      </w:pPr>
      <w:r>
        <w:rPr>
          <w:rFonts w:ascii="Arial" w:cs="Arial" w:eastAsia="Arial" w:hAnsi="Arial"/>
          <w:color w:val="1A1A2E"/>
          <w:sz w:val="20"/>
          <w:szCs w:val="20"/>
        </w:rPr>
        <w:t xml:space="preserve">Export infrastructure: Current electricity export to rUK and beyond requires interconnectors. Expanding export capacity requires £5–15 billion in grid infrastructure investment and cross-border network agreements — with a grid operator (National Grid) that would be a foreign entity post-independence.</w:t>
      </w:r>
    </w:p>
    <w:p>
      <w:pPr>
        <w:pStyle w:val="ListParagraph"/>
        <w:numPr>
          <w:ilvl w:val="0"/>
          <w:numId w:val="2"/>
        </w:numPr>
        <w:spacing w:after="40" w:before="40"/>
      </w:pPr>
      <w:r>
        <w:rPr>
          <w:rFonts w:ascii="Arial" w:cs="Arial" w:eastAsia="Arial" w:hAnsi="Arial"/>
          <w:color w:val="1A1A2E"/>
          <w:sz w:val="20"/>
          <w:szCs w:val="20"/>
        </w:rPr>
        <w:t xml:space="preserve">England's own renewable buildout: The UK government's offshore wind and solar targets may reduce England's dependence on Scottish imports over the medium term, reducing the assumed export market.</w:t>
      </w:r>
    </w:p>
    <w:p>
      <w:pPr>
        <w:pBdr>
          <w:left w:val="single" w:color="C8A84B" w:sz="12" w:space="4"/>
        </w:pBdr>
        <w:shd w:fill="EAF2FA" w:val="clear"/>
        <w:spacing w:after="80" w:before="80"/>
        <w:ind w:left="360"/>
      </w:pPr>
      <w:r>
        <w:rPr>
          <w:rFonts w:ascii="Arial" w:cs="Arial" w:eastAsia="Arial" w:hAnsi="Arial"/>
          <w:i/>
          <w:iCs/>
          <w:color w:val="1A1A2E"/>
          <w:sz w:val="19"/>
          <w:szCs w:val="19"/>
        </w:rPr>
        <w:t xml:space="preserve">Conclusion: Scotland's renewable energy sector represents a genuine long-run structural advantage, but fiscal benefit to an independent Scotland is not automatic — it requires policy design, infrastructure investment, and favourable export market conditions.</w:t>
      </w:r>
    </w:p>
    <w:p>
      <w:pPr>
        <w:pStyle w:val="Heading2"/>
        <w:spacing w:after="80" w:before="280"/>
      </w:pPr>
      <w:r>
        <w:rPr>
          <w:rFonts w:ascii="Arial" w:cs="Arial" w:eastAsia="Arial" w:hAnsi="Arial"/>
          <w:b/>
          <w:bCs/>
          <w:color w:val="2E6DA4"/>
          <w:sz w:val="24"/>
          <w:szCs w:val="24"/>
        </w:rPr>
        <w:t xml:space="preserve">3f. Labour Market &amp; Migration</w:t>
      </w:r>
    </w:p>
    <w:p>
      <w:pPr>
        <w:pStyle w:val="ListParagraph"/>
        <w:numPr>
          <w:ilvl w:val="0"/>
          <w:numId w:val="2"/>
        </w:numPr>
        <w:spacing w:after="40" w:before="40"/>
      </w:pPr>
      <w:r>
        <w:rPr>
          <w:rFonts w:ascii="Arial" w:cs="Arial" w:eastAsia="Arial" w:hAnsi="Arial"/>
          <w:color w:val="1A1A2E"/>
          <w:sz w:val="20"/>
          <w:szCs w:val="20"/>
        </w:rPr>
        <w:t xml:space="preserve">Independence could allow Scotland to implement a more liberal immigration policy than rUK — directly addressing demographic pressures (Scotland has a lower birth rate and older demographic profile than rUK average).</w:t>
      </w:r>
    </w:p>
    <w:p>
      <w:pPr>
        <w:pStyle w:val="ListParagraph"/>
        <w:numPr>
          <w:ilvl w:val="0"/>
          <w:numId w:val="2"/>
        </w:numPr>
        <w:spacing w:after="40" w:before="40"/>
      </w:pPr>
      <w:r>
        <w:rPr>
          <w:rFonts w:ascii="Arial" w:cs="Arial" w:eastAsia="Arial" w:hAnsi="Arial"/>
          <w:color w:val="1A1A2E"/>
          <w:sz w:val="20"/>
          <w:szCs w:val="20"/>
        </w:rPr>
        <w:t xml:space="preserve">Freedom of movement with rUK — currently allowing frictionless labour mobility — may be affected by border arrangements. This is a two-edged sword: Scotland gains EU mobility but may lose ease of access to the broader UK labour market.</w:t>
      </w:r>
    </w:p>
    <w:p>
      <w:pPr>
        <w:pStyle w:val="ListParagraph"/>
        <w:numPr>
          <w:ilvl w:val="0"/>
          <w:numId w:val="2"/>
        </w:numPr>
        <w:spacing w:after="40" w:before="40"/>
      </w:pPr>
      <w:r>
        <w:rPr>
          <w:rFonts w:ascii="Arial" w:cs="Arial" w:eastAsia="Arial" w:hAnsi="Arial"/>
          <w:color w:val="1A1A2E"/>
          <w:sz w:val="20"/>
          <w:szCs w:val="20"/>
        </w:rPr>
        <w:t xml:space="preserve">If Scotland joins the EU, it gains access to EU free movement — a significant pool of skilled labour — but loses the automatic right of rUK residents to work in Scotland on existing terms.</w:t>
      </w:r>
    </w:p>
    <w:p>
      <w:pPr>
        <w:pStyle w:val="Heading2"/>
        <w:spacing w:after="80" w:before="280"/>
      </w:pPr>
      <w:r>
        <w:rPr>
          <w:rFonts w:ascii="Arial" w:cs="Arial" w:eastAsia="Arial" w:hAnsi="Arial"/>
          <w:b/>
          <w:bCs/>
          <w:color w:val="2E6DA4"/>
          <w:sz w:val="24"/>
          <w:szCs w:val="24"/>
        </w:rPr>
        <w:t xml:space="preserve">3g. Financial Services</w:t>
      </w:r>
    </w:p>
    <w:p>
      <w:pPr>
        <w:spacing w:after="80" w:before="60"/>
      </w:pPr>
      <w:r>
        <w:rPr>
          <w:rFonts w:ascii="Arial" w:cs="Arial" w:eastAsia="Arial" w:hAnsi="Arial"/>
          <w:color w:val="1A1A2E"/>
          <w:sz w:val="20"/>
          <w:szCs w:val="20"/>
        </w:rPr>
        <w:t xml:space="preserve">This is the highest-risk sector in any independence scenario. Edinburgh is one of Europe's major financial centres. Subsector analysis:</w:t>
      </w:r>
    </w:p>
    <w:p>
      <w:pPr>
        <w:pStyle w:val="ListParagraph"/>
        <w:numPr>
          <w:ilvl w:val="0"/>
          <w:numId w:val="2"/>
        </w:numPr>
        <w:spacing w:after="40" w:before="40"/>
      </w:pPr>
      <w:r>
        <w:rPr>
          <w:rFonts w:ascii="Arial" w:cs="Arial" w:eastAsia="Arial" w:hAnsi="Arial"/>
          <w:color w:val="1A1A2E"/>
          <w:sz w:val="20"/>
          <w:szCs w:val="20"/>
        </w:rPr>
        <w:t xml:space="preserve">Banking (RBS/NatWest, Bank of Scotland/Lloyds): Both have already contingency-planned headquarters relocation to rUK. Operationally, they would likely maintain Scottish retail operations but move regulated entities south of the border. Employment impact: significant in high-value functions.</w:t>
      </w:r>
    </w:p>
    <w:p>
      <w:pPr>
        <w:pStyle w:val="ListParagraph"/>
        <w:numPr>
          <w:ilvl w:val="0"/>
          <w:numId w:val="2"/>
        </w:numPr>
        <w:spacing w:after="40" w:before="40"/>
      </w:pPr>
      <w:r>
        <w:rPr>
          <w:rFonts w:ascii="Arial" w:cs="Arial" w:eastAsia="Arial" w:hAnsi="Arial"/>
          <w:color w:val="1A1A2E"/>
          <w:sz w:val="20"/>
          <w:szCs w:val="20"/>
        </w:rPr>
        <w:t xml:space="preserve">Insurance and asset management (Abrdn, Aviva Scotland, Scottish Widows): Similar relocation incentives apply. Cross-border pension fund administration becomes significantly more complex.</w:t>
      </w:r>
    </w:p>
    <w:p>
      <w:pPr>
        <w:pStyle w:val="ListParagraph"/>
        <w:numPr>
          <w:ilvl w:val="0"/>
          <w:numId w:val="2"/>
        </w:numPr>
        <w:spacing w:after="40" w:before="40"/>
      </w:pPr>
      <w:r>
        <w:rPr>
          <w:rFonts w:ascii="Arial" w:cs="Arial" w:eastAsia="Arial" w:hAnsi="Arial"/>
          <w:color w:val="1A1A2E"/>
          <w:sz w:val="20"/>
          <w:szCs w:val="20"/>
        </w:rPr>
        <w:t xml:space="preserve">Fintech and specialist finance: Less dependent on Bank of England infrastructure; more mobile and potentially able to benefit from EU passporting under Scottish regulation. Niche strength plausible.</w:t>
      </w:r>
    </w:p>
    <w:p>
      <w:pPr>
        <w:pStyle w:val="ListParagraph"/>
        <w:numPr>
          <w:ilvl w:val="0"/>
          <w:numId w:val="2"/>
        </w:numPr>
        <w:spacing w:after="40" w:before="40"/>
      </w:pPr>
      <w:r>
        <w:rPr>
          <w:rFonts w:ascii="Arial" w:cs="Arial" w:eastAsia="Arial" w:hAnsi="Arial"/>
          <w:color w:val="1A1A2E"/>
          <w:sz w:val="20"/>
          <w:szCs w:val="20"/>
        </w:rPr>
        <w:t xml:space="preserve">Back-office functions: Most major financial firms have significant back-office and technology functions in Scotland. These are less likely to relocate immediately — but follow regulatory headquarters over a 5–10 year horizon.</w:t>
      </w:r>
    </w:p>
    <w:p>
      <w:pPr>
        <w:spacing w:after="80" w:before="60"/>
      </w:pPr>
      <w:r>
        <w:rPr>
          <w:rFonts w:ascii="Arial" w:cs="Arial" w:eastAsia="Arial" w:hAnsi="Arial"/>
          <w:color w:val="1A1A2E"/>
          <w:sz w:val="20"/>
          <w:szCs w:val="20"/>
        </w:rPr>
        <w:t xml:space="preserve">Brexit-era precedent: Post-2016, approximately €1.2 trillion in assets relocated from London to EU financial centres. The mechanism (regulatory arbitrage) would apply analogously to an independent Scotland, but in the opposite direction — assets relocating south rather than east.</w:t>
      </w:r>
    </w:p>
    <w:p>
      <w:pPr>
        <w:pBdr>
          <w:left w:val="single" w:color="C8A84B" w:sz="12" w:space="4"/>
        </w:pBdr>
        <w:shd w:fill="FFF3CD" w:val="clear"/>
        <w:spacing w:after="80" w:before="80"/>
        <w:ind w:left="360"/>
      </w:pPr>
      <w:r>
        <w:rPr>
          <w:rFonts w:ascii="Arial" w:cs="Arial" w:eastAsia="Arial" w:hAnsi="Arial"/>
          <w:i/>
          <w:iCs/>
          <w:color w:val="1A1A2E"/>
          <w:sz w:val="19"/>
          <w:szCs w:val="19"/>
        </w:rPr>
        <w:t xml:space="preserve">Key risk: The loss of Bank of England lender-of-last-resort functionality is not merely symbolic. In a banking stress scenario, the absence of a credible backstop could transform a manageable liquidity event into a solvency crisis.</w:t>
      </w:r>
    </w:p>
    <w:p>
      <w:pPr>
        <w:pStyle w:val="Heading2"/>
        <w:spacing w:after="80" w:before="280"/>
      </w:pPr>
      <w:r>
        <w:rPr>
          <w:rFonts w:ascii="Arial" w:cs="Arial" w:eastAsia="Arial" w:hAnsi="Arial"/>
          <w:b/>
          <w:bCs/>
          <w:color w:val="2E6DA4"/>
          <w:sz w:val="24"/>
          <w:szCs w:val="24"/>
        </w:rPr>
        <w:t xml:space="preserve">3h. Public Services</w:t>
      </w:r>
    </w:p>
    <w:p>
      <w:pPr>
        <w:pStyle w:val="ListParagraph"/>
        <w:numPr>
          <w:ilvl w:val="0"/>
          <w:numId w:val="2"/>
        </w:numPr>
        <w:spacing w:after="40" w:before="40"/>
      </w:pPr>
      <w:r>
        <w:rPr>
          <w:rFonts w:ascii="Arial" w:cs="Arial" w:eastAsia="Arial" w:hAnsi="Arial"/>
          <w:color w:val="1A1A2E"/>
          <w:sz w:val="20"/>
          <w:szCs w:val="20"/>
        </w:rPr>
        <w:t xml:space="preserve">Scotland already has devolved NHS and education systems; operational disruption to these is likely lower than in areas where new institutions must be built from scratch.</w:t>
      </w:r>
    </w:p>
    <w:p>
      <w:pPr>
        <w:pStyle w:val="ListParagraph"/>
        <w:numPr>
          <w:ilvl w:val="0"/>
          <w:numId w:val="2"/>
        </w:numPr>
        <w:spacing w:after="40" w:before="40"/>
      </w:pPr>
      <w:r>
        <w:rPr>
          <w:rFonts w:ascii="Arial" w:cs="Arial" w:eastAsia="Arial" w:hAnsi="Arial"/>
          <w:color w:val="1A1A2E"/>
          <w:sz w:val="20"/>
          <w:szCs w:val="20"/>
        </w:rPr>
        <w:t xml:space="preserve">The main risks are: fiscal pressure on public service budgets given the deficit challenge; state pension liability uncertainty; and procurement scale losses (Scotland benefits from UK-wide NHS purchasing power and OJEU-equivalent procurement frameworks).</w:t>
      </w:r>
    </w:p>
    <w:p>
      <w:pPr>
        <w:pStyle w:val="ListParagraph"/>
        <w:numPr>
          <w:ilvl w:val="0"/>
          <w:numId w:val="2"/>
        </w:numPr>
        <w:spacing w:after="40" w:before="40"/>
      </w:pPr>
      <w:r>
        <w:rPr>
          <w:rFonts w:ascii="Arial" w:cs="Arial" w:eastAsia="Arial" w:hAnsi="Arial"/>
          <w:color w:val="1A1A2E"/>
          <w:sz w:val="20"/>
          <w:szCs w:val="20"/>
        </w:rPr>
        <w:t xml:space="preserve">UK-wide procurement advantages include: pharmaceutical buying power, military-NHS dual-use procurement, and shared technology contracting. These would need to be replicated or replaced — at higher unit cost for a smaller market.</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4. Defence &amp; Security Economics</w:t>
      </w:r>
    </w:p>
    <w:p>
      <w:pPr>
        <w:spacing w:after="80" w:before="60"/>
      </w:pPr>
      <w:r>
        <w:rPr>
          <w:rFonts w:ascii="Arial" w:cs="Arial" w:eastAsia="Arial" w:hAnsi="Arial"/>
          <w:color w:val="1A1A2E"/>
          <w:sz w:val="20"/>
          <w:szCs w:val="20"/>
        </w:rPr>
        <w:t xml:space="preserve">Defence was a significant omission in the first edition. It represents a one-off institutional cost, a recurring spending commitment, and a sector with significant Scottish employment.</w:t>
      </w:r>
    </w:p>
    <w:p>
      <w:pPr>
        <w:pStyle w:val="Heading2"/>
        <w:spacing w:after="80" w:before="280"/>
      </w:pPr>
      <w:r>
        <w:rPr>
          <w:rFonts w:ascii="Arial" w:cs="Arial" w:eastAsia="Arial" w:hAnsi="Arial"/>
          <w:b/>
          <w:bCs/>
          <w:color w:val="2E6DA4"/>
          <w:sz w:val="24"/>
          <w:szCs w:val="24"/>
        </w:rPr>
        <w:t xml:space="preserve">4.1 Current Scottish Defence Baseline</w:t>
      </w:r>
    </w:p>
    <w:p>
      <w:pPr>
        <w:pStyle w:val="ListParagraph"/>
        <w:numPr>
          <w:ilvl w:val="0"/>
          <w:numId w:val="2"/>
        </w:numPr>
        <w:spacing w:after="40" w:before="40"/>
      </w:pPr>
      <w:r>
        <w:rPr>
          <w:rFonts w:ascii="Arial" w:cs="Arial" w:eastAsia="Arial" w:hAnsi="Arial"/>
          <w:color w:val="1A1A2E"/>
          <w:sz w:val="20"/>
          <w:szCs w:val="20"/>
        </w:rPr>
        <w:t xml:space="preserve">Scotland's population share (~8.2%) of UK defence spending (£52bn in 2023/24) implies an attributed cost of approximately £4.3 billion annually.</w:t>
      </w:r>
    </w:p>
    <w:p>
      <w:pPr>
        <w:pStyle w:val="ListParagraph"/>
        <w:numPr>
          <w:ilvl w:val="0"/>
          <w:numId w:val="2"/>
        </w:numPr>
        <w:spacing w:after="40" w:before="40"/>
      </w:pPr>
      <w:r>
        <w:rPr>
          <w:rFonts w:ascii="Arial" w:cs="Arial" w:eastAsia="Arial" w:hAnsi="Arial"/>
          <w:color w:val="1A1A2E"/>
          <w:sz w:val="20"/>
          <w:szCs w:val="20"/>
        </w:rPr>
        <w:t xml:space="preserve">Scotland hosts major UK defence assets: Faslane (nuclear submarine base), RNAD Coulport (nuclear warhead storage), RAF Lossiemouth, and several major army bases.</w:t>
      </w:r>
    </w:p>
    <w:p>
      <w:pPr>
        <w:pStyle w:val="ListParagraph"/>
        <w:numPr>
          <w:ilvl w:val="0"/>
          <w:numId w:val="2"/>
        </w:numPr>
        <w:spacing w:after="40" w:before="40"/>
      </w:pPr>
      <w:r>
        <w:rPr>
          <w:rFonts w:ascii="Arial" w:cs="Arial" w:eastAsia="Arial" w:hAnsi="Arial"/>
          <w:color w:val="1A1A2E"/>
          <w:sz w:val="20"/>
          <w:szCs w:val="20"/>
        </w:rPr>
        <w:t xml:space="preserve">Defence-related employment in Scotland: approximately 15,000–17,000 military personnel and 5,000–8,000 civilian defence industry jobs.</w:t>
      </w:r>
    </w:p>
    <w:p>
      <w:pPr>
        <w:pStyle w:val="Heading2"/>
        <w:spacing w:after="80" w:before="280"/>
      </w:pPr>
      <w:r>
        <w:rPr>
          <w:rFonts w:ascii="Arial" w:cs="Arial" w:eastAsia="Arial" w:hAnsi="Arial"/>
          <w:b/>
          <w:bCs/>
          <w:color w:val="2E6DA4"/>
          <w:sz w:val="24"/>
          <w:szCs w:val="24"/>
        </w:rPr>
        <w:t xml:space="preserve">4.2 Transition Costs and Faslane</w:t>
      </w:r>
    </w:p>
    <w:p>
      <w:pPr>
        <w:pStyle w:val="ListParagraph"/>
        <w:numPr>
          <w:ilvl w:val="0"/>
          <w:numId w:val="2"/>
        </w:numPr>
        <w:spacing w:after="40" w:before="40"/>
      </w:pPr>
      <w:r>
        <w:rPr>
          <w:rFonts w:ascii="Arial" w:cs="Arial" w:eastAsia="Arial" w:hAnsi="Arial"/>
          <w:color w:val="1A1A2E"/>
          <w:sz w:val="20"/>
          <w:szCs w:val="20"/>
        </w:rPr>
        <w:t xml:space="preserve">Establishing Scottish defence forces (conventional, non-nuclear) from scratch is estimated at £1.5–3 billion in one-off costs, with ongoing commitments of approximately 1.5–2% of GDP per year (NATO guideline is 2%).</w:t>
      </w:r>
    </w:p>
    <w:p>
      <w:pPr>
        <w:pStyle w:val="ListParagraph"/>
        <w:numPr>
          <w:ilvl w:val="0"/>
          <w:numId w:val="2"/>
        </w:numPr>
        <w:spacing w:after="40" w:before="40"/>
      </w:pPr>
      <w:r>
        <w:rPr>
          <w:rFonts w:ascii="Arial" w:cs="Arial" w:eastAsia="Arial" w:hAnsi="Arial"/>
          <w:color w:val="1A1A2E"/>
          <w:sz w:val="20"/>
          <w:szCs w:val="20"/>
        </w:rPr>
        <w:t xml:space="preserve">Faslane and Coulport: The UK's nuclear deterrent depends on these facilities. An independent Scotland has indicated it would not host nuclear weapons. Negotiating the removal of Trident would be a major geopolitical event — the UK's nuclear deterrent capability would need a replacement site (none currently exists in rUK). This gives Scotland significant leverage but also makes the negotiation protracted and politically charged. Timeline to resolution: likely 5–10 years.</w:t>
      </w:r>
    </w:p>
    <w:p>
      <w:pPr>
        <w:pStyle w:val="ListParagraph"/>
        <w:numPr>
          <w:ilvl w:val="0"/>
          <w:numId w:val="2"/>
        </w:numPr>
        <w:spacing w:after="40" w:before="40"/>
      </w:pPr>
      <w:r>
        <w:rPr>
          <w:rFonts w:ascii="Arial" w:cs="Arial" w:eastAsia="Arial" w:hAnsi="Arial"/>
          <w:color w:val="1A1A2E"/>
          <w:sz w:val="20"/>
          <w:szCs w:val="20"/>
        </w:rPr>
        <w:t xml:space="preserve">The removal of Faslane would result in the loss of approximately 6,700 military and civilian jobs in Argyll &amp; Bute — a significant regional economic impact.</w:t>
      </w:r>
    </w:p>
    <w:p>
      <w:pPr>
        <w:pStyle w:val="ListParagraph"/>
        <w:numPr>
          <w:ilvl w:val="0"/>
          <w:numId w:val="2"/>
        </w:numPr>
        <w:spacing w:after="40" w:before="40"/>
      </w:pPr>
      <w:r>
        <w:rPr>
          <w:rFonts w:ascii="Arial" w:cs="Arial" w:eastAsia="Arial" w:hAnsi="Arial"/>
          <w:color w:val="1A1A2E"/>
          <w:sz w:val="20"/>
          <w:szCs w:val="20"/>
        </w:rPr>
        <w:t xml:space="preserve">Scotland would need to negotiate NATO membership separately. Given its geographic position and conventional defence capability, membership is likely but not guaranteed, particularly given nuclear policy complexity.</w:t>
      </w:r>
    </w:p>
    <w:p>
      <w:pPr>
        <w:pStyle w:val="Heading2"/>
        <w:spacing w:after="80" w:before="280"/>
      </w:pPr>
      <w:r>
        <w:rPr>
          <w:rFonts w:ascii="Arial" w:cs="Arial" w:eastAsia="Arial" w:hAnsi="Arial"/>
          <w:b/>
          <w:bCs/>
          <w:color w:val="2E6DA4"/>
          <w:sz w:val="24"/>
          <w:szCs w:val="24"/>
        </w:rPr>
        <w:t xml:space="preserve">4.3 Fiscal Assessment</w:t>
      </w:r>
    </w:p>
    <w:p>
      <w:pPr>
        <w:spacing w:after="80" w:before="60"/>
      </w:pPr>
      <w:r>
        <w:rPr>
          <w:rFonts w:ascii="Arial" w:cs="Arial" w:eastAsia="Arial" w:hAnsi="Arial"/>
          <w:color w:val="1A1A2E"/>
          <w:sz w:val="20"/>
          <w:szCs w:val="20"/>
        </w:rPr>
        <w:t xml:space="preserve">A Scottish defence budget calibrated to genuine security needs (rather than UK global power projection) could be materially lower than the per-capita UK attribution — potentially £2.5–3.5 billion per year rather than £4.3 billion. This represents a potential saving of £0.8–1.8 billion annually — partially offsetting the fiscal deficit, though far from resolving it.</w:t>
      </w:r>
    </w:p>
    <w:p>
      <w:pPr>
        <w:pStyle w:val="ListParagraph"/>
        <w:numPr>
          <w:ilvl w:val="0"/>
          <w:numId w:val="2"/>
        </w:numPr>
        <w:spacing w:after="40" w:before="40"/>
      </w:pPr>
      <w:r>
        <w:rPr>
          <w:rFonts w:ascii="Arial" w:cs="Arial" w:eastAsia="Arial" w:hAnsi="Arial"/>
          <w:color w:val="1A1A2E"/>
          <w:sz w:val="20"/>
          <w:szCs w:val="20"/>
        </w:rPr>
        <w:t xml:space="preserve">Intelligence and cybersecurity: Scotland would exit the Five Eyes intelligence-sharing arrangement as an independent state. New bilateral arrangements with rUK and NATO allies would be required. The capability gap during transition is a real national security risk.</w:t>
      </w:r>
    </w:p>
    <w:p>
      <w:pPr>
        <w:pStyle w:val="ListParagraph"/>
        <w:numPr>
          <w:ilvl w:val="0"/>
          <w:numId w:val="2"/>
        </w:numPr>
        <w:spacing w:after="40" w:before="40"/>
      </w:pPr>
      <w:r>
        <w:rPr>
          <w:rFonts w:ascii="Arial" w:cs="Arial" w:eastAsia="Arial" w:hAnsi="Arial"/>
          <w:color w:val="1A1A2E"/>
          <w:sz w:val="20"/>
          <w:szCs w:val="20"/>
        </w:rPr>
        <w:t xml:space="preserve">Border security: Scotland's land border with rUK and extensive maritime border would require new border force capability — estimated additional cost of £200–400 million annually.</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5. Fiscal Repair Modelling</w:t>
      </w:r>
    </w:p>
    <w:p>
      <w:pPr>
        <w:spacing w:after="80" w:before="60"/>
      </w:pPr>
      <w:r>
        <w:rPr>
          <w:rFonts w:ascii="Arial" w:cs="Arial" w:eastAsia="Arial" w:hAnsi="Arial"/>
          <w:color w:val="1A1A2E"/>
          <w:sz w:val="20"/>
          <w:szCs w:val="20"/>
        </w:rPr>
        <w:t xml:space="preserve">The original analysis correctly identified Scotland's structural fiscal deficit but did not model routes to closing it. This section addresses that gap.</w:t>
      </w:r>
    </w:p>
    <w:p>
      <w:pPr>
        <w:spacing w:after="80" w:before="60"/>
      </w:pPr>
      <w:r>
        <w:rPr>
          <w:rFonts w:ascii="Arial" w:cs="Arial" w:eastAsia="Arial" w:hAnsi="Arial"/>
          <w:color w:val="1A1A2E"/>
          <w:sz w:val="20"/>
          <w:szCs w:val="20"/>
        </w:rPr>
        <w:t xml:space="preserve">Starting point: A structural deficit of approximately £15–21 billion (adjusted for GERS methodological debates). For modelling purposes, a central estimate of £17 billion is used. This represents approximately 8% of Scottish GDP — a large but not unprecedented fiscal challenge for a newly independent state (comparable to Ireland post-2010 crisis, or the Baltic states post-Soviet independence).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Mechanism</w:t>
            </w:r>
          </w:p>
        </w:tc>
        <w:tc>
          <w:tcPr>
            <w:tcW w:type="dxa" w:w="18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GDP Impact</w:t>
            </w:r>
          </w:p>
        </w:tc>
        <w:tc>
          <w:tcPr>
            <w:tcW w:type="dxa" w:w="216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Political Feasibility</w:t>
            </w:r>
          </w:p>
        </w:tc>
        <w:tc>
          <w:tcPr>
            <w:tcW w:type="dxa" w:w="18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 to Stabilise</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Austerity-Led</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Deep public spending cuts (NHS, welfare, public sector pay)</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Contractionary short-term (–2 to –4%)</w:t>
            </w:r>
          </w:p>
        </w:tc>
        <w:tc>
          <w:tcPr>
            <w:tcW w:type="dxa" w:w="2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 — public backlash likely; politically difficult for newly independent government</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5–8 years</w:t>
            </w:r>
          </w:p>
        </w:tc>
      </w:tr>
      <w:tr>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Growth-Led</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single market access; investment stimulus; productivity reform</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Positive if successful, but delayed 7–10 years</w:t>
            </w:r>
          </w:p>
        </w:tc>
        <w:tc>
          <w:tcPr>
            <w:tcW w:type="dxa" w:w="216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 political appeal but dependent on EU membership timeline</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10–15 years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Tax-Led</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Income tax rises, corporation tax reform, wealth taxes, new levies</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Neutral to mildly contractionary; behavioural risk (firm relocation)</w:t>
            </w:r>
          </w:p>
        </w:tc>
        <w:tc>
          <w:tcPr>
            <w:tcW w:type="dxa" w:w="2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 — progressive mandate possible but competitiveness risk</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7–10 years</w:t>
            </w:r>
          </w:p>
        </w:tc>
      </w:tr>
      <w:tr>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Mixed (Base Case)</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Moderate spending restraint + targeted tax rises + growth investment</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Mildly contractionary initially; recovery trajectory by year 7</w:t>
            </w:r>
          </w:p>
        </w:tc>
        <w:tc>
          <w:tcPr>
            <w:tcW w:type="dxa" w:w="216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Most realistic; requires cross-party governance discipline</w:t>
            </w:r>
          </w:p>
        </w:tc>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8–12 years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External Support</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IMF programme; EU structural funds; bilateral loans</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Stabilising but conditional; austerity conditions likely</w:t>
            </w:r>
          </w:p>
        </w:tc>
        <w:tc>
          <w:tcPr>
            <w:tcW w:type="dxa" w:w="2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 political will; significant sovereignty trade-off</w:t>
            </w:r>
          </w:p>
        </w:tc>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5–7 years (conditional)</w:t>
            </w:r>
          </w:p>
        </w:tc>
      </w:tr>
    </w:tbl>
    <w:p>
      <w:pPr>
        <w:spacing w:after="80" w:before="80"/>
      </w:pPr>
      <w:r>
        <w:t xml:space="preserve"/>
      </w:r>
    </w:p>
    <w:p>
      <w:pPr>
        <w:spacing w:after="80" w:before="60"/>
      </w:pPr>
      <w:r>
        <w:rPr>
          <w:rFonts w:ascii="Arial" w:cs="Arial" w:eastAsia="Arial" w:hAnsi="Arial"/>
          <w:color w:val="1A1A2E"/>
          <w:sz w:val="20"/>
          <w:szCs w:val="20"/>
        </w:rPr>
        <w:t xml:space="preserve">Key observations from the fiscal repair analysis:</w:t>
      </w:r>
    </w:p>
    <w:p>
      <w:pPr>
        <w:pStyle w:val="ListParagraph"/>
        <w:numPr>
          <w:ilvl w:val="0"/>
          <w:numId w:val="2"/>
        </w:numPr>
        <w:spacing w:after="40" w:before="40"/>
      </w:pPr>
      <w:r>
        <w:rPr>
          <w:rFonts w:ascii="Arial" w:cs="Arial" w:eastAsia="Arial" w:hAnsi="Arial"/>
          <w:color w:val="1A1A2E"/>
          <w:sz w:val="20"/>
          <w:szCs w:val="20"/>
        </w:rPr>
        <w:t xml:space="preserve">No single route is sufficient or painless. The mixed approach is analytically most realistic but requires sustained political will across multiple parliamentary terms.</w:t>
      </w:r>
    </w:p>
    <w:p>
      <w:pPr>
        <w:pStyle w:val="ListParagraph"/>
        <w:numPr>
          <w:ilvl w:val="0"/>
          <w:numId w:val="2"/>
        </w:numPr>
        <w:spacing w:after="40" w:before="40"/>
      </w:pPr>
      <w:r>
        <w:rPr>
          <w:rFonts w:ascii="Arial" w:cs="Arial" w:eastAsia="Arial" w:hAnsi="Arial"/>
          <w:color w:val="1A1A2E"/>
          <w:sz w:val="20"/>
          <w:szCs w:val="20"/>
        </w:rPr>
        <w:t xml:space="preserve">Growth-led consolidation is the most politically attractive but has the longest lag. It is only viable if EU membership and investment inflows are secured relatively quickly.</w:t>
      </w:r>
    </w:p>
    <w:p>
      <w:pPr>
        <w:pStyle w:val="ListParagraph"/>
        <w:numPr>
          <w:ilvl w:val="0"/>
          <w:numId w:val="2"/>
        </w:numPr>
        <w:spacing w:after="40" w:before="40"/>
      </w:pPr>
      <w:r>
        <w:rPr>
          <w:rFonts w:ascii="Arial" w:cs="Arial" w:eastAsia="Arial" w:hAnsi="Arial"/>
          <w:color w:val="1A1A2E"/>
          <w:sz w:val="20"/>
          <w:szCs w:val="20"/>
        </w:rPr>
        <w:t xml:space="preserve">The sequencing matters: a newly independent Scotland cannot implement growth-led consolidation credibly unless lenders believe the fiscal trajectory is sustainable. This creates a bootstrapping problem: credibility requires demonstrated consolidation, but austerity undermines the growth case.</w:t>
      </w:r>
    </w:p>
    <w:p>
      <w:pPr>
        <w:pStyle w:val="ListParagraph"/>
        <w:numPr>
          <w:ilvl w:val="0"/>
          <w:numId w:val="2"/>
        </w:numPr>
        <w:spacing w:after="40" w:before="40"/>
      </w:pPr>
      <w:r>
        <w:rPr>
          <w:rFonts w:ascii="Arial" w:cs="Arial" w:eastAsia="Arial" w:hAnsi="Arial"/>
          <w:color w:val="1A1A2E"/>
          <w:sz w:val="20"/>
          <w:szCs w:val="20"/>
        </w:rPr>
        <w:t xml:space="preserve">OBR-style independent fiscal oversight would be essential for market credibility and is achievable — the Scottish Fiscal Commission already provides a partial model.</w:t>
      </w:r>
    </w:p>
    <w:p>
      <w:pPr>
        <w:pBdr>
          <w:left w:val="single" w:color="C8A84B" w:sz="12" w:space="4"/>
        </w:pBdr>
        <w:shd w:fill="EAF2FA" w:val="clear"/>
        <w:spacing w:after="80" w:before="80"/>
        <w:ind w:left="360"/>
      </w:pPr>
      <w:r>
        <w:rPr>
          <w:rFonts w:ascii="Arial" w:cs="Arial" w:eastAsia="Arial" w:hAnsi="Arial"/>
          <w:i/>
          <w:iCs/>
          <w:color w:val="1A1A2E"/>
          <w:sz w:val="19"/>
          <w:szCs w:val="19"/>
        </w:rPr>
        <w:t xml:space="preserve">International precedent: Estonia, Latvia, and Lithuania all achieved fiscal consolidation post-independence through a combination of spending cuts, currency board discipline, and rapid EU integration. Their starting deficits were smaller; their institutional capacity was lower. Scotland's situation is intermediate.</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6. EU Accession: Probability, Costs, and Timeline</w:t>
      </w:r>
    </w:p>
    <w:p>
      <w:pPr>
        <w:spacing w:after="80" w:before="60"/>
      </w:pPr>
      <w:r>
        <w:rPr>
          <w:rFonts w:ascii="Arial" w:cs="Arial" w:eastAsia="Arial" w:hAnsi="Arial"/>
          <w:color w:val="1A1A2E"/>
          <w:sz w:val="20"/>
          <w:szCs w:val="20"/>
        </w:rPr>
        <w:t xml:space="preserve">EU membership is frequently cited as the primary economic benefit of independence. The assumption that it would be achievable, and within a reasonable timeframe, warrants dedicated analysis.</w:t>
      </w:r>
    </w:p>
    <w:p>
      <w:pPr>
        <w:pStyle w:val="Heading2"/>
        <w:spacing w:after="80" w:before="280"/>
      </w:pPr>
      <w:r>
        <w:rPr>
          <w:rFonts w:ascii="Arial" w:cs="Arial" w:eastAsia="Arial" w:hAnsi="Arial"/>
          <w:b/>
          <w:bCs/>
          <w:color w:val="2E6DA4"/>
          <w:sz w:val="24"/>
          <w:szCs w:val="24"/>
        </w:rPr>
        <w:t xml:space="preserve">6.1 Political Barriers</w:t>
      </w:r>
    </w:p>
    <w:p>
      <w:pPr>
        <w:pStyle w:val="ListParagraph"/>
        <w:numPr>
          <w:ilvl w:val="0"/>
          <w:numId w:val="2"/>
        </w:numPr>
        <w:spacing w:after="40" w:before="40"/>
      </w:pPr>
      <w:r>
        <w:rPr>
          <w:rFonts w:ascii="Arial" w:cs="Arial" w:eastAsia="Arial" w:hAnsi="Arial"/>
          <w:color w:val="1A1A2E"/>
          <w:sz w:val="20"/>
          <w:szCs w:val="20"/>
        </w:rPr>
        <w:t xml:space="preserve">Spain: Historically opposed to any EU recognition of secessionist entities within member states (related to Catalonia). However, Scotland's independence via a legally sanctioned referendum differs from unilateral Catalan declarations — Spain's legal objection may be weaker than assumed, though political reluctance persists.</w:t>
      </w:r>
    </w:p>
    <w:p>
      <w:pPr>
        <w:pStyle w:val="ListParagraph"/>
        <w:numPr>
          <w:ilvl w:val="0"/>
          <w:numId w:val="2"/>
        </w:numPr>
        <w:spacing w:after="40" w:before="40"/>
      </w:pPr>
      <w:r>
        <w:rPr>
          <w:rFonts w:ascii="Arial" w:cs="Arial" w:eastAsia="Arial" w:hAnsi="Arial"/>
          <w:color w:val="1A1A2E"/>
          <w:sz w:val="20"/>
          <w:szCs w:val="20"/>
        </w:rPr>
        <w:t xml:space="preserve">Belgium: Similar concerns regarding Wallonia/Flanders dynamics. The position of individual Spanish and Belgian governments changes; this is not a permanent veto, but a diplomatic complication.</w:t>
      </w:r>
    </w:p>
    <w:p>
      <w:pPr>
        <w:pStyle w:val="ListParagraph"/>
        <w:numPr>
          <w:ilvl w:val="0"/>
          <w:numId w:val="2"/>
        </w:numPr>
        <w:spacing w:after="40" w:before="40"/>
      </w:pPr>
      <w:r>
        <w:rPr>
          <w:rFonts w:ascii="Arial" w:cs="Arial" w:eastAsia="Arial" w:hAnsi="Arial"/>
          <w:color w:val="1A1A2E"/>
          <w:sz w:val="20"/>
          <w:szCs w:val="20"/>
        </w:rPr>
        <w:t xml:space="preserve">Other member states: No material objections identified. The EU has strong strategic interest in a pro-EU Scotland joining — particularly post-Brexit.</w:t>
      </w:r>
    </w:p>
    <w:p>
      <w:pPr>
        <w:spacing w:after="80" w:before="60"/>
      </w:pPr>
      <w:r>
        <w:rPr>
          <w:rFonts w:ascii="Arial" w:cs="Arial" w:eastAsia="Arial" w:hAnsi="Arial"/>
          <w:color w:val="1A1A2E"/>
          <w:sz w:val="20"/>
          <w:szCs w:val="20"/>
        </w:rPr>
        <w:t xml:space="preserve">Overall probability assessment: EU membership is achievable but not guaranteed. The most likely barrier is timeline (5–15 years) rather than permanent exclusion.</w:t>
      </w:r>
    </w:p>
    <w:p>
      <w:pPr>
        <w:pStyle w:val="Heading2"/>
        <w:spacing w:after="80" w:before="280"/>
      </w:pPr>
      <w:r>
        <w:rPr>
          <w:rFonts w:ascii="Arial" w:cs="Arial" w:eastAsia="Arial" w:hAnsi="Arial"/>
          <w:b/>
          <w:bCs/>
          <w:color w:val="2E6DA4"/>
          <w:sz w:val="24"/>
          <w:szCs w:val="24"/>
        </w:rPr>
        <w:t xml:space="preserve">6.2 Euro Obligation</w:t>
      </w:r>
    </w:p>
    <w:p>
      <w:pPr>
        <w:pStyle w:val="ListParagraph"/>
        <w:numPr>
          <w:ilvl w:val="0"/>
          <w:numId w:val="2"/>
        </w:numPr>
        <w:spacing w:after="40" w:before="40"/>
      </w:pPr>
      <w:r>
        <w:rPr>
          <w:rFonts w:ascii="Arial" w:cs="Arial" w:eastAsia="Arial" w:hAnsi="Arial"/>
          <w:color w:val="1A1A2E"/>
          <w:sz w:val="20"/>
          <w:szCs w:val="20"/>
        </w:rPr>
        <w:t xml:space="preserve">All new EU member states are technically obliged to adopt the Euro as a treaty commitment. However, the path to Euro adoption requires meeting Maastricht criteria (deficit &lt;3% GDP, debt &lt;60% GDP, inflation stability, ERM-II membership for 2 years).</w:t>
      </w:r>
    </w:p>
    <w:p>
      <w:pPr>
        <w:pStyle w:val="ListParagraph"/>
        <w:numPr>
          <w:ilvl w:val="0"/>
          <w:numId w:val="2"/>
        </w:numPr>
        <w:spacing w:after="40" w:before="40"/>
      </w:pPr>
      <w:r>
        <w:rPr>
          <w:rFonts w:ascii="Arial" w:cs="Arial" w:eastAsia="Arial" w:hAnsi="Arial"/>
          <w:color w:val="1A1A2E"/>
          <w:sz w:val="20"/>
          <w:szCs w:val="20"/>
        </w:rPr>
        <w:t xml:space="preserve">Given Scotland's projected fiscal position, meeting these criteria would take a minimum of 10–15 years post-independence. In practice, Sweden has maintained its own currency for 30 years as an EU member without adopting the Euro by exploiting procedural flexibility. Scotland could plausibly follow a similar path.</w:t>
      </w:r>
    </w:p>
    <w:p>
      <w:pPr>
        <w:pStyle w:val="ListParagraph"/>
        <w:numPr>
          <w:ilvl w:val="0"/>
          <w:numId w:val="2"/>
        </w:numPr>
        <w:spacing w:after="40" w:before="40"/>
      </w:pPr>
      <w:r>
        <w:rPr>
          <w:rFonts w:ascii="Arial" w:cs="Arial" w:eastAsia="Arial" w:hAnsi="Arial"/>
          <w:color w:val="1A1A2E"/>
          <w:sz w:val="20"/>
          <w:szCs w:val="20"/>
        </w:rPr>
        <w:t xml:space="preserve">This means Scotland would likely use sterling or a new Scottish currency for a prolonged period even if EU membership were achieved.</w:t>
      </w:r>
    </w:p>
    <w:p>
      <w:pPr>
        <w:pStyle w:val="Heading2"/>
        <w:spacing w:after="80" w:before="280"/>
      </w:pPr>
      <w:r>
        <w:rPr>
          <w:rFonts w:ascii="Arial" w:cs="Arial" w:eastAsia="Arial" w:hAnsi="Arial"/>
          <w:b/>
          <w:bCs/>
          <w:color w:val="2E6DA4"/>
          <w:sz w:val="24"/>
          <w:szCs w:val="24"/>
        </w:rPr>
        <w:t xml:space="preserve">6.3 Net Budget Contribution</w:t>
      </w:r>
    </w:p>
    <w:p>
      <w:pPr>
        <w:pStyle w:val="ListParagraph"/>
        <w:numPr>
          <w:ilvl w:val="0"/>
          <w:numId w:val="2"/>
        </w:numPr>
        <w:spacing w:after="40" w:before="40"/>
      </w:pPr>
      <w:r>
        <w:rPr>
          <w:rFonts w:ascii="Arial" w:cs="Arial" w:eastAsia="Arial" w:hAnsi="Arial"/>
          <w:color w:val="1A1A2E"/>
          <w:sz w:val="20"/>
          <w:szCs w:val="20"/>
        </w:rPr>
        <w:t xml:space="preserve">Scotland's GDP per capita is broadly at EU average levels. It would therefore be a net contributor to the EU budget (unlike many recent Eastern European accession states who were net recipients).</w:t>
      </w:r>
    </w:p>
    <w:p>
      <w:pPr>
        <w:pStyle w:val="ListParagraph"/>
        <w:numPr>
          <w:ilvl w:val="0"/>
          <w:numId w:val="2"/>
        </w:numPr>
        <w:spacing w:after="40" w:before="40"/>
      </w:pPr>
      <w:r>
        <w:rPr>
          <w:rFonts w:ascii="Arial" w:cs="Arial" w:eastAsia="Arial" w:hAnsi="Arial"/>
          <w:color w:val="1A1A2E"/>
          <w:sz w:val="20"/>
          <w:szCs w:val="20"/>
        </w:rPr>
        <w:t xml:space="preserve">Estimated net contribution: approximately £1.5–2.5 billion annually — comparable to the Netherlands or Belgium at equivalent scale. This is a real fiscal cost that partially offsets the economic gains from single market access.</w:t>
      </w:r>
    </w:p>
    <w:p>
      <w:pPr>
        <w:pStyle w:val="ListParagraph"/>
        <w:numPr>
          <w:ilvl w:val="0"/>
          <w:numId w:val="2"/>
        </w:numPr>
        <w:spacing w:after="40" w:before="40"/>
      </w:pPr>
      <w:r>
        <w:rPr>
          <w:rFonts w:ascii="Arial" w:cs="Arial" w:eastAsia="Arial" w:hAnsi="Arial"/>
          <w:color w:val="1A1A2E"/>
          <w:sz w:val="20"/>
          <w:szCs w:val="20"/>
        </w:rPr>
        <w:t xml:space="preserve">Scotland might qualify for some EU cohesion and structural funds in specific regions (the Highlands, for example), but not at a scale that offsets net contribution.</w:t>
      </w:r>
    </w:p>
    <w:p>
      <w:pPr>
        <w:pStyle w:val="Heading2"/>
        <w:spacing w:after="80" w:before="280"/>
      </w:pPr>
      <w:r>
        <w:rPr>
          <w:rFonts w:ascii="Arial" w:cs="Arial" w:eastAsia="Arial" w:hAnsi="Arial"/>
          <w:b/>
          <w:bCs/>
          <w:color w:val="2E6DA4"/>
          <w:sz w:val="24"/>
          <w:szCs w:val="24"/>
        </w:rPr>
        <w:t xml:space="preserve">6.4 CAP, Fisheries, and State Aid</w:t>
      </w:r>
    </w:p>
    <w:p>
      <w:pPr>
        <w:pStyle w:val="ListParagraph"/>
        <w:numPr>
          <w:ilvl w:val="0"/>
          <w:numId w:val="2"/>
        </w:numPr>
        <w:spacing w:after="40" w:before="40"/>
      </w:pPr>
      <w:r>
        <w:rPr>
          <w:rFonts w:ascii="Arial" w:cs="Arial" w:eastAsia="Arial" w:hAnsi="Arial"/>
          <w:color w:val="1A1A2E"/>
          <w:sz w:val="20"/>
          <w:szCs w:val="20"/>
        </w:rPr>
        <w:t xml:space="preserve">Under EU membership, Scotland would adopt the Common Agricultural Policy — replacing the post-Brexit UK Agricultural Policy. CAP subsidy levels and conditionality differ; the transition would be disruptive for farmers accustomed to UK-style payments.</w:t>
      </w:r>
    </w:p>
    <w:p>
      <w:pPr>
        <w:pStyle w:val="ListParagraph"/>
        <w:numPr>
          <w:ilvl w:val="0"/>
          <w:numId w:val="2"/>
        </w:numPr>
        <w:spacing w:after="40" w:before="40"/>
      </w:pPr>
      <w:r>
        <w:rPr>
          <w:rFonts w:ascii="Arial" w:cs="Arial" w:eastAsia="Arial" w:hAnsi="Arial"/>
          <w:color w:val="1A1A2E"/>
          <w:sz w:val="20"/>
          <w:szCs w:val="20"/>
        </w:rPr>
        <w:t xml:space="preserve">Fisheries: Scotland would rejoin the Common Fisheries Policy, ceding some sovereignty over its waters in exchange for EU market access. This is a genuine trade-off — Scottish fishermen were significant Brexit supporters precisely because of CFP resentment.</w:t>
      </w:r>
    </w:p>
    <w:p>
      <w:pPr>
        <w:pStyle w:val="ListParagraph"/>
        <w:numPr>
          <w:ilvl w:val="0"/>
          <w:numId w:val="2"/>
        </w:numPr>
        <w:spacing w:after="40" w:before="40"/>
      </w:pPr>
      <w:r>
        <w:rPr>
          <w:rFonts w:ascii="Arial" w:cs="Arial" w:eastAsia="Arial" w:hAnsi="Arial"/>
          <w:color w:val="1A1A2E"/>
          <w:sz w:val="20"/>
          <w:szCs w:val="20"/>
        </w:rPr>
        <w:t xml:space="preserve">State aid rules: EU state aid discipline would constrain Scotland's ability to subsidise domestic industries — including energy, manufacturing, and potentially financial services. This limits the scope for the kind of industrial policy that some independence proponents envision.</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7. Household-Level Economic Impacts</w:t>
      </w:r>
    </w:p>
    <w:p>
      <w:pPr>
        <w:spacing w:after="80" w:before="60"/>
      </w:pPr>
      <w:r>
        <w:rPr>
          <w:rFonts w:ascii="Arial" w:cs="Arial" w:eastAsia="Arial" w:hAnsi="Arial"/>
          <w:color w:val="1A1A2E"/>
          <w:sz w:val="20"/>
          <w:szCs w:val="20"/>
        </w:rPr>
        <w:t xml:space="preserve">Macroeconomic analysis captures GDP, trade, and fiscal aggregates, but citizens experience independence through mortgages, wages, pensions, and prices. This section addresses that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rPr>
          <w:tblHeader/>
        </w:trPr>
        <w:tc>
          <w:tcPr>
            <w:tcW w:type="dxa" w:w="18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28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Likely Direction</w:t>
            </w:r>
          </w:p>
        </w:tc>
        <w:tc>
          <w:tcPr>
            <w:tcW w:type="dxa" w:w="228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Risk Factors</w:t>
            </w:r>
          </w:p>
        </w:tc>
        <w:tc>
          <w:tcPr>
            <w:tcW w:type="dxa" w:w="30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Mortgage costs</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Initially higher (50–150bps)</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Currency uncertainty adds risk premium; BoE backstop lost; lender appetite reduced</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 — depends heavily on currency choice</w:t>
            </w:r>
          </w:p>
        </w:tc>
      </w:tr>
      <w:tr>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State pension</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8B6914"/>
                <w:sz w:val="18"/>
                <w:szCs w:val="18"/>
              </w:rPr>
              <w:t xml:space="preserve">Uncertain — requires new Scottish framework</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rUK/Scotland liability split negotiation; Scottish Government fiscal capacity; indexation model</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 — highly negotiation-dependent</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Occupational pensions</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At risk during transition</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Cross-border pension fund rules change; deficits may be crystallised; regulatory gap</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Medium-High risk — Brexit precedent shows complexity</w:t>
            </w:r>
          </w:p>
        </w:tc>
      </w:tr>
      <w:tr>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Savings &amp; deposits</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Short-term uncertainty; FSCS replacement needed</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Deposit guarantee scheme must be established; BoE backstop removed; bank relocation reduces coverage</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 risk during transition window</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Wages</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8B6914"/>
                <w:sz w:val="18"/>
                <w:szCs w:val="18"/>
              </w:rPr>
              <w:t xml:space="preserve">Sector-dependent — divergent outcomes</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Financial services: likely fall; renewables/tech: likely rise; public sector: depends on fiscal path</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 — high variance across workforce</w:t>
            </w:r>
          </w:p>
        </w:tc>
      </w:tr>
      <w:tr>
        <w:tc>
          <w:tcPr>
            <w:tcW w:type="dxa" w:w="18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Inflation</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Moderate-to-high risk in transition period</w:t>
            </w:r>
          </w:p>
        </w:tc>
        <w:tc>
          <w:tcPr>
            <w:tcW w:type="dxa" w:w="22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Currency depreciation passes through to import prices; supply chain disruption; energy price changes</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 — managed currency reduces but does not eliminate risk</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Income inequality</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Risk of widening initially</w:t>
            </w:r>
          </w:p>
        </w:tc>
        <w:tc>
          <w:tcPr>
            <w:tcW w:type="dxa" w:w="22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Public sector cuts disproportionately affect lower-income groups; high earners more mobile; currency risk concentrated</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 — policy-dependent</w:t>
            </w:r>
          </w:p>
        </w:tc>
      </w:tr>
    </w:tbl>
    <w:p>
      <w:pPr>
        <w:spacing w:after="80" w:before="80"/>
      </w:pPr>
      <w:r>
        <w:t xml:space="preserve"/>
      </w:r>
    </w:p>
    <w:p>
      <w:pPr>
        <w:pStyle w:val="Heading2"/>
        <w:spacing w:after="80" w:before="280"/>
      </w:pPr>
      <w:r>
        <w:rPr>
          <w:rFonts w:ascii="Arial" w:cs="Arial" w:eastAsia="Arial" w:hAnsi="Arial"/>
          <w:b/>
          <w:bCs/>
          <w:color w:val="2E6DA4"/>
          <w:sz w:val="24"/>
          <w:szCs w:val="24"/>
        </w:rPr>
        <w:t xml:space="preserve">7.1 Distributional Effects</w:t>
      </w:r>
    </w:p>
    <w:p>
      <w:pPr>
        <w:spacing w:after="80" w:before="60"/>
      </w:pPr>
      <w:r>
        <w:rPr>
          <w:rFonts w:ascii="Arial" w:cs="Arial" w:eastAsia="Arial" w:hAnsi="Arial"/>
          <w:color w:val="1A1A2E"/>
          <w:sz w:val="20"/>
          <w:szCs w:val="20"/>
        </w:rPr>
        <w:t xml:space="preserve">Independence is unlikely to affect all income groups equally:</w:t>
      </w:r>
    </w:p>
    <w:p>
      <w:pPr>
        <w:pStyle w:val="ListParagraph"/>
        <w:numPr>
          <w:ilvl w:val="0"/>
          <w:numId w:val="2"/>
        </w:numPr>
        <w:spacing w:after="40" w:before="40"/>
      </w:pPr>
      <w:r>
        <w:rPr>
          <w:rFonts w:ascii="Arial" w:cs="Arial" w:eastAsia="Arial" w:hAnsi="Arial"/>
          <w:color w:val="1A1A2E"/>
          <w:sz w:val="20"/>
          <w:szCs w:val="20"/>
        </w:rPr>
        <w:t xml:space="preserve">Higher earners: More likely to have investment portfolios, international mobility, and employer-sponsored pensions that can adapt. More exposed to income tax changes if Scotland raises rates to consolidate. Also more likely to relocate if economic conditions deteriorate.</w:t>
      </w:r>
    </w:p>
    <w:p>
      <w:pPr>
        <w:pStyle w:val="ListParagraph"/>
        <w:numPr>
          <w:ilvl w:val="0"/>
          <w:numId w:val="2"/>
        </w:numPr>
        <w:spacing w:after="40" w:before="40"/>
      </w:pPr>
      <w:r>
        <w:rPr>
          <w:rFonts w:ascii="Arial" w:cs="Arial" w:eastAsia="Arial" w:hAnsi="Arial"/>
          <w:color w:val="1A1A2E"/>
          <w:sz w:val="20"/>
          <w:szCs w:val="20"/>
        </w:rPr>
        <w:t xml:space="preserve">Middle-income households: Most exposed to mortgage repricing and pension uncertainty. State pension continuity is particularly important for this group. Employment stability in public sector roles (large employer in Scotland) is a key variable.</w:t>
      </w:r>
    </w:p>
    <w:p>
      <w:pPr>
        <w:pStyle w:val="ListParagraph"/>
        <w:numPr>
          <w:ilvl w:val="0"/>
          <w:numId w:val="2"/>
        </w:numPr>
        <w:spacing w:after="40" w:before="40"/>
      </w:pPr>
      <w:r>
        <w:rPr>
          <w:rFonts w:ascii="Arial" w:cs="Arial" w:eastAsia="Arial" w:hAnsi="Arial"/>
          <w:color w:val="1A1A2E"/>
          <w:sz w:val="20"/>
          <w:szCs w:val="20"/>
        </w:rPr>
        <w:t xml:space="preserve">Lower-income households: Most dependent on welfare and public services; most exposed to austerity scenarios. Least able to self-insure against transition uncertainty. Also benefit most from any improvements in public service delivery or progressive redistribution post-independence.</w:t>
      </w:r>
    </w:p>
    <w:p>
      <w:pPr>
        <w:spacing w:after="80" w:before="60"/>
      </w:pPr>
      <w:r>
        <w:rPr>
          <w:rFonts w:ascii="Arial" w:cs="Arial" w:eastAsia="Arial" w:hAnsi="Arial"/>
          <w:color w:val="1A1A2E"/>
          <w:sz w:val="20"/>
          <w:szCs w:val="20"/>
        </w:rPr>
        <w:t xml:space="preserve">Inequality risk: Short-term transition costs tend to be regressive (inflation, public service cuts disproportionately affect lower-income groups). Long-term outcomes are policy-dependent and could be progressive if an independent Scotland chooses redistributive fiscal frameworks.</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8. Sector-by-Sector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020"/>
        <w:gridCol w:w="2020"/>
        <w:gridCol w:w="2420"/>
      </w:tblGrid>
      <w:tr>
        <w:trPr>
          <w:tblHeader/>
        </w:trPr>
        <w:tc>
          <w:tcPr>
            <w:tcW w:type="dxa" w:w="15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14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Outlook</w:t>
            </w:r>
          </w:p>
        </w:tc>
        <w:tc>
          <w:tcPr>
            <w:tcW w:type="dxa" w:w="202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Short-term (0–3 yrs)</w:t>
            </w:r>
          </w:p>
        </w:tc>
        <w:tc>
          <w:tcPr>
            <w:tcW w:type="dxa" w:w="202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Medium-term (3–10 yrs)</w:t>
            </w:r>
          </w:p>
        </w:tc>
        <w:tc>
          <w:tcPr>
            <w:tcW w:type="dxa" w:w="242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Long-term (10+ yrs)</w:t>
            </w:r>
          </w:p>
        </w:tc>
      </w:tr>
      <w:tr>
        <w:tc>
          <w:tcPr>
            <w:tcW w:type="dxa" w:w="1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Financial Services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 RISK</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Relocation of HQs likely; Bank of England backstop lost; regulatory uncertainty; higher funding costs</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Permanent loss of some activity; possible stabilisation if Scottish regulatory framework credible</w:t>
            </w:r>
          </w:p>
        </w:tc>
        <w:tc>
          <w:tcPr>
            <w:tcW w:type="dxa" w:w="24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Niche strengths (asset management, fintech) possible; scale permanently reduced vs status quo</w:t>
            </w:r>
          </w:p>
        </w:tc>
      </w:tr>
      <w:tr>
        <w:tc>
          <w:tcPr>
            <w:tcW w:type="dxa" w:w="15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Energy – Oil &amp; Gas</w:t>
            </w:r>
          </w:p>
        </w:tc>
        <w:tc>
          <w:tcPr>
            <w:tcW w:type="dxa" w:w="14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C0392B"/>
                <w:sz w:val="18"/>
                <w:szCs w:val="18"/>
              </w:rPr>
              <w:t xml:space="preserve">DECLINING</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Windfall if transition at high prices; Scotland absorbs all decommissioning liability (~£20bn+)</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Accelerating basin maturity; revenues falling structurally; OBR projects near-zero by 2040s</w:t>
            </w:r>
          </w:p>
        </w:tc>
        <w:tc>
          <w:tcPr>
            <w:tcW w:type="dxa" w:w="24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Minimal contribution; legacy decommissioning cost persists</w:t>
            </w:r>
          </w:p>
        </w:tc>
      </w:tr>
      <w:tr>
        <w:tc>
          <w:tcPr>
            <w:tcW w:type="dxa" w:w="1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Energy – Renewables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6B3A"/>
                <w:sz w:val="18"/>
                <w:szCs w:val="18"/>
              </w:rPr>
              <w:t xml:space="preserve">CONDITIONAL POSITIVE</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Grid investment required; export mechanisms unresolved; revenue capture depends on ownership model</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Export revenues grow if interconnectors built; green FDI attraction likely</w:t>
            </w:r>
          </w:p>
        </w:tc>
        <w:tc>
          <w:tcPr>
            <w:tcW w:type="dxa" w:w="24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Major structural positive if profit-capture framework is publicly beneficial</w:t>
            </w:r>
          </w:p>
        </w:tc>
      </w:tr>
      <w:tr>
        <w:tc>
          <w:tcPr>
            <w:tcW w:type="dxa" w:w="15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Defence &amp; Security</w:t>
            </w:r>
          </w:p>
        </w:tc>
        <w:tc>
          <w:tcPr>
            <w:tcW w:type="dxa" w:w="14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8B6914"/>
                <w:sz w:val="18"/>
                <w:szCs w:val="18"/>
              </w:rPr>
              <w:t xml:space="preserve">TRANSITION RISK</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Setup costs £1.5–3bn; loss of UK defence contracts; Faslane negotiation; intelligence gap</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New Scottish defence posture established; some loss of high-skilled defence employment</w:t>
            </w:r>
          </w:p>
        </w:tc>
        <w:tc>
          <w:tcPr>
            <w:tcW w:type="dxa" w:w="24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Sustainable at ~2% GDP; ongoing NATO cost; nuclear-free dividend possible</w:t>
            </w:r>
          </w:p>
        </w:tc>
      </w:tr>
      <w:tr>
        <w:tc>
          <w:tcPr>
            <w:tcW w:type="dxa" w:w="1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Manufacturing</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8B6914"/>
                <w:sz w:val="18"/>
                <w:szCs w:val="18"/>
              </w:rPr>
              <w:t xml:space="preserve">NEUTRAL–NEGATIVE</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Supply chain disruption; rUK border costs; currency uncertainty delays investment</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Adjustment to new regulatory regimes; some permanent relocation of UK-facing firms</w:t>
            </w:r>
          </w:p>
        </w:tc>
        <w:tc>
          <w:tcPr>
            <w:tcW w:type="dxa" w:w="24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Trade agreement-dependent; competitive if exchange rate adjusts</w:t>
            </w:r>
          </w:p>
        </w:tc>
      </w:tr>
      <w:tr>
        <w:tc>
          <w:tcPr>
            <w:tcW w:type="dxa" w:w="15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Technology &amp; AI</w:t>
            </w:r>
          </w:p>
        </w:tc>
        <w:tc>
          <w:tcPr>
            <w:tcW w:type="dxa" w:w="14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8B6914"/>
                <w:sz w:val="18"/>
                <w:szCs w:val="18"/>
              </w:rPr>
              <w:t xml:space="preserve">CAUTIOUSLY POSITIVE</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Talent mobility uncertainty; investment pause during transition</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digital single market access beneficial; Scottish tech clusters could strengthen</w:t>
            </w:r>
          </w:p>
        </w:tc>
        <w:tc>
          <w:tcPr>
            <w:tcW w:type="dxa" w:w="24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Positive if skilled migration and R&amp;D policy are effective</w:t>
            </w:r>
          </w:p>
        </w:tc>
      </w:tr>
      <w:tr>
        <w:tc>
          <w:tcPr>
            <w:tcW w:type="dxa" w:w="1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Agriculture &amp; Fisheries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8B6914"/>
                <w:sz w:val="18"/>
                <w:szCs w:val="18"/>
              </w:rPr>
              <w:t xml:space="preserve">MIXED</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Subsidy disruption; UK market access uncertainty; fishing quota renegotiation</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New CAP-equivalent required; EU market access beneficial; fisheries policy design opportunity</w:t>
            </w:r>
          </w:p>
        </w:tc>
        <w:tc>
          <w:tcPr>
            <w:tcW w:type="dxa" w:w="24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Bespoke policy possible; EU access net positive for fisheries</w:t>
            </w:r>
          </w:p>
        </w:tc>
      </w:tr>
      <w:tr>
        <w:tc>
          <w:tcPr>
            <w:tcW w:type="dxa" w:w="15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Tourism</w:t>
            </w:r>
          </w:p>
        </w:tc>
        <w:tc>
          <w:tcPr>
            <w:tcW w:type="dxa" w:w="14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6B3A"/>
                <w:sz w:val="18"/>
                <w:szCs w:val="18"/>
              </w:rPr>
              <w:t xml:space="preserve">MODEST POSITIVE</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Currency friction may deter rUK visitors short-term</w:t>
            </w:r>
          </w:p>
        </w:tc>
        <w:tc>
          <w:tcPr>
            <w:tcW w:type="dxa" w:w="20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Independent brand differentiation; international visitor growth</w:t>
            </w:r>
          </w:p>
        </w:tc>
        <w:tc>
          <w:tcPr>
            <w:tcW w:type="dxa" w:w="242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Net positive if exchange rate is competitive and connectivity maintained</w:t>
            </w:r>
          </w:p>
        </w:tc>
      </w:tr>
      <w:tr>
        <w:tc>
          <w:tcPr>
            <w:tcW w:type="dxa" w:w="1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Public Sector</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C0392B"/>
                <w:sz w:val="18"/>
                <w:szCs w:val="18"/>
              </w:rPr>
              <w:t xml:space="preserve">HIGH TRANSITION RISK</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Institutional duplication; significant one-off setup costs; procurement disruption</w:t>
            </w:r>
          </w:p>
        </w:tc>
        <w:tc>
          <w:tcPr>
            <w:tcW w:type="dxa" w:w="20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Rationalisation; new institutions bedded in; efficiency review possible</w:t>
            </w:r>
          </w:p>
        </w:tc>
        <w:tc>
          <w:tcPr>
            <w:tcW w:type="dxa" w:w="242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Smaller but potentially more efficient government; depends on fiscal consolidation path</w:t>
            </w:r>
          </w:p>
        </w:tc>
      </w:tr>
    </w:tbl>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9.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rPr>
          <w:tblHeader/>
        </w:trPr>
        <w:tc>
          <w:tcPr>
            <w:tcW w:type="dxa" w:w="144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640"/>
            <w:tcBorders>
              <w:top w:val="single" w:color="AACCE0" w:sz="1"/>
              <w:left w:val="single" w:color="AACCE0" w:sz="1"/>
              <w:bottom w:val="single" w:color="AACCE0" w:sz="1"/>
              <w:right w:val="single" w:color="AACCE0" w:sz="1"/>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Optimistic</w:t>
            </w:r>
          </w:p>
        </w:tc>
        <w:tc>
          <w:tcPr>
            <w:tcW w:type="dxa" w:w="2640"/>
            <w:tcBorders>
              <w:top w:val="single" w:color="AACCE0" w:sz="1"/>
              <w:left w:val="single" w:color="AACCE0" w:sz="1"/>
              <w:bottom w:val="single" w:color="AACCE0" w:sz="1"/>
              <w:right w:val="single" w:color="AACCE0"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Central / Base Case</w:t>
            </w:r>
          </w:p>
        </w:tc>
        <w:tc>
          <w:tcPr>
            <w:tcW w:type="dxa" w:w="2640"/>
            <w:tcBorders>
              <w:top w:val="single" w:color="AACCE0" w:sz="1"/>
              <w:left w:val="single" w:color="AACCE0" w:sz="1"/>
              <w:bottom w:val="single" w:color="AACCE0" w:sz="1"/>
              <w:right w:val="single" w:color="AACCE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Pessimistic</w:t>
            </w:r>
          </w:p>
        </w:tc>
      </w:tr>
      <w:tr>
        <w:tc>
          <w:tcPr>
            <w:tcW w:type="dxa" w:w="14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Key Assumptions</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membership within 5 years; cooperative rUK transition; credible new currency; strong FDI inflows; effective fiscal consolidation</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access via EEA (5–10 yr horizon); moderate rUK border friction; sterlingisation initially; partial financial sector relocation</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membership delayed 10+ years or blocked; adversarial rUK transition; currency crisis; capital outflow; high trade friction</w:t>
            </w:r>
          </w:p>
        </w:tc>
      </w:tr>
      <w:tr>
        <w:tc>
          <w:tcPr>
            <w:tcW w:type="dxa" w:w="14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GDP Impact
(vs baseline)</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+2–5% over 10 years (EU dividend and policy flexibility outweigh transition costs)</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 to –8% in years 1–5; gradual recovery; broadly neutral by year 10</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–10% to –15%+ with prolonged recovery; possible decade-long output gap</w:t>
            </w:r>
          </w:p>
        </w:tc>
      </w:tr>
      <w:tr>
        <w:tc>
          <w:tcPr>
            <w:tcW w:type="dxa" w:w="14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Employment</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Net positive via EU labour mobility and green energy jobs; financial sector partially offset by tech/energy growth</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Short-term job losses in financial services and public sector; medium-term stabilisation; net negative vs counterfactual</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Structural unemployment rise; financial sector exodus; limited job creation to offset</w:t>
            </w:r>
          </w:p>
        </w:tc>
      </w:tr>
      <w:tr>
        <w:tc>
          <w:tcPr>
            <w:tcW w:type="dxa" w:w="14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Public Finance Stability</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Deficit reduced via revenue growth, EU structural funds, and moderate fiscal consolidation</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Deficit remains elevated 5–7 years; borrowing costs moderately higher; slow consolidation path</w:t>
            </w:r>
          </w:p>
        </w:tc>
        <w:tc>
          <w:tcPr>
            <w:tcW w:type="dxa" w:w="26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Fiscal crisis; severe austerity or debt restructuring; possible IMF engagement</w:t>
            </w:r>
          </w:p>
        </w:tc>
      </w:tr>
      <w:tr>
        <w:tc>
          <w:tcPr>
            <w:tcW w:type="dxa" w:w="14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Household Impact</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Gradual improvement; mortgages stable once currency settled; real wages rise with EU access</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Mortgage costs rise 50–150bps initially; pension uncertainty for 5–10 years; modest inflation spike</w:t>
            </w:r>
          </w:p>
        </w:tc>
        <w:tc>
          <w:tcPr>
            <w:tcW w:type="dxa" w:w="26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Sharp mortgage repricing; pension fund instability; sustained inflation; real wages fall 5–10%</w:t>
            </w:r>
          </w:p>
        </w:tc>
      </w:tr>
    </w:tbl>
    <w:p>
      <w:pPr>
        <w:spacing w:after="80" w:before="80"/>
      </w:pPr>
      <w:r>
        <w:t xml:space="preserve"/>
      </w:r>
    </w:p>
    <w:p>
      <w:pPr>
        <w:spacing w:after="80" w:before="60"/>
      </w:pPr>
      <w:r>
        <w:rPr>
          <w:rFonts w:ascii="Arial" w:cs="Arial" w:eastAsia="Arial" w:hAnsi="Arial"/>
          <w:color w:val="1A1A2E"/>
          <w:sz w:val="20"/>
          <w:szCs w:val="20"/>
        </w:rPr>
        <w:t xml:space="preserve">Note: GDP impact ranges are directional, drawn from comparable constitutional transition literature (IFS Brexit analysis, IMF small open economy modelling, Baltic states post-Soviet independence). They are not point forecasts; uncertainty bands are wide and outcomes are path-dependent.</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10. Transition Costs &amp; Practical Implementation</w:t>
      </w:r>
    </w:p>
    <w:p>
      <w:pPr>
        <w:pStyle w:val="Heading2"/>
        <w:spacing w:after="80" w:before="280"/>
      </w:pPr>
      <w:r>
        <w:rPr>
          <w:rFonts w:ascii="Arial" w:cs="Arial" w:eastAsia="Arial" w:hAnsi="Arial"/>
          <w:b/>
          <w:bCs/>
          <w:color w:val="2E6DA4"/>
          <w:sz w:val="24"/>
          <w:szCs w:val="24"/>
        </w:rPr>
        <w:t xml:space="preserve">10.1 One-Off Institutional Costs</w:t>
      </w:r>
    </w:p>
    <w:p>
      <w:pPr>
        <w:spacing w:after="80" w:before="60"/>
      </w:pPr>
      <w:r>
        <w:rPr>
          <w:rFonts w:ascii="Arial" w:cs="Arial" w:eastAsia="Arial" w:hAnsi="Arial"/>
          <w:color w:val="1A1A2E"/>
          <w:sz w:val="20"/>
          <w:szCs w:val="20"/>
        </w:rPr>
        <w:t xml:space="preserve">Establishing a fully independent state requires building or significantly expanding institutions currently operating at UK level:</w:t>
      </w:r>
    </w:p>
    <w:p>
      <w:pPr>
        <w:pStyle w:val="ListParagraph"/>
        <w:numPr>
          <w:ilvl w:val="0"/>
          <w:numId w:val="2"/>
        </w:numPr>
        <w:spacing w:after="40" w:before="40"/>
      </w:pPr>
      <w:r>
        <w:rPr>
          <w:rFonts w:ascii="Arial" w:cs="Arial" w:eastAsia="Arial" w:hAnsi="Arial"/>
          <w:color w:val="1A1A2E"/>
          <w:sz w:val="20"/>
          <w:szCs w:val="20"/>
        </w:rPr>
        <w:t xml:space="preserve">Central bank / monetary authority: £1–2 billion in capitalisation and infrastructure</w:t>
      </w:r>
    </w:p>
    <w:p>
      <w:pPr>
        <w:pStyle w:val="ListParagraph"/>
        <w:numPr>
          <w:ilvl w:val="0"/>
          <w:numId w:val="2"/>
        </w:numPr>
        <w:spacing w:after="40" w:before="40"/>
      </w:pPr>
      <w:r>
        <w:rPr>
          <w:rFonts w:ascii="Arial" w:cs="Arial" w:eastAsia="Arial" w:hAnsi="Arial"/>
          <w:color w:val="1A1A2E"/>
          <w:sz w:val="20"/>
          <w:szCs w:val="20"/>
        </w:rPr>
        <w:t xml:space="preserve">Border and customs infrastructure: £1–3 billion (informed by post-Brexit UK experience)</w:t>
      </w:r>
    </w:p>
    <w:p>
      <w:pPr>
        <w:pStyle w:val="ListParagraph"/>
        <w:numPr>
          <w:ilvl w:val="0"/>
          <w:numId w:val="2"/>
        </w:numPr>
        <w:spacing w:after="40" w:before="40"/>
      </w:pPr>
      <w:r>
        <w:rPr>
          <w:rFonts w:ascii="Arial" w:cs="Arial" w:eastAsia="Arial" w:hAnsi="Arial"/>
          <w:color w:val="1A1A2E"/>
          <w:sz w:val="20"/>
          <w:szCs w:val="20"/>
        </w:rPr>
        <w:t xml:space="preserve">Defence establishment and intelligence services: £1.5–3 billion</w:t>
      </w:r>
    </w:p>
    <w:p>
      <w:pPr>
        <w:pStyle w:val="ListParagraph"/>
        <w:numPr>
          <w:ilvl w:val="0"/>
          <w:numId w:val="2"/>
        </w:numPr>
        <w:spacing w:after="40" w:before="40"/>
      </w:pPr>
      <w:r>
        <w:rPr>
          <w:rFonts w:ascii="Arial" w:cs="Arial" w:eastAsia="Arial" w:hAnsi="Arial"/>
          <w:color w:val="1A1A2E"/>
          <w:sz w:val="20"/>
          <w:szCs w:val="20"/>
        </w:rPr>
        <w:t xml:space="preserve">Revenue authority (HMRC replacement): £300–500 million</w:t>
      </w:r>
    </w:p>
    <w:p>
      <w:pPr>
        <w:pStyle w:val="ListParagraph"/>
        <w:numPr>
          <w:ilvl w:val="0"/>
          <w:numId w:val="2"/>
        </w:numPr>
        <w:spacing w:after="40" w:before="40"/>
      </w:pPr>
      <w:r>
        <w:rPr>
          <w:rFonts w:ascii="Arial" w:cs="Arial" w:eastAsia="Arial" w:hAnsi="Arial"/>
          <w:color w:val="1A1A2E"/>
          <w:sz w:val="20"/>
          <w:szCs w:val="20"/>
        </w:rPr>
        <w:t xml:space="preserve">Social security administration (DWP replacement): £400–600 million</w:t>
      </w:r>
    </w:p>
    <w:p>
      <w:pPr>
        <w:pStyle w:val="ListParagraph"/>
        <w:numPr>
          <w:ilvl w:val="0"/>
          <w:numId w:val="2"/>
        </w:numPr>
        <w:spacing w:after="40" w:before="40"/>
      </w:pPr>
      <w:r>
        <w:rPr>
          <w:rFonts w:ascii="Arial" w:cs="Arial" w:eastAsia="Arial" w:hAnsi="Arial"/>
          <w:color w:val="1A1A2E"/>
          <w:sz w:val="20"/>
          <w:szCs w:val="20"/>
        </w:rPr>
        <w:t xml:space="preserve">Diplomatic network: £100–200 million</w:t>
      </w:r>
    </w:p>
    <w:p>
      <w:pPr>
        <w:pStyle w:val="ListParagraph"/>
        <w:numPr>
          <w:ilvl w:val="0"/>
          <w:numId w:val="2"/>
        </w:numPr>
        <w:spacing w:after="40" w:before="40"/>
      </w:pPr>
      <w:r>
        <w:rPr>
          <w:rFonts w:ascii="Arial" w:cs="Arial" w:eastAsia="Arial" w:hAnsi="Arial"/>
          <w:color w:val="1A1A2E"/>
          <w:sz w:val="20"/>
          <w:szCs w:val="20"/>
        </w:rPr>
        <w:t xml:space="preserve">Regulatory bodies (financial services, utilities, competition, food standards): £200–400 million</w:t>
      </w:r>
    </w:p>
    <w:p>
      <w:pPr>
        <w:spacing w:after="80" w:before="60"/>
      </w:pPr>
      <w:r>
        <w:rPr>
          <w:rFonts w:ascii="Arial" w:cs="Arial" w:eastAsia="Arial" w:hAnsi="Arial"/>
          <w:color w:val="1A1A2E"/>
          <w:sz w:val="20"/>
          <w:szCs w:val="20"/>
        </w:rPr>
        <w:t xml:space="preserve">Total estimated one-off transition cost: £4.5–9.7 billion, spread over 5–10 years. This represents approximately 2–5% of one year's Scottish GDP. The Scottish Government's 2013 estimate of ~£200 million is not credible; independent analysts consistently arrive at figures an order of magnitude higher.</w:t>
      </w:r>
    </w:p>
    <w:p>
      <w:pPr>
        <w:pStyle w:val="Heading2"/>
        <w:spacing w:after="80" w:before="280"/>
      </w:pPr>
      <w:r>
        <w:rPr>
          <w:rFonts w:ascii="Arial" w:cs="Arial" w:eastAsia="Arial" w:hAnsi="Arial"/>
          <w:b/>
          <w:bCs/>
          <w:color w:val="2E6DA4"/>
          <w:sz w:val="24"/>
          <w:szCs w:val="24"/>
        </w:rPr>
        <w:t xml:space="preserve">10.2 Governance Sequencing</w:t>
      </w:r>
    </w:p>
    <w:p>
      <w:pPr>
        <w:spacing w:after="80" w:before="60"/>
      </w:pPr>
      <w:r>
        <w:rPr>
          <w:rFonts w:ascii="Arial" w:cs="Arial" w:eastAsia="Arial" w:hAnsi="Arial"/>
          <w:color w:val="1A1A2E"/>
          <w:sz w:val="20"/>
          <w:szCs w:val="20"/>
        </w:rPr>
        <w:t xml:space="preserve">Not all institutions can be built simultaneously. Priority sequencing matters to avoid governance gaps and market panic:</w:t>
      </w:r>
    </w:p>
    <w:p>
      <w:pPr>
        <w:pStyle w:val="ListParagraph"/>
        <w:numPr>
          <w:ilvl w:val="0"/>
          <w:numId w:val="2"/>
        </w:numPr>
        <w:spacing w:after="40" w:before="40"/>
      </w:pPr>
      <w:r>
        <w:rPr>
          <w:rFonts w:ascii="Arial" w:cs="Arial" w:eastAsia="Arial" w:hAnsi="Arial"/>
          <w:color w:val="1A1A2E"/>
          <w:sz w:val="20"/>
          <w:szCs w:val="20"/>
        </w:rPr>
        <w:t xml:space="preserve">Tier 1 (Day 1 capability): Revenue collection, border security basics, deposit guarantee scheme, emergency financial stability arrangements, social security payments</w:t>
      </w:r>
    </w:p>
    <w:p>
      <w:pPr>
        <w:pStyle w:val="ListParagraph"/>
        <w:numPr>
          <w:ilvl w:val="0"/>
          <w:numId w:val="2"/>
        </w:numPr>
        <w:spacing w:after="40" w:before="40"/>
      </w:pPr>
      <w:r>
        <w:rPr>
          <w:rFonts w:ascii="Arial" w:cs="Arial" w:eastAsia="Arial" w:hAnsi="Arial"/>
          <w:color w:val="1A1A2E"/>
          <w:sz w:val="20"/>
          <w:szCs w:val="20"/>
        </w:rPr>
        <w:t xml:space="preserve">Tier 2 (Year 1–2): Full central bank capability, diplomatic network, defence transition, regulatory bodies</w:t>
      </w:r>
    </w:p>
    <w:p>
      <w:pPr>
        <w:pStyle w:val="ListParagraph"/>
        <w:numPr>
          <w:ilvl w:val="0"/>
          <w:numId w:val="2"/>
        </w:numPr>
        <w:spacing w:after="40" w:before="40"/>
      </w:pPr>
      <w:r>
        <w:rPr>
          <w:rFonts w:ascii="Arial" w:cs="Arial" w:eastAsia="Arial" w:hAnsi="Arial"/>
          <w:color w:val="1A1A2E"/>
          <w:sz w:val="20"/>
          <w:szCs w:val="20"/>
        </w:rPr>
        <w:t xml:space="preserve">Tier 3 (Year 2–5): Monetary policy normalisation, debt market credibility, EU accession negotiations</w:t>
      </w:r>
    </w:p>
    <w:p>
      <w:pPr>
        <w:spacing w:after="80" w:before="60"/>
      </w:pPr>
      <w:r>
        <w:rPr>
          <w:rFonts w:ascii="Arial" w:cs="Arial" w:eastAsia="Arial" w:hAnsi="Arial"/>
          <w:color w:val="1A1A2E"/>
          <w:sz w:val="20"/>
          <w:szCs w:val="20"/>
        </w:rPr>
        <w:t xml:space="preserve">Governance failure risk: The most likely failure mode is not institutional design error but capacity overload — attempting to do too much simultaneously while negotiating with rUK and establishing market credibility. This argues for a longer, negotiated transition rather than a rapid declaration of independence.</w:t>
      </w:r>
    </w:p>
    <w:p>
      <w:pPr>
        <w:pStyle w:val="Heading2"/>
        <w:spacing w:after="80" w:before="280"/>
      </w:pPr>
      <w:r>
        <w:rPr>
          <w:rFonts w:ascii="Arial" w:cs="Arial" w:eastAsia="Arial" w:hAnsi="Arial"/>
          <w:b/>
          <w:bCs/>
          <w:color w:val="2E6DA4"/>
          <w:sz w:val="24"/>
          <w:szCs w:val="24"/>
        </w:rPr>
        <w:t xml:space="preserve">10.3 Timeline Realism</w:t>
      </w:r>
    </w:p>
    <w:p>
      <w:pPr>
        <w:spacing w:after="80" w:before="60"/>
      </w:pPr>
      <w:r>
        <w:rPr>
          <w:rFonts w:ascii="Arial" w:cs="Arial" w:eastAsia="Arial" w:hAnsi="Arial"/>
          <w:color w:val="1A1A2E"/>
          <w:sz w:val="20"/>
          <w:szCs w:val="20"/>
        </w:rPr>
        <w:t xml:space="preserve">A cooperative transition (comparable to the Czech-Slovak 'Velvet Divorce') would realistically take 3–5 years from a 'Yes' vote to full independence, with some arrangements (currency, pension liabilities, nuclear weapons) taking considerably longer. An adversarial transition could be significantly more disruptive and costly.</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11. Comparable Country Case Studies</w:t>
      </w:r>
    </w:p>
    <w:p>
      <w:pPr>
        <w:pStyle w:val="Heading2"/>
        <w:spacing w:after="80" w:before="280"/>
      </w:pPr>
      <w:r>
        <w:rPr>
          <w:rFonts w:ascii="Arial" w:cs="Arial" w:eastAsia="Arial" w:hAnsi="Arial"/>
          <w:b/>
          <w:bCs/>
          <w:color w:val="2E6DA4"/>
          <w:sz w:val="24"/>
          <w:szCs w:val="24"/>
        </w:rPr>
        <w:t xml:space="preserve">11.1 Ireland</w:t>
      </w:r>
    </w:p>
    <w:p>
      <w:pPr>
        <w:spacing w:after="80" w:before="60"/>
      </w:pPr>
      <w:r>
        <w:rPr>
          <w:rFonts w:ascii="Arial" w:cs="Arial" w:eastAsia="Arial" w:hAnsi="Arial"/>
          <w:color w:val="1A1A2E"/>
          <w:sz w:val="20"/>
          <w:szCs w:val="20"/>
        </w:rPr>
        <w:t xml:space="preserve">Frequently cited as the comparator for an independent Scotland. Population ~5 million, open economy, EU member, exceptional economic growth over 30+ years.</w:t>
      </w:r>
    </w:p>
    <w:p>
      <w:pPr>
        <w:pStyle w:val="ListParagraph"/>
        <w:numPr>
          <w:ilvl w:val="0"/>
          <w:numId w:val="2"/>
        </w:numPr>
        <w:spacing w:after="40" w:before="40"/>
      </w:pPr>
      <w:r>
        <w:rPr>
          <w:rFonts w:ascii="Arial" w:cs="Arial" w:eastAsia="Arial" w:hAnsi="Arial"/>
          <w:color w:val="1A1A2E"/>
          <w:sz w:val="20"/>
          <w:szCs w:val="20"/>
        </w:rPr>
        <w:t xml:space="preserve">Ireland's growth was driven substantially by low corporation tax attracting US multinationals — a policy Scotland could attempt but which faces EU state aid pressure and OECD global minimum tax (15%) convergence.</w:t>
      </w:r>
    </w:p>
    <w:p>
      <w:pPr>
        <w:pStyle w:val="ListParagraph"/>
        <w:numPr>
          <w:ilvl w:val="0"/>
          <w:numId w:val="2"/>
        </w:numPr>
        <w:spacing w:after="40" w:before="40"/>
      </w:pPr>
      <w:r>
        <w:rPr>
          <w:rFonts w:ascii="Arial" w:cs="Arial" w:eastAsia="Arial" w:hAnsi="Arial"/>
          <w:color w:val="1A1A2E"/>
          <w:sz w:val="20"/>
          <w:szCs w:val="20"/>
        </w:rPr>
        <w:t xml:space="preserve">Ireland experienced a catastrophic banking crisis in 2008–11 partly because it lacked full central banking backstop capacity. Direct cautionary lesson for Scotland's financial services sector.</w:t>
      </w:r>
    </w:p>
    <w:p>
      <w:pPr>
        <w:pStyle w:val="ListParagraph"/>
        <w:numPr>
          <w:ilvl w:val="0"/>
          <w:numId w:val="2"/>
        </w:numPr>
        <w:spacing w:after="40" w:before="40"/>
      </w:pPr>
      <w:r>
        <w:rPr>
          <w:rFonts w:ascii="Arial" w:cs="Arial" w:eastAsia="Arial" w:hAnsi="Arial"/>
          <w:color w:val="1A1A2E"/>
          <w:sz w:val="20"/>
          <w:szCs w:val="20"/>
        </w:rPr>
        <w:t xml:space="preserve">Ireland's GDP figures are significantly distorted by multinational profit-shifting ('leprechaun economics'). GNI* (modified gross national income) is approximately 30% lower than GDP. Scotland should design fiscal metrics that avoid the same distortion.</w:t>
      </w:r>
    </w:p>
    <w:p>
      <w:pPr>
        <w:spacing w:after="80" w:before="60"/>
      </w:pPr>
      <w:r>
        <w:rPr>
          <w:rFonts w:ascii="Arial" w:cs="Arial" w:eastAsia="Arial" w:hAnsi="Arial"/>
          <w:color w:val="1A1A2E"/>
          <w:sz w:val="20"/>
          <w:szCs w:val="20"/>
        </w:rPr>
        <w:t xml:space="preserve">Comparability: High for viability of small independent European economy. Lower for specific mechanisms.</w:t>
      </w:r>
    </w:p>
    <w:p>
      <w:pPr>
        <w:pStyle w:val="Heading2"/>
        <w:spacing w:after="80" w:before="280"/>
      </w:pPr>
      <w:r>
        <w:rPr>
          <w:rFonts w:ascii="Arial" w:cs="Arial" w:eastAsia="Arial" w:hAnsi="Arial"/>
          <w:b/>
          <w:bCs/>
          <w:color w:val="2E6DA4"/>
          <w:sz w:val="24"/>
          <w:szCs w:val="24"/>
        </w:rPr>
        <w:t xml:space="preserve">11.2 Norway</w:t>
      </w:r>
    </w:p>
    <w:p>
      <w:pPr>
        <w:spacing w:after="80" w:before="60"/>
      </w:pPr>
      <w:r>
        <w:rPr>
          <w:rFonts w:ascii="Arial" w:cs="Arial" w:eastAsia="Arial" w:hAnsi="Arial"/>
          <w:color w:val="1A1A2E"/>
          <w:sz w:val="20"/>
          <w:szCs w:val="20"/>
        </w:rPr>
        <w:t xml:space="preserve">Population 5.5 million; most cited comparator for energy wealth.</w:t>
      </w:r>
    </w:p>
    <w:p>
      <w:pPr>
        <w:pStyle w:val="ListParagraph"/>
        <w:numPr>
          <w:ilvl w:val="0"/>
          <w:numId w:val="2"/>
        </w:numPr>
        <w:spacing w:after="40" w:before="40"/>
      </w:pPr>
      <w:r>
        <w:rPr>
          <w:rFonts w:ascii="Arial" w:cs="Arial" w:eastAsia="Arial" w:hAnsi="Arial"/>
          <w:color w:val="1A1A2E"/>
          <w:sz w:val="20"/>
          <w:szCs w:val="20"/>
        </w:rPr>
        <w:t xml:space="preserve">Norway's Government Pension Fund Global (~$1.7 trillion) was built during peak oil years Scotland did not control. The window for comparable accumulation has effectively closed.</w:t>
      </w:r>
    </w:p>
    <w:p>
      <w:pPr>
        <w:pStyle w:val="ListParagraph"/>
        <w:numPr>
          <w:ilvl w:val="0"/>
          <w:numId w:val="2"/>
        </w:numPr>
        <w:spacing w:after="40" w:before="40"/>
      </w:pPr>
      <w:r>
        <w:rPr>
          <w:rFonts w:ascii="Arial" w:cs="Arial" w:eastAsia="Arial" w:hAnsi="Arial"/>
          <w:color w:val="1A1A2E"/>
          <w:sz w:val="20"/>
          <w:szCs w:val="20"/>
        </w:rPr>
        <w:t xml:space="preserve">Norway uses EEA membership (not full EU) to access the single market, paying substantial budget contributions without voting rights. This is a plausible Scottish model that avoids EU accession delays.</w:t>
      </w:r>
    </w:p>
    <w:p>
      <w:pPr>
        <w:pStyle w:val="ListParagraph"/>
        <w:numPr>
          <w:ilvl w:val="0"/>
          <w:numId w:val="2"/>
        </w:numPr>
        <w:spacing w:after="40" w:before="40"/>
      </w:pPr>
      <w:r>
        <w:rPr>
          <w:rFonts w:ascii="Arial" w:cs="Arial" w:eastAsia="Arial" w:hAnsi="Arial"/>
          <w:color w:val="1A1A2E"/>
          <w:sz w:val="20"/>
          <w:szCs w:val="20"/>
        </w:rPr>
        <w:t xml:space="preserve">Norway's fiscal surplus (unique among comparable nations) reflects decades of prudent management — not an automatic consequence of oil wealth.</w:t>
      </w:r>
    </w:p>
    <w:p>
      <w:pPr>
        <w:spacing w:after="80" w:before="60"/>
      </w:pPr>
      <w:r>
        <w:rPr>
          <w:rFonts w:ascii="Arial" w:cs="Arial" w:eastAsia="Arial" w:hAnsi="Arial"/>
          <w:color w:val="1A1A2E"/>
          <w:sz w:val="20"/>
          <w:szCs w:val="20"/>
        </w:rPr>
        <w:t xml:space="preserve">Comparability: High for energy ambition; low for fiscal starting position.</w:t>
      </w:r>
    </w:p>
    <w:p>
      <w:pPr>
        <w:pStyle w:val="Heading2"/>
        <w:spacing w:after="80" w:before="280"/>
      </w:pPr>
      <w:r>
        <w:rPr>
          <w:rFonts w:ascii="Arial" w:cs="Arial" w:eastAsia="Arial" w:hAnsi="Arial"/>
          <w:b/>
          <w:bCs/>
          <w:color w:val="2E6DA4"/>
          <w:sz w:val="24"/>
          <w:szCs w:val="24"/>
        </w:rPr>
        <w:t xml:space="preserve">11.3 Czech Republic and Slovakia (Velvet Divorce, 1993)</w:t>
      </w:r>
    </w:p>
    <w:p>
      <w:pPr>
        <w:spacing w:after="80" w:before="60"/>
      </w:pPr>
      <w:r>
        <w:rPr>
          <w:rFonts w:ascii="Arial" w:cs="Arial" w:eastAsia="Arial" w:hAnsi="Arial"/>
          <w:color w:val="1A1A2E"/>
          <w:sz w:val="20"/>
          <w:szCs w:val="20"/>
        </w:rPr>
        <w:t xml:space="preserve">The most directly relevant precedent for the mechanics of separation.</w:t>
      </w:r>
    </w:p>
    <w:p>
      <w:pPr>
        <w:pStyle w:val="ListParagraph"/>
        <w:numPr>
          <w:ilvl w:val="0"/>
          <w:numId w:val="2"/>
        </w:numPr>
        <w:spacing w:after="40" w:before="40"/>
      </w:pPr>
      <w:r>
        <w:rPr>
          <w:rFonts w:ascii="Arial" w:cs="Arial" w:eastAsia="Arial" w:hAnsi="Arial"/>
          <w:color w:val="1A1A2E"/>
          <w:sz w:val="20"/>
          <w:szCs w:val="20"/>
        </w:rPr>
        <w:t xml:space="preserve">The monetary union was dissolved within 6 weeks; currency stamping and capital controls were used. The split was broadly cooperative and prepared in advance.</w:t>
      </w:r>
    </w:p>
    <w:p>
      <w:pPr>
        <w:pStyle w:val="ListParagraph"/>
        <w:numPr>
          <w:ilvl w:val="0"/>
          <w:numId w:val="2"/>
        </w:numPr>
        <w:spacing w:after="40" w:before="40"/>
      </w:pPr>
      <w:r>
        <w:rPr>
          <w:rFonts w:ascii="Arial" w:cs="Arial" w:eastAsia="Arial" w:hAnsi="Arial"/>
          <w:color w:val="1A1A2E"/>
          <w:sz w:val="20"/>
          <w:szCs w:val="20"/>
        </w:rPr>
        <w:t xml:space="preserve">Slovakia experienced more economic difficulty initially; the Czech Republic benefited from being the 'continuing state' (analogous to rUK's position relative to Scotland).</w:t>
      </w:r>
    </w:p>
    <w:p>
      <w:pPr>
        <w:pStyle w:val="ListParagraph"/>
        <w:numPr>
          <w:ilvl w:val="0"/>
          <w:numId w:val="2"/>
        </w:numPr>
        <w:spacing w:after="40" w:before="40"/>
      </w:pPr>
      <w:r>
        <w:rPr>
          <w:rFonts w:ascii="Arial" w:cs="Arial" w:eastAsia="Arial" w:hAnsi="Arial"/>
          <w:color w:val="1A1A2E"/>
          <w:sz w:val="20"/>
          <w:szCs w:val="20"/>
        </w:rPr>
        <w:t xml:space="preserve">Both states joined the EU; Slovakia adopted the Euro in 2009. Czech Republic has not, despite 30+ years of EU membership.</w:t>
      </w:r>
    </w:p>
    <w:p>
      <w:pPr>
        <w:spacing w:after="80" w:before="60"/>
      </w:pPr>
      <w:r>
        <w:rPr>
          <w:rFonts w:ascii="Arial" w:cs="Arial" w:eastAsia="Arial" w:hAnsi="Arial"/>
          <w:color w:val="1A1A2E"/>
          <w:sz w:val="20"/>
          <w:szCs w:val="20"/>
        </w:rPr>
        <w:t xml:space="preserve">Comparability: High for transition mechanics. Lower for economic scale and institutional complexity.</w:t>
      </w:r>
    </w:p>
    <w:p>
      <w:pPr>
        <w:pStyle w:val="Heading2"/>
        <w:spacing w:after="80" w:before="280"/>
      </w:pPr>
      <w:r>
        <w:rPr>
          <w:rFonts w:ascii="Arial" w:cs="Arial" w:eastAsia="Arial" w:hAnsi="Arial"/>
          <w:b/>
          <w:bCs/>
          <w:color w:val="2E6DA4"/>
          <w:sz w:val="24"/>
          <w:szCs w:val="24"/>
        </w:rPr>
        <w:t xml:space="preserve">11.4 Denmark and Finland</w:t>
      </w:r>
    </w:p>
    <w:p>
      <w:pPr>
        <w:spacing w:after="80" w:before="60"/>
      </w:pPr>
      <w:r>
        <w:rPr>
          <w:rFonts w:ascii="Arial" w:cs="Arial" w:eastAsia="Arial" w:hAnsi="Arial"/>
          <w:color w:val="1A1A2E"/>
          <w:sz w:val="20"/>
          <w:szCs w:val="20"/>
        </w:rPr>
        <w:t xml:space="preserve">Small EU economies with strong public services and high social trust.</w:t>
      </w:r>
    </w:p>
    <w:p>
      <w:pPr>
        <w:pStyle w:val="ListParagraph"/>
        <w:numPr>
          <w:ilvl w:val="0"/>
          <w:numId w:val="2"/>
        </w:numPr>
        <w:spacing w:after="40" w:before="40"/>
      </w:pPr>
      <w:r>
        <w:rPr>
          <w:rFonts w:ascii="Arial" w:cs="Arial" w:eastAsia="Arial" w:hAnsi="Arial"/>
          <w:color w:val="1A1A2E"/>
          <w:sz w:val="20"/>
          <w:szCs w:val="20"/>
        </w:rPr>
        <w:t xml:space="preserve">Both demonstrate small EU members can succeed with open trade, strong institutions, and high human capital.</w:t>
      </w:r>
    </w:p>
    <w:p>
      <w:pPr>
        <w:pStyle w:val="ListParagraph"/>
        <w:numPr>
          <w:ilvl w:val="0"/>
          <w:numId w:val="2"/>
        </w:numPr>
        <w:spacing w:after="40" w:before="40"/>
      </w:pPr>
      <w:r>
        <w:rPr>
          <w:rFonts w:ascii="Arial" w:cs="Arial" w:eastAsia="Arial" w:hAnsi="Arial"/>
          <w:color w:val="1A1A2E"/>
          <w:sz w:val="20"/>
          <w:szCs w:val="20"/>
        </w:rPr>
        <w:t xml:space="preserve">Neither faced Scotland's specific challenge of disentangling from a deeply integrated larger neighbour — their independence predates modern economic integration.</w:t>
      </w:r>
    </w:p>
    <w:p>
      <w:pPr>
        <w:spacing w:after="80" w:before="60"/>
      </w:pPr>
      <w:r>
        <w:rPr>
          <w:rFonts w:ascii="Arial" w:cs="Arial" w:eastAsia="Arial" w:hAnsi="Arial"/>
          <w:color w:val="1A1A2E"/>
          <w:sz w:val="20"/>
          <w:szCs w:val="20"/>
        </w:rPr>
        <w:t xml:space="preserve">Comparability: High for long-run steady-state model; low for transition dynamics.</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12. Steel-Manning the Pro-Independence Economic Case</w:t>
      </w:r>
    </w:p>
    <w:p>
      <w:pPr>
        <w:spacing w:after="80" w:before="60"/>
      </w:pPr>
      <w:r>
        <w:rPr>
          <w:rFonts w:ascii="Arial" w:cs="Arial" w:eastAsia="Arial" w:hAnsi="Arial"/>
          <w:color w:val="1A1A2E"/>
          <w:sz w:val="20"/>
          <w:szCs w:val="20"/>
        </w:rPr>
        <w:t xml:space="preserve">A rigorous analysis must test the strongest arguments for independence, not merely the most convenient ones. This section presents the most analytically serious pro-independence economic arguments and assesses their evidence base.</w:t>
      </w:r>
    </w:p>
    <w:p>
      <w:pPr>
        <w:pBdr>
          <w:left w:val="single" w:color="C8A84B" w:sz="12" w:space="4"/>
        </w:pBdr>
        <w:shd w:fill="EAF2FA" w:val="clear"/>
        <w:spacing w:after="80" w:before="80"/>
        <w:ind w:left="360"/>
      </w:pPr>
      <w:r>
        <w:rPr>
          <w:rFonts w:ascii="Arial" w:cs="Arial" w:eastAsia="Arial" w:hAnsi="Arial"/>
          <w:i/>
          <w:iCs/>
          <w:color w:val="1A1A2E"/>
          <w:sz w:val="19"/>
          <w:szCs w:val="19"/>
        </w:rPr>
        <w:t xml:space="preserve">Methodology: For each argument, we assess: (a) Is the claim theoretically coherent? (b) What does the empirical evidence show? (c) What conditions must hold for the argument to work?</w:t>
      </w:r>
    </w:p>
    <w:p>
      <w:pPr>
        <w:spacing w:after="60" w:before="180"/>
      </w:pPr>
      <w:r>
        <w:rPr>
          <w:rFonts w:ascii="Arial" w:cs="Arial" w:eastAsia="Arial" w:hAnsi="Arial"/>
          <w:b/>
          <w:bCs/>
          <w:color w:val="1B3A6B"/>
          <w:sz w:val="22"/>
          <w:szCs w:val="22"/>
        </w:rPr>
        <w:t xml:space="preserve">Argument 1: GERS overstates Scotland's structural deficit</w:t>
      </w:r>
    </w:p>
    <w:p>
      <w:pPr>
        <w:spacing w:after="80" w:before="60"/>
      </w:pPr>
      <w:r>
        <w:rPr>
          <w:rFonts w:ascii="Arial" w:cs="Arial" w:eastAsia="Arial" w:hAnsi="Arial"/>
          <w:color w:val="1A1A2E"/>
          <w:sz w:val="20"/>
          <w:szCs w:val="20"/>
        </w:rPr>
        <w:t xml:space="preserve">Claim: GERS allocates costs to Scotland (UK debt interest, defence, diplomatic network) that would be lower under independence. On this view, the 'true' fiscal gap is £5–10bn, not £15–21bn.</w:t>
      </w:r>
    </w:p>
    <w:p>
      <w:pPr>
        <w:pStyle w:val="ListParagraph"/>
        <w:numPr>
          <w:ilvl w:val="0"/>
          <w:numId w:val="2"/>
        </w:numPr>
        <w:spacing w:after="40" w:before="40"/>
      </w:pPr>
      <w:r>
        <w:rPr>
          <w:rFonts w:ascii="Arial" w:cs="Arial" w:eastAsia="Arial" w:hAnsi="Arial"/>
          <w:color w:val="1A1A2E"/>
          <w:sz w:val="20"/>
          <w:szCs w:val="20"/>
        </w:rPr>
        <w:t xml:space="preserve">Theoretically coherent: Yes. Defence savings (£0.8–1.8bn), lower debt interest allocation (£1–2bn), and some diplomatic cost reductions are real and quantifiable.</w:t>
      </w:r>
    </w:p>
    <w:p>
      <w:pPr>
        <w:pStyle w:val="ListParagraph"/>
        <w:numPr>
          <w:ilvl w:val="0"/>
          <w:numId w:val="2"/>
        </w:numPr>
        <w:spacing w:after="40" w:before="40"/>
      </w:pPr>
      <w:r>
        <w:rPr>
          <w:rFonts w:ascii="Arial" w:cs="Arial" w:eastAsia="Arial" w:hAnsi="Arial"/>
          <w:color w:val="1A1A2E"/>
          <w:sz w:val="20"/>
          <w:szCs w:val="20"/>
        </w:rPr>
        <w:t xml:space="preserve">Evidence: Partial support. Even after reasonable GERS adjustments, a structural deficit of at least £8–12bn remains. The adjusted deficit is smaller, but not small.</w:t>
      </w:r>
    </w:p>
    <w:p>
      <w:pPr>
        <w:pStyle w:val="ListParagraph"/>
        <w:numPr>
          <w:ilvl w:val="0"/>
          <w:numId w:val="2"/>
        </w:numPr>
        <w:spacing w:after="40" w:before="40"/>
      </w:pPr>
      <w:r>
        <w:rPr>
          <w:rFonts w:ascii="Arial" w:cs="Arial" w:eastAsia="Arial" w:hAnsi="Arial"/>
          <w:color w:val="1A1A2E"/>
          <w:sz w:val="20"/>
          <w:szCs w:val="20"/>
        </w:rPr>
        <w:t xml:space="preserve">Conditions required: Cooperative debt allocation negotiation; significant defence posture change; fiscal consolidation in other areas.</w:t>
      </w:r>
    </w:p>
    <w:p>
      <w:pPr>
        <w:spacing w:after="80" w:before="60"/>
      </w:pPr>
      <w:r>
        <w:rPr>
          <w:rFonts w:ascii="Arial" w:cs="Arial" w:eastAsia="Arial" w:hAnsi="Arial"/>
          <w:color w:val="1A1A2E"/>
          <w:sz w:val="20"/>
          <w:szCs w:val="20"/>
        </w:rPr>
        <w:t xml:space="preserve">Verdict: The GERS critique has genuine analytical merit but overstates the adjustment. The fiscal gap is real, if somewhat smaller than the headline figure.</w:t>
      </w:r>
    </w:p>
    <w:p>
      <w:pPr>
        <w:spacing w:after="60" w:before="180"/>
      </w:pPr>
      <w:r>
        <w:rPr>
          <w:rFonts w:ascii="Arial" w:cs="Arial" w:eastAsia="Arial" w:hAnsi="Arial"/>
          <w:b/>
          <w:bCs/>
          <w:color w:val="1B3A6B"/>
          <w:sz w:val="22"/>
          <w:szCs w:val="22"/>
        </w:rPr>
        <w:t xml:space="preserve">Argument 2: Small open economies outperform larger states over time</w:t>
      </w:r>
    </w:p>
    <w:p>
      <w:pPr>
        <w:spacing w:after="80" w:before="60"/>
      </w:pPr>
      <w:r>
        <w:rPr>
          <w:rFonts w:ascii="Arial" w:cs="Arial" w:eastAsia="Arial" w:hAnsi="Arial"/>
          <w:color w:val="1A1A2E"/>
          <w:sz w:val="20"/>
          <w:szCs w:val="20"/>
        </w:rPr>
        <w:t xml:space="preserve">Claim: Drawing on Ireland, Denmark, Switzerland, Singapore — small states are more agile, adapt more quickly to economic change, and ultimately achieve higher per capita income than they would as regions of larger states.</w:t>
      </w:r>
    </w:p>
    <w:p>
      <w:pPr>
        <w:pStyle w:val="ListParagraph"/>
        <w:numPr>
          <w:ilvl w:val="0"/>
          <w:numId w:val="2"/>
        </w:numPr>
        <w:spacing w:after="40" w:before="40"/>
      </w:pPr>
      <w:r>
        <w:rPr>
          <w:rFonts w:ascii="Arial" w:cs="Arial" w:eastAsia="Arial" w:hAnsi="Arial"/>
          <w:color w:val="1A1A2E"/>
          <w:sz w:val="20"/>
          <w:szCs w:val="20"/>
        </w:rPr>
        <w:t xml:space="preserve">Theoretically coherent: Yes, with caveats. Small states face higher exposure to external shocks but gain in regulatory agility and focussed policy design.</w:t>
      </w:r>
    </w:p>
    <w:p>
      <w:pPr>
        <w:pStyle w:val="ListParagraph"/>
        <w:numPr>
          <w:ilvl w:val="0"/>
          <w:numId w:val="2"/>
        </w:numPr>
        <w:spacing w:after="40" w:before="40"/>
      </w:pPr>
      <w:r>
        <w:rPr>
          <w:rFonts w:ascii="Arial" w:cs="Arial" w:eastAsia="Arial" w:hAnsi="Arial"/>
          <w:color w:val="1A1A2E"/>
          <w:sz w:val="20"/>
          <w:szCs w:val="20"/>
        </w:rPr>
        <w:t xml:space="preserve">Evidence: Mixed. The high-performing small states cited typically had: strong institutions before independence or shortly after; favourable trade relationships; and specific competitive advantages (technology, finance, geography). Scotland's starting position is more fiscally constrained than most comparators.</w:t>
      </w:r>
    </w:p>
    <w:p>
      <w:pPr>
        <w:pStyle w:val="ListParagraph"/>
        <w:numPr>
          <w:ilvl w:val="0"/>
          <w:numId w:val="2"/>
        </w:numPr>
        <w:spacing w:after="40" w:before="40"/>
      </w:pPr>
      <w:r>
        <w:rPr>
          <w:rFonts w:ascii="Arial" w:cs="Arial" w:eastAsia="Arial" w:hAnsi="Arial"/>
          <w:color w:val="1A1A2E"/>
          <w:sz w:val="20"/>
          <w:szCs w:val="20"/>
        </w:rPr>
        <w:t xml:space="preserve">Conditions required: Strong institutions, effective fiscal consolidation, EU/EEA access, stable currency — all achievable but none automatic.</w:t>
      </w:r>
    </w:p>
    <w:p>
      <w:pPr>
        <w:spacing w:after="80" w:before="60"/>
      </w:pPr>
      <w:r>
        <w:rPr>
          <w:rFonts w:ascii="Arial" w:cs="Arial" w:eastAsia="Arial" w:hAnsi="Arial"/>
          <w:color w:val="1A1A2E"/>
          <w:sz w:val="20"/>
          <w:szCs w:val="20"/>
        </w:rPr>
        <w:t xml:space="preserve">Verdict: Empirically supported over 20+ year horizon under favourable conditions. The argument is plausible but contingent.</w:t>
      </w:r>
    </w:p>
    <w:p>
      <w:pPr>
        <w:spacing w:after="60" w:before="180"/>
      </w:pPr>
      <w:r>
        <w:rPr>
          <w:rFonts w:ascii="Arial" w:cs="Arial" w:eastAsia="Arial" w:hAnsi="Arial"/>
          <w:b/>
          <w:bCs/>
          <w:color w:val="1B3A6B"/>
          <w:sz w:val="22"/>
          <w:szCs w:val="22"/>
        </w:rPr>
        <w:t xml:space="preserve">Argument 3: Full fiscal and monetary control allows better economic management</w:t>
      </w:r>
    </w:p>
    <w:p>
      <w:pPr>
        <w:spacing w:after="80" w:before="60"/>
      </w:pPr>
      <w:r>
        <w:rPr>
          <w:rFonts w:ascii="Arial" w:cs="Arial" w:eastAsia="Arial" w:hAnsi="Arial"/>
          <w:color w:val="1A1A2E"/>
          <w:sz w:val="20"/>
          <w:szCs w:val="20"/>
        </w:rPr>
        <w:t xml:space="preserve">Claim: Scotland's economic cycle is not identical to England's. An independent Scotland could calibrate monetary and fiscal policy to its own conditions — avoiding the macroeconomic mismatches that arise from being a region of a larger state.</w:t>
      </w:r>
    </w:p>
    <w:p>
      <w:pPr>
        <w:pStyle w:val="ListParagraph"/>
        <w:numPr>
          <w:ilvl w:val="0"/>
          <w:numId w:val="2"/>
        </w:numPr>
        <w:spacing w:after="40" w:before="40"/>
      </w:pPr>
      <w:r>
        <w:rPr>
          <w:rFonts w:ascii="Arial" w:cs="Arial" w:eastAsia="Arial" w:hAnsi="Arial"/>
          <w:color w:val="1A1A2E"/>
          <w:sz w:val="20"/>
          <w:szCs w:val="20"/>
        </w:rPr>
        <w:t xml:space="preserve">Theoretically coherent: Yes. Optimal currency area theory (Mundell) supports the view that fiscal and monetary tools should be aligned with economic geography.</w:t>
      </w:r>
    </w:p>
    <w:p>
      <w:pPr>
        <w:pStyle w:val="ListParagraph"/>
        <w:numPr>
          <w:ilvl w:val="0"/>
          <w:numId w:val="2"/>
        </w:numPr>
        <w:spacing w:after="40" w:before="40"/>
      </w:pPr>
      <w:r>
        <w:rPr>
          <w:rFonts w:ascii="Arial" w:cs="Arial" w:eastAsia="Arial" w:hAnsi="Arial"/>
          <w:color w:val="1A1A2E"/>
          <w:sz w:val="20"/>
          <w:szCs w:val="20"/>
        </w:rPr>
        <w:t xml:space="preserve">Evidence: Scotland's economic cycles do correlate fairly strongly with rUK's (IFS analysis), which weakens the argument somewhat. However, sectoral composition differences (energy, financial services) mean divergent shocks are plausible.</w:t>
      </w:r>
    </w:p>
    <w:p>
      <w:pPr>
        <w:pStyle w:val="ListParagraph"/>
        <w:numPr>
          <w:ilvl w:val="0"/>
          <w:numId w:val="2"/>
        </w:numPr>
        <w:spacing w:after="40" w:before="40"/>
      </w:pPr>
      <w:r>
        <w:rPr>
          <w:rFonts w:ascii="Arial" w:cs="Arial" w:eastAsia="Arial" w:hAnsi="Arial"/>
          <w:color w:val="1A1A2E"/>
          <w:sz w:val="20"/>
          <w:szCs w:val="20"/>
        </w:rPr>
        <w:t xml:space="preserve">Conditions required: A credible independent monetary authority; sufficient fiscal space to use counter-cyclical policy; this is undermined in the short term by the fiscal deficit constraint.</w:t>
      </w:r>
    </w:p>
    <w:p>
      <w:pPr>
        <w:spacing w:after="80" w:before="60"/>
      </w:pPr>
      <w:r>
        <w:rPr>
          <w:rFonts w:ascii="Arial" w:cs="Arial" w:eastAsia="Arial" w:hAnsi="Arial"/>
          <w:color w:val="1A1A2E"/>
          <w:sz w:val="20"/>
          <w:szCs w:val="20"/>
        </w:rPr>
        <w:t xml:space="preserve">Verdict: Theoretically sound; undermined in the near term by the fiscal deficit. The argument strengthens once consolidation is achieved.</w:t>
      </w:r>
    </w:p>
    <w:p>
      <w:pPr>
        <w:spacing w:after="60" w:before="180"/>
      </w:pPr>
      <w:r>
        <w:rPr>
          <w:rFonts w:ascii="Arial" w:cs="Arial" w:eastAsia="Arial" w:hAnsi="Arial"/>
          <w:b/>
          <w:bCs/>
          <w:color w:val="1B3A6B"/>
          <w:sz w:val="22"/>
          <w:szCs w:val="22"/>
        </w:rPr>
        <w:t xml:space="preserve">Argument 4: Scotland's renewable energy position is structurally transformative</w:t>
      </w:r>
    </w:p>
    <w:p>
      <w:pPr>
        <w:spacing w:after="80" w:before="60"/>
      </w:pPr>
      <w:r>
        <w:rPr>
          <w:rFonts w:ascii="Arial" w:cs="Arial" w:eastAsia="Arial" w:hAnsi="Arial"/>
          <w:color w:val="1A1A2E"/>
          <w:sz w:val="20"/>
          <w:szCs w:val="20"/>
        </w:rPr>
        <w:t xml:space="preserve">Claim: Scotland's renewable energy resources — the largest in Europe per capita — represent a generational economic opportunity that independence unlocks.</w:t>
      </w:r>
    </w:p>
    <w:p>
      <w:pPr>
        <w:pStyle w:val="ListParagraph"/>
        <w:numPr>
          <w:ilvl w:val="0"/>
          <w:numId w:val="2"/>
        </w:numPr>
        <w:spacing w:after="40" w:before="40"/>
      </w:pPr>
      <w:r>
        <w:rPr>
          <w:rFonts w:ascii="Arial" w:cs="Arial" w:eastAsia="Arial" w:hAnsi="Arial"/>
          <w:color w:val="1A1A2E"/>
          <w:sz w:val="20"/>
          <w:szCs w:val="20"/>
        </w:rPr>
        <w:t xml:space="preserve">Theoretically coherent: Yes, with the important caveat addressed in Section 3e — profit capture requires policy design, not just physical resource.</w:t>
      </w:r>
    </w:p>
    <w:p>
      <w:pPr>
        <w:pStyle w:val="ListParagraph"/>
        <w:numPr>
          <w:ilvl w:val="0"/>
          <w:numId w:val="2"/>
        </w:numPr>
        <w:spacing w:after="40" w:before="40"/>
      </w:pPr>
      <w:r>
        <w:rPr>
          <w:rFonts w:ascii="Arial" w:cs="Arial" w:eastAsia="Arial" w:hAnsi="Arial"/>
          <w:color w:val="1A1A2E"/>
          <w:sz w:val="20"/>
          <w:szCs w:val="20"/>
        </w:rPr>
        <w:t xml:space="preserve">Evidence: Scotland generates approximately 113% of its electricity consumption from renewables (2023). Export potential is real. Grid infrastructure investment is the binding constraint.</w:t>
      </w:r>
    </w:p>
    <w:p>
      <w:pPr>
        <w:pStyle w:val="ListParagraph"/>
        <w:numPr>
          <w:ilvl w:val="0"/>
          <w:numId w:val="2"/>
        </w:numPr>
        <w:spacing w:after="40" w:before="40"/>
      </w:pPr>
      <w:r>
        <w:rPr>
          <w:rFonts w:ascii="Arial" w:cs="Arial" w:eastAsia="Arial" w:hAnsi="Arial"/>
          <w:color w:val="1A1A2E"/>
          <w:sz w:val="20"/>
          <w:szCs w:val="20"/>
        </w:rPr>
        <w:t xml:space="preserve">Conditions required: Public ownership or effective taxation of renewable assets; interconnector investment; sustained export market demand; English grid access post-independence.</w:t>
      </w:r>
    </w:p>
    <w:p>
      <w:pPr>
        <w:spacing w:after="80" w:before="60"/>
      </w:pPr>
      <w:r>
        <w:rPr>
          <w:rFonts w:ascii="Arial" w:cs="Arial" w:eastAsia="Arial" w:hAnsi="Arial"/>
          <w:color w:val="1A1A2E"/>
          <w:sz w:val="20"/>
          <w:szCs w:val="20"/>
        </w:rPr>
        <w:t xml:space="preserve">Verdict: Genuine structural advantage. The argument is strong in the long run but requires policy delivery and infrastructure investment that are not automatic.</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13. Key Uncertainties &amp; Assumptions</w:t>
      </w:r>
    </w:p>
    <w:p>
      <w:pPr>
        <w:spacing w:after="80" w:before="60"/>
      </w:pPr>
      <w:r>
        <w:rPr>
          <w:rFonts w:ascii="Arial" w:cs="Arial" w:eastAsia="Arial" w:hAnsi="Arial"/>
          <w:color w:val="1A1A2E"/>
          <w:sz w:val="20"/>
          <w:szCs w:val="20"/>
        </w:rPr>
        <w:t xml:space="preserve">The following variables could materially change outcomes:</w:t>
      </w:r>
    </w:p>
    <w:p>
      <w:pPr>
        <w:pStyle w:val="ListParagraph"/>
        <w:numPr>
          <w:ilvl w:val="0"/>
          <w:numId w:val="2"/>
        </w:numPr>
        <w:spacing w:after="40" w:before="40"/>
      </w:pPr>
      <w:r>
        <w:rPr>
          <w:rFonts w:ascii="Arial" w:cs="Arial" w:eastAsia="Arial" w:hAnsi="Arial"/>
          <w:color w:val="1A1A2E"/>
          <w:sz w:val="20"/>
          <w:szCs w:val="20"/>
        </w:rPr>
        <w:t xml:space="preserve">Currency choice: The single most consequential decision. Shapes borrowing costs, trade frictions, and financial stability simultaneously.</w:t>
      </w:r>
    </w:p>
    <w:p>
      <w:pPr>
        <w:pStyle w:val="ListParagraph"/>
        <w:numPr>
          <w:ilvl w:val="0"/>
          <w:numId w:val="2"/>
        </w:numPr>
        <w:spacing w:after="40" w:before="40"/>
      </w:pPr>
      <w:r>
        <w:rPr>
          <w:rFonts w:ascii="Arial" w:cs="Arial" w:eastAsia="Arial" w:hAnsi="Arial"/>
          <w:color w:val="1A1A2E"/>
          <w:sz w:val="20"/>
          <w:szCs w:val="20"/>
        </w:rPr>
        <w:t xml:space="preserve">EU membership outcome and timeline: The difference between EU membership within 5 years and prolonged exclusion represents a multi-percentage-point GDP differential over a decade.</w:t>
      </w:r>
    </w:p>
    <w:p>
      <w:pPr>
        <w:pStyle w:val="ListParagraph"/>
        <w:numPr>
          <w:ilvl w:val="0"/>
          <w:numId w:val="2"/>
        </w:numPr>
        <w:spacing w:after="40" w:before="40"/>
      </w:pPr>
      <w:r>
        <w:rPr>
          <w:rFonts w:ascii="Arial" w:cs="Arial" w:eastAsia="Arial" w:hAnsi="Arial"/>
          <w:color w:val="1A1A2E"/>
          <w:sz w:val="20"/>
          <w:szCs w:val="20"/>
        </w:rPr>
        <w:t xml:space="preserve">Cooperation of rUK in transition: A cooperative transition substantially reduces costs versus an adversarial one. The UK government's position cannot be assumed to be cooperative.</w:t>
      </w:r>
    </w:p>
    <w:p>
      <w:pPr>
        <w:pStyle w:val="ListParagraph"/>
        <w:numPr>
          <w:ilvl w:val="0"/>
          <w:numId w:val="2"/>
        </w:numPr>
        <w:spacing w:after="40" w:before="40"/>
      </w:pPr>
      <w:r>
        <w:rPr>
          <w:rFonts w:ascii="Arial" w:cs="Arial" w:eastAsia="Arial" w:hAnsi="Arial"/>
          <w:color w:val="1A1A2E"/>
          <w:sz w:val="20"/>
          <w:szCs w:val="20"/>
        </w:rPr>
        <w:t xml:space="preserve">North Sea revenue trajectory: Inherently volatile. A sustained high-price environment improves the short-term fiscal picture; low prices worsen it.</w:t>
      </w:r>
    </w:p>
    <w:p>
      <w:pPr>
        <w:pStyle w:val="ListParagraph"/>
        <w:numPr>
          <w:ilvl w:val="0"/>
          <w:numId w:val="2"/>
        </w:numPr>
        <w:spacing w:after="40" w:before="40"/>
      </w:pPr>
      <w:r>
        <w:rPr>
          <w:rFonts w:ascii="Arial" w:cs="Arial" w:eastAsia="Arial" w:hAnsi="Arial"/>
          <w:color w:val="1A1A2E"/>
          <w:sz w:val="20"/>
          <w:szCs w:val="20"/>
        </w:rPr>
        <w:t xml:space="preserve">Faslane/nuclear negotiation outcome: A protracted or adversarial nuclear negotiation could significantly disrupt transition economics and diplomatic relationships.</w:t>
      </w:r>
    </w:p>
    <w:p>
      <w:pPr>
        <w:pStyle w:val="ListParagraph"/>
        <w:numPr>
          <w:ilvl w:val="0"/>
          <w:numId w:val="2"/>
        </w:numPr>
        <w:spacing w:after="40" w:before="40"/>
      </w:pPr>
      <w:r>
        <w:rPr>
          <w:rFonts w:ascii="Arial" w:cs="Arial" w:eastAsia="Arial" w:hAnsi="Arial"/>
          <w:color w:val="1A1A2E"/>
          <w:sz w:val="20"/>
          <w:szCs w:val="20"/>
        </w:rPr>
        <w:t xml:space="preserve">Policy choices post-independence: Fiscal consolidation, tax reform, and investment in human capital are determinants of long-run outcomes that cannot be predicted from constitutional status alone.</w:t>
      </w:r>
    </w:p>
    <w:p>
      <w:pPr>
        <w:pStyle w:val="ListParagraph"/>
        <w:numPr>
          <w:ilvl w:val="0"/>
          <w:numId w:val="2"/>
        </w:numPr>
        <w:spacing w:after="40" w:before="40"/>
      </w:pPr>
      <w:r>
        <w:rPr>
          <w:rFonts w:ascii="Arial" w:cs="Arial" w:eastAsia="Arial" w:hAnsi="Arial"/>
          <w:color w:val="1A1A2E"/>
          <w:sz w:val="20"/>
          <w:szCs w:val="20"/>
        </w:rPr>
        <w:t xml:space="preserve">Global economic environment: An independent Scotland would be more exposed to external shocks as a smaller open economy than as part of the UK.</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14. Balanced Conclusion</w:t>
      </w:r>
    </w:p>
    <w:p>
      <w:pPr>
        <w:pStyle w:val="Heading2"/>
        <w:spacing w:after="80" w:before="280"/>
      </w:pPr>
      <w:r>
        <w:rPr>
          <w:rFonts w:ascii="Arial" w:cs="Arial" w:eastAsia="Arial" w:hAnsi="Arial"/>
          <w:b/>
          <w:bCs/>
          <w:color w:val="2E6DA4"/>
          <w:sz w:val="24"/>
          <w:szCs w:val="24"/>
        </w:rPr>
        <w:t xml:space="preserve">Strongest Economic Arguments FOR Independence</w:t>
      </w:r>
    </w:p>
    <w:p>
      <w:pPr>
        <w:pStyle w:val="ListParagraph"/>
        <w:numPr>
          <w:ilvl w:val="0"/>
          <w:numId w:val="2"/>
        </w:numPr>
        <w:spacing w:after="40" w:before="40"/>
      </w:pPr>
      <w:r>
        <w:rPr>
          <w:rFonts w:ascii="Arial" w:cs="Arial" w:eastAsia="Arial" w:hAnsi="Arial"/>
          <w:color w:val="1A1A2E"/>
          <w:sz w:val="20"/>
          <w:szCs w:val="20"/>
        </w:rPr>
        <w:t xml:space="preserve">EU single market access could, over 10–20 years, generate trade and investment benefits that offset transition costs — if membership is achieved.</w:t>
      </w:r>
    </w:p>
    <w:p>
      <w:pPr>
        <w:pStyle w:val="ListParagraph"/>
        <w:numPr>
          <w:ilvl w:val="0"/>
          <w:numId w:val="2"/>
        </w:numPr>
        <w:spacing w:after="40" w:before="40"/>
      </w:pPr>
      <w:r>
        <w:rPr>
          <w:rFonts w:ascii="Arial" w:cs="Arial" w:eastAsia="Arial" w:hAnsi="Arial"/>
          <w:color w:val="1A1A2E"/>
          <w:sz w:val="20"/>
          <w:szCs w:val="20"/>
        </w:rPr>
        <w:t xml:space="preserve">Policy autonomy allows Scotland to calibrate immigration, tax, and regulatory frameworks to its own economic structure — including a potentially transformative renewable energy policy.</w:t>
      </w:r>
    </w:p>
    <w:p>
      <w:pPr>
        <w:pStyle w:val="ListParagraph"/>
        <w:numPr>
          <w:ilvl w:val="0"/>
          <w:numId w:val="2"/>
        </w:numPr>
        <w:spacing w:after="40" w:before="40"/>
      </w:pPr>
      <w:r>
        <w:rPr>
          <w:rFonts w:ascii="Arial" w:cs="Arial" w:eastAsia="Arial" w:hAnsi="Arial"/>
          <w:color w:val="1A1A2E"/>
          <w:sz w:val="20"/>
          <w:szCs w:val="20"/>
        </w:rPr>
        <w:t xml:space="preserve">Comparable small open economies demonstrate independence is economically viable at Scotland's scale; the question is conditions and sequencing, not viability in principle.</w:t>
      </w:r>
    </w:p>
    <w:p>
      <w:pPr>
        <w:pStyle w:val="ListParagraph"/>
        <w:numPr>
          <w:ilvl w:val="0"/>
          <w:numId w:val="2"/>
        </w:numPr>
        <w:spacing w:after="40" w:before="40"/>
      </w:pPr>
      <w:r>
        <w:rPr>
          <w:rFonts w:ascii="Arial" w:cs="Arial" w:eastAsia="Arial" w:hAnsi="Arial"/>
          <w:color w:val="1A1A2E"/>
          <w:sz w:val="20"/>
          <w:szCs w:val="20"/>
        </w:rPr>
        <w:t xml:space="preserve">Defence savings (£0.8–1.8bn annually) and a reduced-scope foreign policy are genuine fiscal benefits.</w:t>
      </w:r>
    </w:p>
    <w:p>
      <w:pPr>
        <w:pStyle w:val="ListParagraph"/>
        <w:numPr>
          <w:ilvl w:val="0"/>
          <w:numId w:val="2"/>
        </w:numPr>
        <w:spacing w:after="40" w:before="40"/>
      </w:pPr>
      <w:r>
        <w:rPr>
          <w:rFonts w:ascii="Arial" w:cs="Arial" w:eastAsia="Arial" w:hAnsi="Arial"/>
          <w:color w:val="1A1A2E"/>
          <w:sz w:val="20"/>
          <w:szCs w:val="20"/>
        </w:rPr>
        <w:t xml:space="preserve">Scotland's current fiscal transfer from rUK (implied by GERS) comes with significant constraints on macroeconomic policy — constraints that may not serve Scotland's economic cycle or sectoral composition.</w:t>
      </w:r>
    </w:p>
    <w:p>
      <w:pPr>
        <w:pStyle w:val="Heading2"/>
        <w:spacing w:after="80" w:before="280"/>
      </w:pPr>
      <w:r>
        <w:rPr>
          <w:rFonts w:ascii="Arial" w:cs="Arial" w:eastAsia="Arial" w:hAnsi="Arial"/>
          <w:b/>
          <w:bCs/>
          <w:color w:val="2E6DA4"/>
          <w:sz w:val="24"/>
          <w:szCs w:val="24"/>
        </w:rPr>
        <w:t xml:space="preserve">Strongest Economic Arguments AGAINST Independence (near-to-medium term)</w:t>
      </w:r>
    </w:p>
    <w:p>
      <w:pPr>
        <w:pStyle w:val="ListParagraph"/>
        <w:numPr>
          <w:ilvl w:val="0"/>
          <w:numId w:val="2"/>
        </w:numPr>
        <w:spacing w:after="40" w:before="40"/>
      </w:pPr>
      <w:r>
        <w:rPr>
          <w:rFonts w:ascii="Arial" w:cs="Arial" w:eastAsia="Arial" w:hAnsi="Arial"/>
          <w:color w:val="1A1A2E"/>
          <w:sz w:val="20"/>
          <w:szCs w:val="20"/>
        </w:rPr>
        <w:t xml:space="preserve">A structural fiscal deficit of ~£8–17 billion (range reflects GERS adjustment debates) is the most significant near-term challenge; closing it requires a decade of fiscal discipline under any scenario.</w:t>
      </w:r>
    </w:p>
    <w:p>
      <w:pPr>
        <w:pStyle w:val="ListParagraph"/>
        <w:numPr>
          <w:ilvl w:val="0"/>
          <w:numId w:val="2"/>
        </w:numPr>
        <w:spacing w:after="40" w:before="40"/>
      </w:pPr>
      <w:r>
        <w:rPr>
          <w:rFonts w:ascii="Arial" w:cs="Arial" w:eastAsia="Arial" w:hAnsi="Arial"/>
          <w:color w:val="1A1A2E"/>
          <w:sz w:val="20"/>
          <w:szCs w:val="20"/>
        </w:rPr>
        <w:t xml:space="preserve">rUK trade dominance means border friction has an immediate and material impact — EU accession benefits, even if achieved, take years to materialise.</w:t>
      </w:r>
    </w:p>
    <w:p>
      <w:pPr>
        <w:pStyle w:val="ListParagraph"/>
        <w:numPr>
          <w:ilvl w:val="0"/>
          <w:numId w:val="2"/>
        </w:numPr>
        <w:spacing w:after="40" w:before="40"/>
      </w:pPr>
      <w:r>
        <w:rPr>
          <w:rFonts w:ascii="Arial" w:cs="Arial" w:eastAsia="Arial" w:hAnsi="Arial"/>
          <w:color w:val="1A1A2E"/>
          <w:sz w:val="20"/>
          <w:szCs w:val="20"/>
        </w:rPr>
        <w:t xml:space="preserve">Financial services relocation risk is high and likely partly irreversible; Edinburgh's position as a major financial centre could be permanently diminished.</w:t>
      </w:r>
    </w:p>
    <w:p>
      <w:pPr>
        <w:pStyle w:val="ListParagraph"/>
        <w:numPr>
          <w:ilvl w:val="0"/>
          <w:numId w:val="2"/>
        </w:numPr>
        <w:spacing w:after="40" w:before="40"/>
      </w:pPr>
      <w:r>
        <w:rPr>
          <w:rFonts w:ascii="Arial" w:cs="Arial" w:eastAsia="Arial" w:hAnsi="Arial"/>
          <w:color w:val="1A1A2E"/>
          <w:sz w:val="20"/>
          <w:szCs w:val="20"/>
        </w:rPr>
        <w:t xml:space="preserve">Currency uncertainty represents a near-term source of economic instability with no clearly optimal resolution.</w:t>
      </w:r>
    </w:p>
    <w:p>
      <w:pPr>
        <w:pStyle w:val="ListParagraph"/>
        <w:numPr>
          <w:ilvl w:val="0"/>
          <w:numId w:val="2"/>
        </w:numPr>
        <w:spacing w:after="40" w:before="40"/>
      </w:pPr>
      <w:r>
        <w:rPr>
          <w:rFonts w:ascii="Arial" w:cs="Arial" w:eastAsia="Arial" w:hAnsi="Arial"/>
          <w:color w:val="1A1A2E"/>
          <w:sz w:val="20"/>
          <w:szCs w:val="20"/>
        </w:rPr>
        <w:t xml:space="preserve">Household-level impacts — mortgage repricing, pension uncertainty, inflation — carry significant short-term costs that fall disproportionately on those least able to absorb them.</w:t>
      </w:r>
    </w:p>
    <w:p>
      <w:pPr>
        <w:pStyle w:val="ListParagraph"/>
        <w:numPr>
          <w:ilvl w:val="0"/>
          <w:numId w:val="2"/>
        </w:numPr>
        <w:spacing w:after="40" w:before="40"/>
      </w:pPr>
      <w:r>
        <w:rPr>
          <w:rFonts w:ascii="Arial" w:cs="Arial" w:eastAsia="Arial" w:hAnsi="Arial"/>
          <w:color w:val="1A1A2E"/>
          <w:sz w:val="20"/>
          <w:szCs w:val="20"/>
        </w:rPr>
        <w:t xml:space="preserve">One-off transition costs (£4.5–9.7bn) are real, would absorb resources otherwise deployable to public services or investment, and are front-loaded in the transition period.</w:t>
      </w:r>
    </w:p>
    <w:p>
      <w:pPr>
        <w:pStyle w:val="Heading2"/>
        <w:spacing w:after="80" w:before="280"/>
      </w:pPr>
      <w:r>
        <w:rPr>
          <w:rFonts w:ascii="Arial" w:cs="Arial" w:eastAsia="Arial" w:hAnsi="Arial"/>
          <w:b/>
          <w:bCs/>
          <w:color w:val="2E6DA4"/>
          <w:sz w:val="24"/>
          <w:szCs w:val="24"/>
        </w:rPr>
        <w:t xml:space="preserve">Overall Assessment</w:t>
      </w:r>
    </w:p>
    <w:p>
      <w:pPr>
        <w:spacing w:after="80" w:before="60"/>
      </w:pPr>
      <w:r>
        <w:rPr>
          <w:rFonts w:ascii="Arial" w:cs="Arial" w:eastAsia="Arial" w:hAnsi="Arial"/>
          <w:color w:val="1A1A2E"/>
          <w:sz w:val="20"/>
          <w:szCs w:val="20"/>
        </w:rPr>
        <w:t xml:space="preserve">The economic case for Scottish independence involves a genuine trade-off between near-term costs (fiscal, financial, household) and long-term opportunities (policy autonomy, EU access, energy transition). The near-term costs are larger, better-evidenced, and more certain than the long-term opportunities — not because the opportunities are illusory, but because they are contingent on policy choices, negotiation outcomes, and external variables that cannot be determined in advance.</w:t>
      </w:r>
    </w:p>
    <w:p>
      <w:pPr>
        <w:spacing w:after="80" w:before="60"/>
      </w:pPr>
      <w:r>
        <w:rPr>
          <w:rFonts w:ascii="Arial" w:cs="Arial" w:eastAsia="Arial" w:hAnsi="Arial"/>
          <w:color w:val="1A1A2E"/>
          <w:sz w:val="20"/>
          <w:szCs w:val="20"/>
        </w:rPr>
        <w:t xml:space="preserve">The central analytical question is not 'Is independence economically viable?' — comparable evidence suggests it is, at Scotland's scale, under reasonable conditions. The question is: 'What are the transition costs, and are the long-term benefits sufficient to justify them?' The answer to that question is genuinely uncertain and depends critically on the quality of governance before, during, and after transition.</w:t>
      </w:r>
    </w:p>
    <w:p>
      <w:pPr>
        <w:pBdr>
          <w:left w:val="single" w:color="C8A84B" w:sz="12" w:space="4"/>
        </w:pBdr>
        <w:shd w:fill="EAF2FA" w:val="clear"/>
        <w:spacing w:after="80" w:before="80"/>
        <w:ind w:left="360"/>
      </w:pPr>
      <w:r>
        <w:rPr>
          <w:rFonts w:ascii="Arial" w:cs="Arial" w:eastAsia="Arial" w:hAnsi="Arial"/>
          <w:i/>
          <w:iCs/>
          <w:color w:val="1A1A2E"/>
          <w:sz w:val="19"/>
          <w:szCs w:val="19"/>
        </w:rPr>
        <w:t xml:space="preserve">Final analytical judgment: The economic case for independence is neither straightforwardly strong nor straightforwardly weak. It is a high-variance proposition — the range of possible outcomes is wider than for the status quo. For those who prioritise near-term economic stability, this argues against. For those who prioritise long-run policy autonomy and accept transition risk, the case is coherent. This is ultimately a political judgment that economics can inform but not resolve.</w:t>
      </w:r>
    </w:p>
    <w:p>
      <w:pPr>
        <w:spacing w:after="80" w:before="80"/>
      </w:pPr>
      <w:r>
        <w:t xml:space="preserve"/>
      </w:r>
    </w:p>
    <w:p>
      <w:pPr>
        <w:pStyle w:val="Heading1"/>
        <w:pBdr>
          <w:bottom w:val="single" w:color="C8A84B" w:sz="8" w:space="4"/>
        </w:pBdr>
        <w:spacing w:after="120" w:before="480"/>
      </w:pPr>
      <w:r>
        <w:rPr>
          <w:rFonts w:ascii="Arial" w:cs="Arial" w:eastAsia="Arial" w:hAnsi="Arial"/>
          <w:b/>
          <w:bCs/>
          <w:color w:val="1B3A6B"/>
          <w:sz w:val="30"/>
          <w:szCs w:val="30"/>
        </w:rPr>
        <w:t xml:space="preserve">15. Final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340"/>
        <w:gridCol w:w="2340"/>
        <w:gridCol w:w="3000"/>
      </w:tblGrid>
      <w:tr>
        <w:trPr>
          <w:tblHeader/>
        </w:trPr>
        <w:tc>
          <w:tcPr>
            <w:tcW w:type="dxa" w:w="168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34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Likely Positive Impact</w:t>
            </w:r>
          </w:p>
        </w:tc>
        <w:tc>
          <w:tcPr>
            <w:tcW w:type="dxa" w:w="234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Likely Negative Impact</w:t>
            </w:r>
          </w:p>
        </w:tc>
        <w:tc>
          <w:tcPr>
            <w:tcW w:type="dxa" w:w="3000"/>
            <w:tcBorders>
              <w:top w:val="single" w:color="AACCE0" w:sz="1"/>
              <w:left w:val="single" w:color="AACCE0" w:sz="1"/>
              <w:bottom w:val="single" w:color="AACCE0" w:sz="1"/>
              <w:right w:val="single" w:color="AACCE0"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Trade &amp; Borders</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re-entry could boost exports over 10+ years; regulatory flexibility</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Significant near-term rUK trade friction (~60% of exports at risk); border costs</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Currency &amp; Monetary Policy</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monetary sovereignty possible; long-run policy flexibility</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Short-term instability; currency risk premium; higher borrowing costs; redenomination risk</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8B6914"/>
                <w:sz w:val="18"/>
                <w:szCs w:val="18"/>
              </w:rPr>
              <w:t xml:space="preserve">Low–Medium</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Fiscal Position</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tax/spend control; North Sea revenues; EU structural funds</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Structural deficit ~9–10% of GDP; debt allocation risk; austerity likely</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High (deficit risk)</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Investment &amp; FDI</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single market access; renewable energy FDI; brand differentiation</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Relocation risk for multinationals; regulatory uncertainty suppresses investment 3–5 years</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Energy – Renewables</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Substantial export potential; green FDI; competitive advantage</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Grid infrastructure costs; profit capture uncertain; England may reduce import dependence</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 (long-run positive)</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Energy – Oil &amp; Gas</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Near-term revenues; decommissioning fund potential</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Declining basin; volatile revenues; full decommissioning liability (~£20bn+)</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High (structural decline)</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Defence &amp; Security</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Policy autonomy; potential nuclear-free savings; NATO alignment</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Setup costs £1.5–3bn; loss of defence sector jobs; intelligence gap</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Labour Market</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Independent migration policy; EU free movement</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Potential fragmentation with rUK labour market; demographic pressures</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Financial Services</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Regulatory divergence opportunities; fintech niche</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 relocation risk; BoE backstop lost; Edinburgh's position permanently diminished</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High (risk)</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Public Services</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Policy autonomy for NHS, education; design flexibility</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One-off transition costs; pension liability uncertainty; procurement scale loss</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Medium–High</w:t>
            </w:r>
          </w:p>
        </w:tc>
      </w:tr>
      <w:tr>
        <w:tc>
          <w:tcPr>
            <w:tcW w:type="dxa" w:w="168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Households</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Long-run: lower costs if growth scenario plays out</w:t>
            </w:r>
          </w:p>
        </w:tc>
        <w:tc>
          <w:tcPr>
            <w:tcW w:type="dxa" w:w="234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Short-run: mortgage repricing, pension uncertainty, inflation risk, savings disruption</w:t>
            </w:r>
          </w:p>
        </w:tc>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High (short-run risk)</w:t>
            </w:r>
          </w:p>
        </w:tc>
      </w:tr>
      <w:tr>
        <w:tc>
          <w:tcPr>
            <w:tcW w:type="dxa" w:w="168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Agriculture &amp; Fisheries</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EU access; bespoke rural policy</w:t>
            </w:r>
          </w:p>
        </w:tc>
        <w:tc>
          <w:tcPr>
            <w:tcW w:type="dxa" w:w="234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UK subsidy disruption; quota renegotiation complexity</w:t>
            </w:r>
          </w:p>
        </w:tc>
        <w:tc>
          <w:tcPr>
            <w:tcW w:type="dxa" w:w="3000"/>
            <w:tcBorders>
              <w:top w:val="single" w:color="AACCE0" w:sz="1"/>
              <w:left w:val="single" w:color="AACCE0" w:sz="1"/>
              <w:bottom w:val="single" w:color="AACCE0" w:sz="1"/>
              <w:right w:val="single" w:color="AACCE0" w:sz="1"/>
            </w:tcBorders>
            <w:shd w:fill="F5F9FD" w:val="clear"/>
            <w:tcMar>
              <w:top w:type="dxa" w:w="80"/>
              <w:left w:type="dxa" w:w="120"/>
              <w:bottom w:type="dxa" w:w="80"/>
              <w:right w:type="dxa" w:w="120"/>
            </w:tcMar>
          </w:tcPr>
          <w:p>
            <w:pPr>
              <w:jc w:val="left"/>
            </w:pPr>
            <w:r>
              <w:rPr>
                <w:rFonts w:ascii="Arial" w:cs="Arial" w:eastAsia="Arial" w:hAnsi="Arial"/>
                <w:b w:val="false"/>
                <w:bCs w:val="false"/>
                <w:color w:val="2E6DA4"/>
                <w:sz w:val="18"/>
                <w:szCs w:val="18"/>
              </w:rPr>
              <w:t xml:space="preserve">Medium</w:t>
            </w:r>
          </w:p>
        </w:tc>
      </w:tr>
    </w:tbl>
    <w:p>
      <w:pPr>
        <w:spacing w:after="80" w:before="80"/>
      </w:pPr>
      <w:r>
        <w:t xml:space="preserve"/>
      </w:r>
    </w:p>
    <w:p>
      <w:pPr>
        <w:pBdr>
          <w:top w:val="single" w:color="C8A84B" w:sz="4" w:space="4"/>
        </w:pBdr>
        <w:spacing w:after="0" w:before="400"/>
        <w:jc w:val="center"/>
      </w:pPr>
      <w:r>
        <w:rPr>
          <w:rFonts w:ascii="Arial" w:cs="Arial" w:eastAsia="Arial" w:hAnsi="Arial"/>
          <w:i/>
          <w:iCs/>
          <w:color w:val="888888"/>
          <w:sz w:val="16"/>
          <w:szCs w:val="16"/>
        </w:rPr>
        <w:t xml:space="preserve">This report is produced for analytical and educational purposes only. It does not constitute financial, legal, or political advice.</w:t>
      </w:r>
    </w:p>
    <w:p>
      <w:pPr>
        <w:spacing w:after="0" w:before="40"/>
        <w:jc w:val="center"/>
      </w:pPr>
      <w:r>
        <w:rPr>
          <w:rFonts w:ascii="Arial" w:cs="Arial" w:eastAsia="Arial" w:hAnsi="Arial"/>
          <w:i/>
          <w:iCs/>
          <w:color w:val="888888"/>
          <w:sz w:val="16"/>
          <w:szCs w:val="16"/>
        </w:rPr>
        <w:t xml:space="preserve">Principal sources: ONS, Scottish Government GERS, IFS, Fraser of Allander Institute, OBR, IMF World Economic Outlook, OECD, UK MOD, Bank of England, Centre for European Reform.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Scottish Independence — Economic Impact Assessment v2  |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2026-04-28T09:38:38.096Z</dcterms:created>
  <dcterms:modified xsi:type="dcterms:W3CDTF">2026-04-28T09:38:38.098Z</dcterms:modified>
</cp:coreProperties>
</file>

<file path=docProps/custom.xml><?xml version="1.0" encoding="utf-8"?>
<Properties xmlns="http://schemas.openxmlformats.org/officeDocument/2006/custom-properties" xmlns:vt="http://schemas.openxmlformats.org/officeDocument/2006/docPropsVTypes"/>
</file>