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E5AC7">
      <w:pPr>
        <w:pStyle w:val="2"/>
      </w:pPr>
      <w:r>
        <w:rPr>
          <w:rFonts w:hint="eastAsia"/>
          <w:b/>
          <w:sz w:val="48"/>
          <w:lang w:val="en-US" w:eastAsia="zh-CN"/>
        </w:rPr>
        <w:t>H</w:t>
      </w:r>
      <w:r>
        <w:rPr>
          <w:b/>
          <w:sz w:val="48"/>
        </w:rPr>
        <w:t>ow to Improve Concert Ticket Bot Success Rate: Rotating Residential Proxy Setup &amp; Configuration Guide</w:t>
      </w:r>
    </w:p>
    <w:p w14:paraId="5B87D493">
      <w:r>
        <w:t>In high-demand concert ticket sales, using automation scripts can significantly improve ticket purchasing efficiency. When automated ticket buying fails, many people assume the issue lies in the script itself or that the platform has detected bot activity. In reality, as ticketing platforms continue upgrading their anti-bot systems, the quality of the network environment has become one of the most important factors affecting ticket purchase success rates.</w:t>
      </w:r>
    </w:p>
    <w:p w14:paraId="3C90793B">
      <w:r>
        <w:t>This article explains how ticketing platforms detect abnormal users and how optimizing your network environment and configuring proxies can improve your chances of successfully purchasing concert tickets.</w:t>
      </w:r>
    </w:p>
    <w:p w14:paraId="2BD5B62C">
      <w:bookmarkStart w:id="25" w:name="_GoBack"/>
      <w:bookmarkEnd w:id="25"/>
    </w:p>
    <w:p w14:paraId="69DACA9D">
      <w:r>
        <w:drawing>
          <wp:inline distT="0" distB="0" distL="0" distR="0">
            <wp:extent cx="5143500" cy="3429000"/>
            <wp:effectExtent l="0" t="0" r="0" b="0"/>
            <wp:docPr id="2" name="image.png"/>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4"/>
                    <a:stretch>
                      <a:fillRect/>
                    </a:stretch>
                  </pic:blipFill>
                  <pic:spPr>
                    <a:xfrm>
                      <a:off x="0" y="0"/>
                      <a:ext cx="5143500" cy="3429000"/>
                    </a:xfrm>
                    <a:prstGeom prst="rect">
                      <a:avLst/>
                    </a:prstGeom>
                  </pic:spPr>
                </pic:pic>
              </a:graphicData>
            </a:graphic>
          </wp:inline>
        </w:drawing>
      </w:r>
    </w:p>
    <w:p w14:paraId="04DDCBD6">
      <w:pPr>
        <w:pStyle w:val="3"/>
      </w:pPr>
      <w:bookmarkStart w:id="0" w:name="mpb0n8iey3482t79xx"/>
      <w:r>
        <w:rPr>
          <w:b/>
        </w:rPr>
        <w:t>I. How Concert Ticketing Platforms Detect Abnormal Users</w:t>
      </w:r>
      <w:bookmarkEnd w:id="0"/>
    </w:p>
    <w:p w14:paraId="1879CE75">
      <w:r>
        <w:t>In recent years, the concert market has become increasingly competitive, with hundreds of thousands of users competing for tickets at the same time. While demand greatly exceeds supply, stricter platform risk-control systems also make ticket buying more difficult.</w:t>
      </w:r>
    </w:p>
    <w:p w14:paraId="3718122B">
      <w:r>
        <w:t>Unfortunately, many normal users are mistakenly flagged as scalpers or bots. Before using automation for ticket purchasing, it is important to understand the four main methods platforms use to identify suspicious activity.</w:t>
      </w:r>
    </w:p>
    <w:p w14:paraId="32158BA2">
      <w:pPr>
        <w:pStyle w:val="4"/>
      </w:pPr>
      <w:bookmarkStart w:id="1" w:name="mpb0n8iflts895gsmqi"/>
      <w:r>
        <w:t>1. IP-Based Risk Control</w:t>
      </w:r>
      <w:bookmarkEnd w:id="1"/>
    </w:p>
    <w:p w14:paraId="5C38F123">
      <w:r>
        <w:t>This is one of the core detection methods used by ticketing platforms. Platforms continuously analyze the behavior of each IP address:</w:t>
      </w:r>
    </w:p>
    <w:p w14:paraId="1FA3A80E">
      <w:pPr>
        <w:numPr>
          <w:ilvl w:val="0"/>
          <w:numId w:val="1"/>
        </w:numPr>
      </w:pPr>
      <w:r>
        <w:t>High-frequency requests from the same IP within a short period can trigger rate limits</w:t>
      </w:r>
    </w:p>
    <w:p w14:paraId="26F4F3F2">
      <w:pPr>
        <w:numPr>
          <w:ilvl w:val="0"/>
          <w:numId w:val="1"/>
        </w:numPr>
      </w:pPr>
      <w:r>
        <w:t>Datacenter IPs and VPS IPs are often classified as high risk</w:t>
      </w:r>
    </w:p>
    <w:p w14:paraId="0C181DA5">
      <w:pPr>
        <w:numPr>
          <w:ilvl w:val="0"/>
          <w:numId w:val="1"/>
        </w:numPr>
      </w:pPr>
      <w:r>
        <w:t>Platforms compare IPs against reputation and blacklist databases shared across multiple services</w:t>
      </w:r>
    </w:p>
    <w:p w14:paraId="15D07316">
      <w:pPr>
        <w:pStyle w:val="4"/>
      </w:pPr>
      <w:bookmarkStart w:id="2" w:name="mpb0n8ify27tm4wnmd"/>
      <w:r>
        <w:t>2. Browser Fingerprinting</w:t>
      </w:r>
      <w:bookmarkEnd w:id="2"/>
    </w:p>
    <w:p w14:paraId="6180A221">
      <w:r>
        <w:t>Even if the IP changes, platforms can still identify the same device through browser fingerprinting. Fingerprint data may include:</w:t>
      </w:r>
    </w:p>
    <w:p w14:paraId="70FA4F81">
      <w:pPr>
        <w:numPr>
          <w:ilvl w:val="0"/>
          <w:numId w:val="2"/>
        </w:numPr>
      </w:pPr>
      <w:r>
        <w:t>User-Agent</w:t>
      </w:r>
    </w:p>
    <w:p w14:paraId="563A834A">
      <w:pPr>
        <w:numPr>
          <w:ilvl w:val="0"/>
          <w:numId w:val="2"/>
        </w:numPr>
      </w:pPr>
      <w:r>
        <w:t>Screen resolution</w:t>
      </w:r>
    </w:p>
    <w:p w14:paraId="27612386">
      <w:pPr>
        <w:numPr>
          <w:ilvl w:val="0"/>
          <w:numId w:val="2"/>
        </w:numPr>
      </w:pPr>
      <w:r>
        <w:t>Time zone</w:t>
      </w:r>
    </w:p>
    <w:p w14:paraId="318424BD">
      <w:pPr>
        <w:numPr>
          <w:ilvl w:val="0"/>
          <w:numId w:val="2"/>
        </w:numPr>
      </w:pPr>
      <w:r>
        <w:t>Installed fonts</w:t>
      </w:r>
    </w:p>
    <w:p w14:paraId="7585E6DA">
      <w:pPr>
        <w:numPr>
          <w:ilvl w:val="0"/>
          <w:numId w:val="2"/>
        </w:numPr>
      </w:pPr>
      <w:r>
        <w:t>Canvas rendering characteristics</w:t>
      </w:r>
    </w:p>
    <w:p w14:paraId="5F65779A">
      <w:pPr>
        <w:numPr>
          <w:ilvl w:val="0"/>
          <w:numId w:val="2"/>
        </w:numPr>
      </w:pPr>
      <w:r>
        <w:t>WebGL parameters</w:t>
      </w:r>
    </w:p>
    <w:p w14:paraId="4FEDFEE9">
      <w:r>
        <w:t>Combined together, these attributes can uniquely identify a device.</w:t>
      </w:r>
    </w:p>
    <w:p w14:paraId="5AF10A21">
      <w:pPr>
        <w:pStyle w:val="4"/>
      </w:pPr>
      <w:bookmarkStart w:id="3" w:name="mpb0n8ih4hgrbefx2k4"/>
      <w:r>
        <w:t>3. Behavioral Analysis</w:t>
      </w:r>
      <w:bookmarkEnd w:id="3"/>
    </w:p>
    <w:p w14:paraId="56BF4323">
      <w:r>
        <w:t>AI-based anti-bot systems analyze user behavior patterns, such as:</w:t>
      </w:r>
    </w:p>
    <w:p w14:paraId="6C85CBF1">
      <w:pPr>
        <w:numPr>
          <w:ilvl w:val="0"/>
          <w:numId w:val="3"/>
        </w:numPr>
      </w:pPr>
      <w:r>
        <w:t>Perfectly regular clicking intervals</w:t>
      </w:r>
    </w:p>
    <w:p w14:paraId="588DEB9D">
      <w:pPr>
        <w:numPr>
          <w:ilvl w:val="0"/>
          <w:numId w:val="3"/>
        </w:numPr>
      </w:pPr>
      <w:r>
        <w:t>Extremely short page dwell times</w:t>
      </w:r>
    </w:p>
    <w:p w14:paraId="18CCF2F0">
      <w:pPr>
        <w:numPr>
          <w:ilvl w:val="0"/>
          <w:numId w:val="3"/>
        </w:numPr>
      </w:pPr>
      <w:r>
        <w:t>Unrealistically straight mouse movements</w:t>
      </w:r>
    </w:p>
    <w:p w14:paraId="6DDE746F">
      <w:r>
        <w:t>Behavior that appears “too perfect” is often flagged as automated activity.</w:t>
      </w:r>
    </w:p>
    <w:p w14:paraId="62B4D0E7">
      <w:pPr>
        <w:pStyle w:val="4"/>
      </w:pPr>
      <w:bookmarkStart w:id="4" w:name="mpb0n8ihbof7i0wv0w"/>
      <w:r>
        <w:t>4. Multi-Account Association</w:t>
      </w:r>
      <w:bookmarkEnd w:id="4"/>
    </w:p>
    <w:p w14:paraId="370A7B2D">
      <w:r>
        <w:t>Platforms track accounts logged in from the same device or IP address. Once suspicious account associations are detected, all related accounts may be restricted simultaneously.</w:t>
      </w:r>
    </w:p>
    <w:p w14:paraId="65BA35FE">
      <w:r>
        <w:drawing>
          <wp:inline distT="0" distB="0" distL="0" distR="0">
            <wp:extent cx="3631565" cy="2221865"/>
            <wp:effectExtent l="0" t="0" r="0" b="0"/>
            <wp:docPr id="3" name="图片 3.png"/>
            <wp:cNvGraphicFramePr/>
            <a:graphic xmlns:a="http://schemas.openxmlformats.org/drawingml/2006/main">
              <a:graphicData uri="http://schemas.openxmlformats.org/drawingml/2006/picture">
                <pic:pic xmlns:pic="http://schemas.openxmlformats.org/drawingml/2006/picture">
                  <pic:nvPicPr>
                    <pic:cNvPr id="3" name="图片 3.png"/>
                    <pic:cNvPicPr/>
                  </pic:nvPicPr>
                  <pic:blipFill>
                    <a:blip r:embed="rId5"/>
                    <a:stretch>
                      <a:fillRect/>
                    </a:stretch>
                  </pic:blipFill>
                  <pic:spPr>
                    <a:xfrm>
                      <a:off x="0" y="0"/>
                      <a:ext cx="3632168" cy="2222468"/>
                    </a:xfrm>
                    <a:prstGeom prst="rect">
                      <a:avLst/>
                    </a:prstGeom>
                  </pic:spPr>
                </pic:pic>
              </a:graphicData>
            </a:graphic>
          </wp:inline>
        </w:drawing>
      </w:r>
    </w:p>
    <w:p w14:paraId="21E334EA">
      <w:pPr>
        <w:pStyle w:val="3"/>
      </w:pPr>
      <w:bookmarkStart w:id="5" w:name="mpb0n8ihsrdq9u2wamj"/>
      <w:r>
        <w:rPr>
          <w:b/>
        </w:rPr>
        <w:t>II. Automated Ticket Purchasing: Proxy Setup &amp; Environment Strategy</w:t>
      </w:r>
      <w:bookmarkEnd w:id="5"/>
    </w:p>
    <w:p w14:paraId="19FDDB8A">
      <w:r>
        <w:t>Once you understand how platforms identify suspicious users, the solution becomes clearer: make your requests appear like those of a normal user.</w:t>
      </w:r>
    </w:p>
    <w:p w14:paraId="6B58474F">
      <w:pPr>
        <w:pStyle w:val="4"/>
      </w:pPr>
      <w:bookmarkStart w:id="6" w:name="mpb0n8iizacbhbslbg"/>
      <w:r>
        <w:t>1. Use Rotating Residential Proxies</w:t>
      </w:r>
      <w:bookmarkEnd w:id="6"/>
    </w:p>
    <w:p w14:paraId="19AE6768">
      <w:r>
        <w:t>This is one of the most effective ways to improve automated ticket purchasing success rates.</w:t>
      </w:r>
    </w:p>
    <w:p w14:paraId="5EBB18CD">
      <w:r>
        <w:t>Compared with dedicated static proxy solutions, rotating residential proxy services periodically rotate IP addresses. Even if one request fails or an IP becomes restricted, subsequent requests can use fresh IPs, greatly reducing the risk of long-term blocking.</w:t>
      </w:r>
    </w:p>
    <w:p w14:paraId="6C330E08">
      <w:r>
        <w:t>For concert ticket purchasing, selecting proxy nodes geographically close to the ticketing platform’s servers can also reduce latency and speed up requests.</w:t>
      </w:r>
    </w:p>
    <w:p w14:paraId="65B27560">
      <w:pPr>
        <w:pStyle w:val="4"/>
      </w:pPr>
      <w:bookmarkStart w:id="7" w:name="mpb0n8ijr9dz6omdf7e"/>
      <w:r>
        <w:t>2. Optimize Your Network Environment</w:t>
      </w:r>
      <w:bookmarkEnd w:id="7"/>
    </w:p>
    <w:p w14:paraId="11FDE9C7">
      <w:r>
        <w:t>Bandwidth and connection quality also matter during ticket sales.</w:t>
      </w:r>
    </w:p>
    <w:p w14:paraId="37EF2E3F">
      <w:pPr>
        <w:numPr>
          <w:ilvl w:val="0"/>
          <w:numId w:val="4"/>
        </w:numPr>
      </w:pPr>
      <w:r>
        <w:t>Use a dedicated home network instead of public Wi-Fi</w:t>
      </w:r>
    </w:p>
    <w:p w14:paraId="19C0B5C6">
      <w:pPr>
        <w:numPr>
          <w:ilvl w:val="0"/>
          <w:numId w:val="4"/>
        </w:numPr>
      </w:pPr>
      <w:r>
        <w:t>Close unnecessary bandwidth-consuming applications</w:t>
      </w:r>
    </w:p>
    <w:p w14:paraId="4C0840AD">
      <w:pPr>
        <w:numPr>
          <w:ilvl w:val="0"/>
          <w:numId w:val="4"/>
        </w:numPr>
      </w:pPr>
      <w:r>
        <w:t>Reserve network resources for ticket purchasing requests</w:t>
      </w:r>
    </w:p>
    <w:p w14:paraId="1CB5821C">
      <w:pPr>
        <w:numPr>
          <w:ilvl w:val="0"/>
          <w:numId w:val="4"/>
        </w:numPr>
      </w:pPr>
      <w:r>
        <w:t>Use wired connections when possible to reduce packet loss and instability</w:t>
      </w:r>
    </w:p>
    <w:p w14:paraId="346D57A3">
      <w:pPr>
        <w:pStyle w:val="4"/>
      </w:pPr>
      <w:bookmarkStart w:id="8" w:name="mpb0n8ij98vv9sgx00d"/>
      <w:r>
        <w:t>3. Isolate Browser Environments</w:t>
      </w:r>
      <w:bookmarkEnd w:id="8"/>
    </w:p>
    <w:p w14:paraId="3A2BC27A">
      <w:r>
        <w:t>Create independent browser profiles for each ticket account and pair them with separate proxies.</w:t>
      </w:r>
    </w:p>
    <w:p w14:paraId="4C9817A7">
      <w:r>
        <w:t>Different accounts should use different browser fingerprints to avoid account association. Many users use an Anti-detect browser for deeper browser environment isolation.</w:t>
      </w:r>
    </w:p>
    <w:p w14:paraId="63ABD38A">
      <w:pPr>
        <w:pStyle w:val="4"/>
      </w:pPr>
      <w:bookmarkStart w:id="9" w:name="mpb0n8ikh54hkp7hug"/>
      <w:r>
        <w:t>4. Reduce Abnormal Signals</w:t>
      </w:r>
      <w:bookmarkEnd w:id="9"/>
    </w:p>
    <w:p w14:paraId="0D032CAA">
      <w:r>
        <w:t>Complete account verification and payment setup in advance to reduce unnecessary actions during checkout.</w:t>
      </w:r>
    </w:p>
    <w:p w14:paraId="01EC29F2">
      <w:pPr>
        <w:pStyle w:val="3"/>
      </w:pPr>
      <w:bookmarkStart w:id="10" w:name="mpb0n8ikwdkc6l4x3t8"/>
      <w:r>
        <w:rPr>
          <w:b/>
        </w:rPr>
        <w:t>III. Automated Ticket Purchasing: Proxy Configuration Workflow</w:t>
      </w:r>
      <w:bookmarkEnd w:id="10"/>
    </w:p>
    <w:p w14:paraId="189AF11F">
      <w:r>
        <w:t>As mentioned earlier, the rotation mechanism of rotating residential proxy services allows IP switching after failed requests, reducing the risk of repeated restrictions caused by using the same IP.</w:t>
      </w:r>
    </w:p>
    <w:p w14:paraId="481BCA76">
      <w:r>
        <w:t>For example, IPFoxy Proxies provides millions of real residential IPs sourced from genuine home network users. It supports sticky sessions and automatic IP rotation, helping users avoid restrictions caused by low-trust or repeatedly used IP addresses.</w:t>
      </w:r>
    </w:p>
    <w:p w14:paraId="2286FBC0">
      <w:r>
        <w:t>Below is a basic setup workflow using IPFoxy Proxies as an example.</w:t>
      </w:r>
    </w:p>
    <w:p w14:paraId="1A6F8312">
      <w:pPr>
        <w:pStyle w:val="4"/>
      </w:pPr>
      <w:bookmarkStart w:id="11" w:name="mpb0n8ilsippr3a4mia"/>
      <w:r>
        <w:t>1. Register and Obtain Proxy Credentials</w:t>
      </w:r>
      <w:bookmarkEnd w:id="11"/>
    </w:p>
    <w:p w14:paraId="2EBDAF3B">
      <w:r>
        <w:t>Get a rotating residential proxy from IPFoxy Proxies. Select proxy nodes based on the ticketing platform’s server region, then configure protocol type and session rotation settings to generate your proxy credentials.</w:t>
      </w:r>
    </w:p>
    <w:p w14:paraId="0F4534AA">
      <w:r>
        <w:drawing>
          <wp:inline distT="0" distB="0" distL="0" distR="0">
            <wp:extent cx="6953250" cy="3651250"/>
            <wp:effectExtent l="0" t="0" r="0" b="0"/>
            <wp:docPr id="4" name="webp-英文动态代理1.webp"/>
            <wp:cNvGraphicFramePr/>
            <a:graphic xmlns:a="http://schemas.openxmlformats.org/drawingml/2006/main">
              <a:graphicData uri="http://schemas.openxmlformats.org/drawingml/2006/picture">
                <pic:pic xmlns:pic="http://schemas.openxmlformats.org/drawingml/2006/picture">
                  <pic:nvPicPr>
                    <pic:cNvPr id="4" name="webp-英文动态代理1.webp"/>
                    <pic:cNvPicPr/>
                  </pic:nvPicPr>
                  <pic:blipFill>
                    <a:blip r:embed="rId6"/>
                    <a:stretch>
                      <a:fillRect/>
                    </a:stretch>
                  </pic:blipFill>
                  <pic:spPr>
                    <a:xfrm>
                      <a:off x="0" y="0"/>
                      <a:ext cx="6953250" cy="3651550"/>
                    </a:xfrm>
                    <a:prstGeom prst="rect">
                      <a:avLst/>
                    </a:prstGeom>
                  </pic:spPr>
                </pic:pic>
              </a:graphicData>
            </a:graphic>
          </wp:inline>
        </w:drawing>
      </w:r>
    </w:p>
    <w:p w14:paraId="4B6F3BCE"/>
    <w:p w14:paraId="150E0472">
      <w:pPr>
        <w:pStyle w:val="4"/>
      </w:pPr>
      <w:bookmarkStart w:id="12" w:name="mpb0n8il21ibcxsi3lg"/>
      <w:r>
        <w:t>2. Configure the Proxy in Your Browser</w:t>
      </w:r>
      <w:bookmarkEnd w:id="12"/>
    </w:p>
    <w:p w14:paraId="1C460A88">
      <w:r>
        <w:t>IPFoxy Proxies supports both SOCKS5 and HTTP protocols and can be used with Anti-detect browser tools and automation platforms.</w:t>
      </w:r>
    </w:p>
    <w:p w14:paraId="63F67F1C">
      <w:r>
        <w:t>For concert ticket purchasing, using proxies together with an Anti-detect browser is recommended.</w:t>
      </w:r>
    </w:p>
    <w:p w14:paraId="558AF511">
      <w:r>
        <w:drawing>
          <wp:inline distT="0" distB="0" distL="0" distR="0">
            <wp:extent cx="6953250" cy="3441065"/>
            <wp:effectExtent l="0" t="0" r="0" b="0"/>
            <wp:docPr id="5" name="英文ads.png"/>
            <wp:cNvGraphicFramePr/>
            <a:graphic xmlns:a="http://schemas.openxmlformats.org/drawingml/2006/main">
              <a:graphicData uri="http://schemas.openxmlformats.org/drawingml/2006/picture">
                <pic:pic xmlns:pic="http://schemas.openxmlformats.org/drawingml/2006/picture">
                  <pic:nvPicPr>
                    <pic:cNvPr id="5" name="英文ads.png"/>
                    <pic:cNvPicPr/>
                  </pic:nvPicPr>
                  <pic:blipFill>
                    <a:blip r:embed="rId7"/>
                    <a:stretch>
                      <a:fillRect/>
                    </a:stretch>
                  </pic:blipFill>
                  <pic:spPr>
                    <a:xfrm>
                      <a:off x="0" y="0"/>
                      <a:ext cx="6953250" cy="3441508"/>
                    </a:xfrm>
                    <a:prstGeom prst="rect">
                      <a:avLst/>
                    </a:prstGeom>
                  </pic:spPr>
                </pic:pic>
              </a:graphicData>
            </a:graphic>
          </wp:inline>
        </w:drawing>
      </w:r>
    </w:p>
    <w:p w14:paraId="5FB13260"/>
    <w:p w14:paraId="4213DD3C">
      <w:pPr>
        <w:pStyle w:val="4"/>
      </w:pPr>
      <w:bookmarkStart w:id="13" w:name="mpb0n8ilcw40zw6alhm"/>
      <w:r>
        <w:t>3. Verify IP Connectivity and Quality</w:t>
      </w:r>
      <w:bookmarkEnd w:id="13"/>
    </w:p>
    <w:p w14:paraId="3BECE822">
      <w:r>
        <w:t>After configuration, verify that the proxy is active by checking the displayed IP location and testing the IP quality using professional IP detection tools.</w:t>
      </w:r>
    </w:p>
    <w:p w14:paraId="6DF9F132">
      <w:pPr>
        <w:pStyle w:val="4"/>
      </w:pPr>
      <w:bookmarkStart w:id="14" w:name="mpb0n8im680ce04t0l"/>
      <w:r>
        <w:t>4. Test Before the Sale Starts</w:t>
      </w:r>
      <w:bookmarkEnd w:id="14"/>
    </w:p>
    <w:p w14:paraId="7D518DEF">
      <w:r>
        <w:t>Log into the ticketing platform in advance and browse normally for several minutes. Confirm that the account does not trigger any abnormal warnings before waiting for ticket sales to begin.</w:t>
      </w:r>
    </w:p>
    <w:p w14:paraId="2F12410C">
      <w:pPr>
        <w:pStyle w:val="3"/>
      </w:pPr>
      <w:bookmarkStart w:id="15" w:name="mpb0n8imvvxx0a8cxr"/>
      <w:r>
        <w:rPr>
          <w:b/>
        </w:rPr>
        <w:t>IV. Practical Tips to Improve Concert Ticket Purchase Success Rate</w:t>
      </w:r>
      <w:bookmarkEnd w:id="15"/>
    </w:p>
    <w:p w14:paraId="607EF902">
      <w:r>
        <w:t>A clean network environment is only the foundation. Combining it with proper strategies can further improve your success rate.</w:t>
      </w:r>
    </w:p>
    <w:p w14:paraId="3167770C">
      <w:pPr>
        <w:pStyle w:val="4"/>
      </w:pPr>
      <w:bookmarkStart w:id="16" w:name="mpb0n8im34a80kgw0ns"/>
      <w:r>
        <w:t>1. Log In Early and Bind Payment Methods</w:t>
      </w:r>
      <w:bookmarkEnd w:id="16"/>
    </w:p>
    <w:p w14:paraId="6A896F3F">
      <w:r>
        <w:t>Log into your account at least 30 minutes before ticket sales begin.</w:t>
      </w:r>
    </w:p>
    <w:p w14:paraId="14CDC498">
      <w:r>
        <w:t>Complete:</w:t>
      </w:r>
    </w:p>
    <w:p w14:paraId="2B2AF608">
      <w:pPr>
        <w:numPr>
          <w:ilvl w:val="0"/>
          <w:numId w:val="5"/>
        </w:numPr>
      </w:pPr>
      <w:r>
        <w:t>Identity verification</w:t>
      </w:r>
    </w:p>
    <w:p w14:paraId="474D68D6">
      <w:pPr>
        <w:numPr>
          <w:ilvl w:val="0"/>
          <w:numId w:val="5"/>
        </w:numPr>
      </w:pPr>
      <w:r>
        <w:t>Shipping information</w:t>
      </w:r>
    </w:p>
    <w:p w14:paraId="020889F4">
      <w:pPr>
        <w:numPr>
          <w:ilvl w:val="0"/>
          <w:numId w:val="5"/>
        </w:numPr>
      </w:pPr>
      <w:r>
        <w:t>Payment method binding</w:t>
      </w:r>
    </w:p>
    <w:p w14:paraId="10A02670">
      <w:r>
        <w:t>Reducing extra actions during checkout can save valuable seconds.</w:t>
      </w:r>
    </w:p>
    <w:p w14:paraId="0C2AD663">
      <w:pPr>
        <w:pStyle w:val="4"/>
      </w:pPr>
      <w:bookmarkStart w:id="17" w:name="mpb0n8ind40w829glm"/>
      <w:r>
        <w:t>2. Use Multiple Devices Simultaneously</w:t>
      </w:r>
      <w:bookmarkEnd w:id="17"/>
    </w:p>
    <w:p w14:paraId="4EB244BE">
      <w:r>
        <w:t>Stay logged in on both the mobile app and desktop browser.</w:t>
      </w:r>
    </w:p>
    <w:p w14:paraId="73BE1164">
      <w:r>
        <w:t>Operate both simultaneously and complete payment on whichever device succeeds first. Mobile apps are often more stable than web pages during peak traffic periods.</w:t>
      </w:r>
    </w:p>
    <w:p w14:paraId="291DD795">
      <w:pPr>
        <w:pStyle w:val="4"/>
      </w:pPr>
      <w:bookmarkStart w:id="18" w:name="mpb0n8ioznpb0lebp8"/>
      <w:r>
        <w:t>3. Choose Low-Latency Proxy Nodes</w:t>
      </w:r>
      <w:bookmarkEnd w:id="18"/>
    </w:p>
    <w:p w14:paraId="391FDED8">
      <w:r>
        <w:t>When using proxies, prioritize nodes close to the ticketing platform’s CDN or server location to reduce latency.</w:t>
      </w:r>
    </w:p>
    <w:p w14:paraId="5A217510">
      <w:pPr>
        <w:pStyle w:val="4"/>
      </w:pPr>
      <w:bookmarkStart w:id="19" w:name="mpb0n8iog5vj491s0mq"/>
      <w:r>
        <w:t>4. Avoid Excessive Refreshing</w:t>
      </w:r>
      <w:bookmarkEnd w:id="19"/>
    </w:p>
    <w:p w14:paraId="31B892B6">
      <w:r>
        <w:t>Open the ticket purchase page in advance and avoid constantly refreshing before the sale begins, as this may trigger rate limits.</w:t>
      </w:r>
    </w:p>
    <w:p w14:paraId="4BAE940D">
      <w:r>
        <w:t>Familiarize yourself with the purchasing process beforehand:</w:t>
      </w:r>
    </w:p>
    <w:p w14:paraId="70B45D74">
      <w:pPr>
        <w:numPr>
          <w:ilvl w:val="0"/>
          <w:numId w:val="6"/>
        </w:numPr>
      </w:pPr>
      <w:r>
        <w:t>Click purchase</w:t>
      </w:r>
    </w:p>
    <w:p w14:paraId="08F5D089">
      <w:pPr>
        <w:numPr>
          <w:ilvl w:val="0"/>
          <w:numId w:val="6"/>
        </w:numPr>
      </w:pPr>
      <w:r>
        <w:t>Select session</w:t>
      </w:r>
    </w:p>
    <w:p w14:paraId="3FCC3E45">
      <w:pPr>
        <w:numPr>
          <w:ilvl w:val="0"/>
          <w:numId w:val="6"/>
        </w:numPr>
      </w:pPr>
      <w:r>
        <w:t>Confirm quantity</w:t>
      </w:r>
    </w:p>
    <w:p w14:paraId="25CA8BB4">
      <w:pPr>
        <w:numPr>
          <w:ilvl w:val="0"/>
          <w:numId w:val="6"/>
        </w:numPr>
      </w:pPr>
      <w:r>
        <w:t>Complete payment</w:t>
      </w:r>
    </w:p>
    <w:p w14:paraId="1D7D90F9">
      <w:r>
        <w:t>The entire process should ideally take less than 15 seconds.</w:t>
      </w:r>
    </w:p>
    <w:p w14:paraId="56E6CD59">
      <w:pPr>
        <w:pStyle w:val="3"/>
      </w:pPr>
      <w:bookmarkStart w:id="20" w:name="mpb0n8ipqjandqw4hr"/>
      <w:r>
        <w:rPr>
          <w:b/>
        </w:rPr>
        <w:t>V. FAQ</w:t>
      </w:r>
      <w:bookmarkEnd w:id="20"/>
    </w:p>
    <w:p w14:paraId="46741C65">
      <w:pPr>
        <w:pStyle w:val="4"/>
      </w:pPr>
      <w:bookmarkStart w:id="21" w:name="mpb0n8iq98ry5rriq2t"/>
      <w:r>
        <w:t>Q1: What Is a Rotating Residential Proxy and Why Is It Better for Ticket Purchasing?</w:t>
      </w:r>
      <w:bookmarkEnd w:id="21"/>
    </w:p>
    <w:p w14:paraId="6C3CA924">
      <w:r>
        <w:t>A rotating residential proxy uses IP addresses assigned by real residential internet providers, giving the traffic authentic geographic and ISP characteristics.</w:t>
      </w:r>
    </w:p>
    <w:p w14:paraId="25DADF40">
      <w:r>
        <w:t>The rotating mechanism regularly changes IPs, reducing the risk of repeated blocking caused by using a single IP address. Since residential IPs are generally considered trustworthy, ticketing platforms are less likely to block them proactively.</w:t>
      </w:r>
    </w:p>
    <w:p w14:paraId="7D7DD7FE">
      <w:pPr>
        <w:pStyle w:val="4"/>
      </w:pPr>
      <w:bookmarkStart w:id="22" w:name="mpb0n8iq4ugsbkhh1k4"/>
      <w:r>
        <w:t>Q2: Why Is Network Environment More Important Than Internet Speed?</w:t>
      </w:r>
      <w:bookmarkEnd w:id="22"/>
    </w:p>
    <w:p w14:paraId="4B2716D1">
      <w:r>
        <w:t>Internet speed only affects transmission capacity. Risk-control filtering happens before requests reach the order system.</w:t>
      </w:r>
    </w:p>
    <w:p w14:paraId="09417F4C">
      <w:r>
        <w:t>Even with a very fast connection, if your IP is flagged as suspicious, your requests may be filtered before entering the ticket purchase queue.</w:t>
      </w:r>
    </w:p>
    <w:p w14:paraId="5A060F1B">
      <w:pPr>
        <w:pStyle w:val="4"/>
      </w:pPr>
      <w:bookmarkStart w:id="23" w:name="mpb0n8ircuc7h1f1on"/>
      <w:r>
        <w:t>Q3: Why Does Browser Fingerprinting Affect Ticket Purchasing?</w:t>
      </w:r>
      <w:bookmarkEnd w:id="23"/>
    </w:p>
    <w:p w14:paraId="4D24FF4C">
      <w:r>
        <w:t>Browser fingerprints help platforms identify the same user across multiple accounts.</w:t>
      </w:r>
    </w:p>
    <w:p w14:paraId="48D1C07A">
      <w:r>
        <w:t>If several accounts are used on the same device, highly similar browser fingerprints may expose account associations, causing all related accounts to be restricted simultaneously.</w:t>
      </w:r>
    </w:p>
    <w:p w14:paraId="7FBAE515">
      <w:pPr>
        <w:pStyle w:val="3"/>
      </w:pPr>
      <w:bookmarkStart w:id="24" w:name="mpb0n8irv4wteff3fcm"/>
      <w:r>
        <w:rPr>
          <w:b/>
        </w:rPr>
        <w:t>VI. Conclusion</w:t>
      </w:r>
      <w:bookmarkEnd w:id="24"/>
    </w:p>
    <w:p w14:paraId="247A8930">
      <w:r>
        <w:t>Repeated concert ticket purchase failures are often not caused by slow internet speeds, but by poor network environments.</w:t>
      </w:r>
    </w:p>
    <w:p w14:paraId="22BCB4EF">
      <w:r>
        <w:t>Modern ticketing platforms evaluate user trustworthiness based on multiple factors, including:</w:t>
      </w:r>
    </w:p>
    <w:p w14:paraId="24D25C99">
      <w:pPr>
        <w:numPr>
          <w:ilvl w:val="0"/>
          <w:numId w:val="7"/>
        </w:numPr>
      </w:pPr>
      <w:r>
        <w:t>IP quality</w:t>
      </w:r>
    </w:p>
    <w:p w14:paraId="07F87CDC">
      <w:pPr>
        <w:numPr>
          <w:ilvl w:val="0"/>
          <w:numId w:val="7"/>
        </w:numPr>
      </w:pPr>
      <w:r>
        <w:t>Browser fingerprints</w:t>
      </w:r>
    </w:p>
    <w:p w14:paraId="175A3C36">
      <w:pPr>
        <w:numPr>
          <w:ilvl w:val="0"/>
          <w:numId w:val="7"/>
        </w:numPr>
      </w:pPr>
      <w:r>
        <w:t>Behavioral patterns</w:t>
      </w:r>
    </w:p>
    <w:p w14:paraId="7EAEEE9D">
      <w:pPr>
        <w:numPr>
          <w:ilvl w:val="0"/>
          <w:numId w:val="7"/>
        </w:numPr>
      </w:pPr>
      <w:r>
        <w:t>Account associations</w:t>
      </w:r>
    </w:p>
    <w:p w14:paraId="478159E4">
      <w:r>
        <w:t>Once flagged as suspicious, purchase requests may be blocked before even entering the queue.</w:t>
      </w:r>
    </w:p>
    <w:p w14:paraId="24192206">
      <w:r>
        <w:t>By configuring rotating residential proxies, isolating browser environments, using multiple devices, and following proper operational strategies, users can significantly reduce the risk of being incorrectly flagged and improve their chances of successfully purchasing concert tickets.</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420" w:hanging="420"/>
      </w:pPr>
    </w:lvl>
  </w:abstractNum>
  <w:abstractNum w:abstractNumId="1">
    <w:nsid w:val="BF205925"/>
    <w:multiLevelType w:val="singleLevel"/>
    <w:tmpl w:val="BF205925"/>
    <w:lvl w:ilvl="0" w:tentative="0">
      <w:start w:val="1"/>
      <w:numFmt w:val="bullet"/>
      <w:lvlText w:val="●"/>
      <w:lvlJc w:val="left"/>
      <w:pPr>
        <w:ind w:left="420" w:hanging="420"/>
      </w:pPr>
    </w:lvl>
  </w:abstractNum>
  <w:abstractNum w:abstractNumId="2">
    <w:nsid w:val="CF092B84"/>
    <w:multiLevelType w:val="singleLevel"/>
    <w:tmpl w:val="CF092B84"/>
    <w:lvl w:ilvl="0" w:tentative="0">
      <w:start w:val="1"/>
      <w:numFmt w:val="bullet"/>
      <w:lvlText w:val="●"/>
      <w:lvlJc w:val="left"/>
      <w:pPr>
        <w:ind w:left="420" w:hanging="420"/>
      </w:pPr>
    </w:lvl>
  </w:abstractNum>
  <w:abstractNum w:abstractNumId="3">
    <w:nsid w:val="0053208E"/>
    <w:multiLevelType w:val="singleLevel"/>
    <w:tmpl w:val="0053208E"/>
    <w:lvl w:ilvl="0" w:tentative="0">
      <w:start w:val="1"/>
      <w:numFmt w:val="bullet"/>
      <w:lvlText w:val="●"/>
      <w:lvlJc w:val="left"/>
      <w:pPr>
        <w:ind w:left="420" w:hanging="420"/>
      </w:pPr>
    </w:lvl>
  </w:abstractNum>
  <w:abstractNum w:abstractNumId="4">
    <w:nsid w:val="03D62ECE"/>
    <w:multiLevelType w:val="singleLevel"/>
    <w:tmpl w:val="03D62ECE"/>
    <w:lvl w:ilvl="0" w:tentative="0">
      <w:start w:val="1"/>
      <w:numFmt w:val="bullet"/>
      <w:lvlText w:val="●"/>
      <w:lvlJc w:val="left"/>
      <w:pPr>
        <w:ind w:left="420" w:hanging="420"/>
      </w:pPr>
    </w:lvl>
  </w:abstractNum>
  <w:abstractNum w:abstractNumId="5">
    <w:nsid w:val="25B654F3"/>
    <w:multiLevelType w:val="singleLevel"/>
    <w:tmpl w:val="25B654F3"/>
    <w:lvl w:ilvl="0" w:tentative="0">
      <w:start w:val="1"/>
      <w:numFmt w:val="bullet"/>
      <w:lvlText w:val="●"/>
      <w:lvlJc w:val="left"/>
      <w:pPr>
        <w:ind w:left="420" w:hanging="420"/>
      </w:pPr>
    </w:lvl>
  </w:abstractNum>
  <w:abstractNum w:abstractNumId="6">
    <w:nsid w:val="59ADCABA"/>
    <w:multiLevelType w:val="singleLevel"/>
    <w:tmpl w:val="59ADCABA"/>
    <w:lvl w:ilvl="0" w:tentative="0">
      <w:start w:val="1"/>
      <w:numFmt w:val="bullet"/>
      <w:lvlText w:val="●"/>
      <w:lvlJc w:val="left"/>
      <w:pPr>
        <w:ind w:left="420" w:hanging="42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E1B16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8">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1230</Words>
  <Characters>7410</Characters>
  <TotalTime>0</TotalTime>
  <ScaleCrop>false</ScaleCrop>
  <LinksUpToDate>false</LinksUpToDate>
  <CharactersWithSpaces>8537</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2026-05-18T10:21:02Z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2052-12.1.0.26373</vt:lpwstr>
  </property>
  <property fmtid="{D5CDD505-2E9C-101B-9397-08002B2CF9AE}" pid="4" name="ICV">
    <vt:lpwstr>DC348CBABCC14041B53510305DB2145B_12</vt:lpwstr>
  </property>
</Properties>
</file>