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2E5EA8" w:sz="6" w:space="8"/>
        </w:pBdr>
        <w:spacing w:before="0" w:after="200"/>
      </w:pPr>
      <w:r>
        <w:rPr>
          <w:rFonts w:ascii="Arial" w:cs="Arial" w:eastAsia="Arial" w:hAnsi="Arial"/>
          <w:b/>
          <w:bCs/>
          <w:i w:val="false"/>
          <w:iCs w:val="false"/>
          <w:color w:val="1F3864"/>
          <w:sz w:val="36"/>
          <w:szCs w:val="36"/>
        </w:rPr>
        <w:t xml:space="preserve">Vendor Comparison</w:t>
      </w:r>
    </w:p>
    <w:p>
      <w:pPr>
        <w:spacing w:before="0" w:after="60" w:line="276"/>
        <w:jc w:val="left"/>
      </w:pPr>
      <w:r>
        <w:rPr>
          <w:rFonts w:ascii="Arial" w:cs="Arial" w:eastAsia="Arial" w:hAnsi="Arial"/>
          <w:b/>
          <w:bCs/>
          <w:i w:val="false"/>
          <w:iCs w:val="false"/>
          <w:color w:val="2E5EA8"/>
          <w:sz w:val="26"/>
          <w:szCs w:val="26"/>
        </w:rPr>
        <w:t xml:space="preserve">CFGI vs KPMG  |  </w:t>
      </w:r>
      <w:r>
        <w:rPr>
          <w:rFonts w:ascii="Arial" w:cs="Arial" w:eastAsia="Arial" w:hAnsi="Arial"/>
          <w:b w:val="false"/>
          <w:bCs w:val="false"/>
          <w:i w:val="false"/>
          <w:iCs w:val="false"/>
          <w:color w:val="1F3864"/>
          <w:sz w:val="26"/>
          <w:szCs w:val="26"/>
        </w:rPr>
        <w:t xml:space="preserve">NetSuite Implementation Oversight</w:t>
      </w:r>
    </w:p>
    <w:p>
      <w:pPr>
        <w:spacing w:before="0" w:after="280" w:line="276"/>
        <w:jc w:val="left"/>
      </w:pPr>
      <w:r>
        <w:rPr>
          <w:rFonts w:ascii="Arial" w:cs="Arial" w:eastAsia="Arial" w:hAnsi="Arial"/>
          <w:b w:val="false"/>
          <w:bCs w:val="false"/>
          <w:i w:val="false"/>
          <w:iCs w:val="false"/>
          <w:color w:val="6C757D"/>
          <w:sz w:val="18"/>
          <w:szCs w:val="18"/>
        </w:rPr>
        <w:t xml:space="preserve">Abivax ERP Program  |  March 2026  |  Decision required: this week</w:t>
      </w:r>
    </w:p>
    <w:p>
      <w:pPr>
        <w:pStyle w:val="Heading1"/>
      </w:pPr>
      <w:r>
        <w:rPr>
          <w:rFonts w:ascii="Arial" w:cs="Arial" w:eastAsia="Arial" w:hAnsi="Arial"/>
          <w:b/>
          <w:bCs/>
          <w:color w:val="1F3864"/>
          <w:sz w:val="28"/>
          <w:szCs w:val="28"/>
        </w:rPr>
        <w:t xml:space="preserve">Context</w:t>
      </w:r>
    </w:p>
    <w:p>
      <w:pPr>
        <w:spacing w:before="0" w:after="100" w:line="276"/>
        <w:jc w:val="left"/>
      </w:pPr>
      <w:r>
        <w:rPr>
          <w:rFonts w:ascii="Arial" w:cs="Arial" w:eastAsia="Arial" w:hAnsi="Arial"/>
          <w:b w:val="false"/>
          <w:bCs w:val="false"/>
          <w:i w:val="false"/>
          <w:iCs w:val="false"/>
          <w:color w:val="1A1A1A"/>
          <w:sz w:val="20"/>
          <w:szCs w:val="20"/>
        </w:rPr>
        <w:t xml:space="preserve">NetSuite was selected on 26 February 2026. Implementation mobilization is targeted for April 2026 with a non-negotiable go-live of 1 January 2027 (tied to US public launch in December 2027). A third-party oversight firm is needed alongside the NetSuite SI team to provide PMO governance, independent technical QA, and executive/board-level reporting support.</w:t>
      </w:r>
    </w:p>
    <w:p>
      <w:pPr>
        <w:spacing w:before="0" w:after="120" w:line="276"/>
        <w:jc w:val="left"/>
      </w:pPr>
      <w:r>
        <w:rPr>
          <w:rFonts w:ascii="Arial" w:cs="Arial" w:eastAsia="Arial" w:hAnsi="Arial"/>
          <w:b w:val="false"/>
          <w:bCs w:val="false"/>
          <w:i w:val="false"/>
          <w:iCs w:val="false"/>
          <w:color w:val="1A1A1A"/>
          <w:sz w:val="19"/>
          <w:szCs w:val="19"/>
        </w:rPr>
        <w:t xml:space="preserve">Two vendors are under consideration. The core tension: </w:t>
      </w:r>
      <w:r>
        <w:rPr>
          <w:rFonts w:ascii="Arial" w:cs="Arial" w:eastAsia="Arial" w:hAnsi="Arial"/>
          <w:b/>
          <w:bCs/>
          <w:i w:val="false"/>
          <w:iCs w:val="false"/>
          <w:color w:val="1A1A1A"/>
          <w:sz w:val="19"/>
          <w:szCs w:val="19"/>
        </w:rPr>
        <w:t xml:space="preserve">KPMG France has no direct NetSuite experience</w:t>
      </w:r>
      <w:r>
        <w:rPr>
          <w:rFonts w:ascii="Arial" w:cs="Arial" w:eastAsia="Arial" w:hAnsi="Arial"/>
          <w:b w:val="false"/>
          <w:bCs w:val="false"/>
          <w:i w:val="false"/>
          <w:iCs w:val="false"/>
          <w:color w:val="1A1A1A"/>
          <w:sz w:val="19"/>
          <w:szCs w:val="19"/>
        </w:rPr>
        <w:t xml:space="preserve">; </w:t>
      </w:r>
      <w:r>
        <w:rPr>
          <w:rFonts w:ascii="Arial" w:cs="Arial" w:eastAsia="Arial" w:hAnsi="Arial"/>
          <w:b/>
          <w:bCs/>
          <w:i w:val="false"/>
          <w:iCs w:val="false"/>
          <w:color w:val="1A1A1A"/>
          <w:sz w:val="19"/>
          <w:szCs w:val="19"/>
        </w:rPr>
        <w:t xml:space="preserve">CFGI's assigned team is reportedly junior</w:t>
      </w:r>
      <w:r>
        <w:rPr>
          <w:rFonts w:ascii="Arial" w:cs="Arial" w:eastAsia="Arial" w:hAnsi="Arial"/>
          <w:b w:val="false"/>
          <w:bCs w:val="false"/>
          <w:i w:val="false"/>
          <w:iCs w:val="false"/>
          <w:color w:val="1A1A1A"/>
          <w:sz w:val="19"/>
          <w:szCs w:val="19"/>
        </w:rPr>
        <w:t xml:space="preserve"> and lacks a France presence.</w:t>
      </w:r>
    </w:p>
    <w:p>
      <w:pPr>
        <w:pStyle w:val="Heading1"/>
      </w:pPr>
      <w:r>
        <w:rPr>
          <w:rFonts w:ascii="Arial" w:cs="Arial" w:eastAsia="Arial" w:hAnsi="Arial"/>
          <w:b/>
          <w:bCs/>
          <w:color w:val="1F3864"/>
          <w:sz w:val="28"/>
          <w:szCs w:val="28"/>
        </w:rPr>
        <w:t xml:space="preserve">Comparison Matrix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000"/>
        <w:gridCol w:w="1000"/>
        <w:gridCol w:w="4226"/>
      </w:tblGrid>
      <w:tr>
        <w:trPr>
          <w:tblHeader/>
        </w:trPr>
        <w:tc>
          <w:tcPr>
            <w:tcW w:type="dxa" w:w="2800"/>
            <w:tcBorders>
              <w:top w:val="single" w:color="C8CDD3" w:sz="1"/>
              <w:left w:val="single" w:color="C8CDD3" w:sz="1"/>
              <w:bottom w:val="single" w:color="C8CDD3" w:sz="1"/>
              <w:right w:val="single" w:color="C8CDD3" w:sz="1"/>
            </w:tcBorders>
            <w:shd w:fill="1F3864" w:val="clear"/>
            <w:tcMar>
              <w:top w:type="dxa" w:w="110"/>
              <w:left w:type="dxa" w:w="140"/>
              <w:bottom w:type="dxa" w:w="110"/>
              <w:right w:type="dxa" w:w="140"/>
            </w:tcMar>
            <w:vAlign w:val="center"/>
          </w:tcPr>
          <w:p>
            <w:pPr>
              <w:spacing w:before="0" w:after="0" w:line="276"/>
              <w:jc w:val="center"/>
            </w:pPr>
            <w:r>
              <w:rPr>
                <w:rFonts w:ascii="Arial" w:cs="Arial" w:eastAsia="Arial" w:hAnsi="Arial"/>
                <w:b/>
                <w:bCs/>
                <w:color w:val="FFFFFF"/>
                <w:sz w:val="19"/>
                <w:szCs w:val="19"/>
              </w:rPr>
              <w:t xml:space="preserve">Dimension</w:t>
            </w:r>
          </w:p>
        </w:tc>
        <w:tc>
          <w:tcPr>
            <w:tcW w:type="dxa" w:w="1000"/>
            <w:tcBorders>
              <w:top w:val="single" w:color="C8CDD3" w:sz="1"/>
              <w:left w:val="single" w:color="C8CDD3" w:sz="1"/>
              <w:bottom w:val="single" w:color="C8CDD3" w:sz="1"/>
              <w:right w:val="single" w:color="C8CDD3" w:sz="1"/>
            </w:tcBorders>
            <w:shd w:fill="1F4E79" w:val="clear"/>
            <w:tcMar>
              <w:top w:type="dxa" w:w="110"/>
              <w:left w:type="dxa" w:w="140"/>
              <w:bottom w:type="dxa" w:w="110"/>
              <w:right w:type="dxa" w:w="140"/>
            </w:tcMar>
            <w:vAlign w:val="center"/>
          </w:tcPr>
          <w:p>
            <w:pPr>
              <w:spacing w:before="0" w:after="0" w:line="276"/>
              <w:jc w:val="center"/>
            </w:pPr>
            <w:r>
              <w:rPr>
                <w:rFonts w:ascii="Arial" w:cs="Arial" w:eastAsia="Arial" w:hAnsi="Arial"/>
                <w:b/>
                <w:bCs/>
                <w:color w:val="FFFFFF"/>
                <w:sz w:val="19"/>
                <w:szCs w:val="19"/>
              </w:rPr>
              <w:t xml:space="preserve">CFGI</w:t>
            </w:r>
          </w:p>
        </w:tc>
        <w:tc>
          <w:tcPr>
            <w:tcW w:type="dxa" w:w="1000"/>
            <w:tcBorders>
              <w:top w:val="single" w:color="C8CDD3" w:sz="1"/>
              <w:left w:val="single" w:color="C8CDD3" w:sz="1"/>
              <w:bottom w:val="single" w:color="C8CDD3" w:sz="1"/>
              <w:right w:val="single" w:color="C8CDD3" w:sz="1"/>
            </w:tcBorders>
            <w:shd w:fill="3D3D3D" w:val="clear"/>
            <w:tcMar>
              <w:top w:type="dxa" w:w="110"/>
              <w:left w:type="dxa" w:w="140"/>
              <w:bottom w:type="dxa" w:w="110"/>
              <w:right w:type="dxa" w:w="140"/>
            </w:tcMar>
            <w:vAlign w:val="center"/>
          </w:tcPr>
          <w:p>
            <w:pPr>
              <w:spacing w:before="0" w:after="0" w:line="276"/>
              <w:jc w:val="center"/>
            </w:pPr>
            <w:r>
              <w:rPr>
                <w:rFonts w:ascii="Arial" w:cs="Arial" w:eastAsia="Arial" w:hAnsi="Arial"/>
                <w:b/>
                <w:bCs/>
                <w:color w:val="FFFFFF"/>
                <w:sz w:val="19"/>
                <w:szCs w:val="19"/>
              </w:rPr>
              <w:t xml:space="preserve">KPMG</w:t>
            </w:r>
          </w:p>
        </w:tc>
        <w:tc>
          <w:tcPr>
            <w:tcW w:type="dxa" w:w="4226"/>
            <w:tcBorders>
              <w:top w:val="single" w:color="C8CDD3" w:sz="1"/>
              <w:left w:val="single" w:color="C8CDD3" w:sz="1"/>
              <w:bottom w:val="single" w:color="C8CDD3" w:sz="1"/>
              <w:right w:val="single" w:color="C8CDD3" w:sz="1"/>
            </w:tcBorders>
            <w:shd w:fill="1F3864" w:val="clear"/>
            <w:tcMar>
              <w:top w:type="dxa" w:w="110"/>
              <w:left w:type="dxa" w:w="140"/>
              <w:bottom w:type="dxa" w:w="110"/>
              <w:right w:type="dxa" w:w="140"/>
            </w:tcMar>
            <w:vAlign w:val="center"/>
          </w:tcPr>
          <w:p>
            <w:pPr>
              <w:spacing w:before="0" w:after="0" w:line="276"/>
              <w:jc w:val="center"/>
            </w:pPr>
            <w:r>
              <w:rPr>
                <w:rFonts w:ascii="Arial" w:cs="Arial" w:eastAsia="Arial" w:hAnsi="Arial"/>
                <w:b/>
                <w:bCs/>
                <w:color w:val="FFFFFF"/>
                <w:sz w:val="19"/>
                <w:szCs w:val="19"/>
              </w:rPr>
              <w:t xml:space="preserve">Notes</w:t>
            </w:r>
          </w:p>
        </w:tc>
      </w:tr>
      <w:tr>
        <w:tc>
          <w:tcPr>
            <w:tcW w:type="dxa" w:w="2800"/>
            <w:tcBorders>
              <w:top w:val="single" w:color="C8CDD3" w:sz="1"/>
              <w:left w:val="single" w:color="C8CDD3" w:sz="1"/>
              <w:bottom w:val="single" w:color="C8CDD3" w:sz="1"/>
              <w:right w:val="single" w:color="C8CDD3" w:sz="1"/>
            </w:tcBorders>
            <w:shd w:fill="F5F6F8" w:val="clear"/>
            <w:tcMar>
              <w:top w:type="dxa" w:w="70"/>
              <w:left w:type="dxa" w:w="140"/>
              <w:bottom w:type="dxa" w:w="70"/>
              <w:right w:type="dxa" w:w="140"/>
            </w:tcMar>
            <w:vAlign w:val="center"/>
          </w:tcPr>
          <w:p>
            <w:pPr>
              <w:spacing w:before="0" w:after="0" w:line="276"/>
              <w:jc w:val="left"/>
            </w:pPr>
            <w:r>
              <w:rPr>
                <w:rFonts w:ascii="Arial" w:cs="Arial" w:eastAsia="Arial" w:hAnsi="Arial"/>
                <w:b/>
                <w:bCs/>
                <w:i w:val="false"/>
                <w:iCs w:val="false"/>
                <w:color w:val="2C3E50"/>
                <w:sz w:val="18"/>
                <w:szCs w:val="18"/>
              </w:rPr>
              <w:t xml:space="preserve">NetSuite Expertise</w:t>
            </w:r>
          </w:p>
        </w:tc>
        <w:tc>
          <w:tcPr>
            <w:tcW w:type="dxa" w:w="1000"/>
            <w:tcBorders>
              <w:top w:val="single" w:color="C8CDD3" w:sz="1"/>
              <w:left w:val="single" w:color="C8CDD3" w:sz="1"/>
              <w:bottom w:val="single" w:color="C8CDD3" w:sz="1"/>
              <w:right w:val="single" w:color="C8CDD3" w:sz="1"/>
            </w:tcBorders>
            <w:shd w:fill="D4EDDA" w:val="clear"/>
            <w:tcMar>
              <w:top w:type="dxa" w:w="70"/>
              <w:left w:type="dxa" w:w="140"/>
              <w:bottom w:type="dxa" w:w="70"/>
              <w:right w:type="dxa" w:w="140"/>
            </w:tcMar>
            <w:vAlign w:val="center"/>
          </w:tcPr>
          <w:p>
            <w:pPr>
              <w:spacing w:before="0" w:after="0" w:line="276"/>
              <w:jc w:val="center"/>
            </w:pPr>
            <w:r>
              <w:rPr>
                <w:rFonts w:ascii="Arial" w:cs="Arial" w:eastAsia="Arial" w:hAnsi="Arial"/>
                <w:b w:val="false"/>
                <w:bCs w:val="false"/>
                <w:i w:val="false"/>
                <w:iCs w:val="false"/>
                <w:color w:val="1A5C38"/>
                <w:sz w:val="18"/>
                <w:szCs w:val="18"/>
              </w:rPr>
              <w:t xml:space="preserve">Strong</w:t>
            </w:r>
          </w:p>
        </w:tc>
        <w:tc>
          <w:tcPr>
            <w:tcW w:type="dxa" w:w="1000"/>
            <w:tcBorders>
              <w:top w:val="single" w:color="C8CDD3" w:sz="1"/>
              <w:left w:val="single" w:color="C8CDD3" w:sz="1"/>
              <w:bottom w:val="single" w:color="C8CDD3" w:sz="1"/>
              <w:right w:val="single" w:color="C8CDD3" w:sz="1"/>
            </w:tcBorders>
            <w:shd w:fill="FDECEA" w:val="clear"/>
            <w:tcMar>
              <w:top w:type="dxa" w:w="70"/>
              <w:left w:type="dxa" w:w="140"/>
              <w:bottom w:type="dxa" w:w="70"/>
              <w:right w:type="dxa" w:w="140"/>
            </w:tcMar>
            <w:vAlign w:val="center"/>
          </w:tcPr>
          <w:p>
            <w:pPr>
              <w:spacing w:before="0" w:after="0" w:line="276"/>
              <w:jc w:val="center"/>
            </w:pPr>
            <w:r>
              <w:rPr>
                <w:rFonts w:ascii="Arial" w:cs="Arial" w:eastAsia="Arial" w:hAnsi="Arial"/>
                <w:b w:val="false"/>
                <w:bCs w:val="false"/>
                <w:i w:val="false"/>
                <w:iCs w:val="false"/>
                <w:color w:val="8B1A1A"/>
                <w:sz w:val="18"/>
                <w:szCs w:val="18"/>
              </w:rPr>
              <w:t xml:space="preserve">Weak</w:t>
            </w:r>
          </w:p>
        </w:tc>
        <w:tc>
          <w:tcPr>
            <w:tcW w:type="dxa" w:w="4226"/>
            <w:tcBorders>
              <w:top w:val="single" w:color="C8CDD3" w:sz="1"/>
              <w:left w:val="single" w:color="C8CDD3" w:sz="1"/>
              <w:bottom w:val="single" w:color="C8CDD3" w:sz="1"/>
              <w:right w:val="single" w:color="C8CDD3" w:sz="1"/>
            </w:tcBorders>
            <w:shd w:fill="FFFFFF" w:val="clear"/>
            <w:tcMar>
              <w:top w:type="dxa" w:w="70"/>
              <w:left w:type="dxa" w:w="140"/>
              <w:bottom w:type="dxa" w:w="70"/>
              <w:right w:type="dxa" w:w="140"/>
            </w:tcMar>
            <w:vAlign w:val="center"/>
          </w:tcPr>
          <w:p>
            <w:pPr>
              <w:spacing w:before="0" w:after="0" w:line="276"/>
              <w:jc w:val="left"/>
            </w:pPr>
            <w:r>
              <w:rPr>
                <w:rFonts w:ascii="Arial" w:cs="Arial" w:eastAsia="Arial" w:hAnsi="Arial"/>
                <w:b w:val="false"/>
                <w:bCs w:val="false"/>
                <w:i w:val="false"/>
                <w:iCs w:val="false"/>
                <w:color w:val="1A1A1A"/>
                <w:sz w:val="17"/>
                <w:szCs w:val="17"/>
              </w:rPr>
              <w:t xml:space="preserve">CFGI is a documented NetSuite advisory firm (SuiteWorld 2024 sponsor). KPMG France has no known direct NetSuite experience; KPMG Israel has a NetSuite practice but it is not transferable without senior knowledge transfer.</w:t>
            </w:r>
          </w:p>
        </w:tc>
      </w:tr>
      <w:tr>
        <w:tc>
          <w:tcPr>
            <w:tcW w:type="dxa" w:w="2800"/>
            <w:tcBorders>
              <w:top w:val="single" w:color="C8CDD3" w:sz="1"/>
              <w:left w:val="single" w:color="C8CDD3" w:sz="1"/>
              <w:bottom w:val="single" w:color="C8CDD3" w:sz="1"/>
              <w:right w:val="single" w:color="C8CDD3" w:sz="1"/>
            </w:tcBorders>
            <w:shd w:fill="F5F6F8" w:val="clear"/>
            <w:tcMar>
              <w:top w:type="dxa" w:w="70"/>
              <w:left w:type="dxa" w:w="140"/>
              <w:bottom w:type="dxa" w:w="70"/>
              <w:right w:type="dxa" w:w="140"/>
            </w:tcMar>
            <w:vAlign w:val="center"/>
          </w:tcPr>
          <w:p>
            <w:pPr>
              <w:spacing w:before="0" w:after="0" w:line="276"/>
              <w:jc w:val="left"/>
            </w:pPr>
            <w:r>
              <w:rPr>
                <w:rFonts w:ascii="Arial" w:cs="Arial" w:eastAsia="Arial" w:hAnsi="Arial"/>
                <w:b/>
                <w:bCs/>
                <w:i w:val="false"/>
                <w:iCs w:val="false"/>
                <w:color w:val="2C3E50"/>
                <w:sz w:val="18"/>
                <w:szCs w:val="18"/>
              </w:rPr>
              <w:t xml:space="preserve">Life Sciences / Biotech Fit</w:t>
            </w:r>
          </w:p>
        </w:tc>
        <w:tc>
          <w:tcPr>
            <w:tcW w:type="dxa" w:w="1000"/>
            <w:tcBorders>
              <w:top w:val="single" w:color="C8CDD3" w:sz="1"/>
              <w:left w:val="single" w:color="C8CDD3" w:sz="1"/>
              <w:bottom w:val="single" w:color="C8CDD3" w:sz="1"/>
              <w:right w:val="single" w:color="C8CDD3" w:sz="1"/>
            </w:tcBorders>
            <w:shd w:fill="D4EDDA" w:val="clear"/>
            <w:tcMar>
              <w:top w:type="dxa" w:w="70"/>
              <w:left w:type="dxa" w:w="140"/>
              <w:bottom w:type="dxa" w:w="70"/>
              <w:right w:type="dxa" w:w="140"/>
            </w:tcMar>
            <w:vAlign w:val="center"/>
          </w:tcPr>
          <w:p>
            <w:pPr>
              <w:spacing w:before="0" w:after="0" w:line="276"/>
              <w:jc w:val="center"/>
            </w:pPr>
            <w:r>
              <w:rPr>
                <w:rFonts w:ascii="Arial" w:cs="Arial" w:eastAsia="Arial" w:hAnsi="Arial"/>
                <w:b w:val="false"/>
                <w:bCs w:val="false"/>
                <w:i w:val="false"/>
                <w:iCs w:val="false"/>
                <w:color w:val="1A5C38"/>
                <w:sz w:val="18"/>
                <w:szCs w:val="18"/>
              </w:rPr>
              <w:t xml:space="preserve">Strong</w:t>
            </w:r>
          </w:p>
        </w:tc>
        <w:tc>
          <w:tcPr>
            <w:tcW w:type="dxa" w:w="1000"/>
            <w:tcBorders>
              <w:top w:val="single" w:color="C8CDD3" w:sz="1"/>
              <w:left w:val="single" w:color="C8CDD3" w:sz="1"/>
              <w:bottom w:val="single" w:color="C8CDD3" w:sz="1"/>
              <w:right w:val="single" w:color="C8CDD3" w:sz="1"/>
            </w:tcBorders>
            <w:shd w:fill="FFF3CD" w:val="clear"/>
            <w:tcMar>
              <w:top w:type="dxa" w:w="70"/>
              <w:left w:type="dxa" w:w="140"/>
              <w:bottom w:type="dxa" w:w="70"/>
              <w:right w:type="dxa" w:w="140"/>
            </w:tcMar>
            <w:vAlign w:val="center"/>
          </w:tcPr>
          <w:p>
            <w:pPr>
              <w:spacing w:before="0" w:after="0" w:line="276"/>
              <w:jc w:val="center"/>
            </w:pPr>
            <w:r>
              <w:rPr>
                <w:rFonts w:ascii="Arial" w:cs="Arial" w:eastAsia="Arial" w:hAnsi="Arial"/>
                <w:b w:val="false"/>
                <w:bCs w:val="false"/>
                <w:i w:val="false"/>
                <w:iCs w:val="false"/>
                <w:color w:val="BF6C00"/>
                <w:sz w:val="18"/>
                <w:szCs w:val="18"/>
              </w:rPr>
              <w:t xml:space="preserve">Moderate</w:t>
            </w:r>
          </w:p>
        </w:tc>
        <w:tc>
          <w:tcPr>
            <w:tcW w:type="dxa" w:w="4226"/>
            <w:tcBorders>
              <w:top w:val="single" w:color="C8CDD3" w:sz="1"/>
              <w:left w:val="single" w:color="C8CDD3" w:sz="1"/>
              <w:bottom w:val="single" w:color="C8CDD3" w:sz="1"/>
              <w:right w:val="single" w:color="C8CDD3" w:sz="1"/>
            </w:tcBorders>
            <w:shd w:fill="FFFFFF" w:val="clear"/>
            <w:tcMar>
              <w:top w:type="dxa" w:w="70"/>
              <w:left w:type="dxa" w:w="140"/>
              <w:bottom w:type="dxa" w:w="70"/>
              <w:right w:type="dxa" w:w="140"/>
            </w:tcMar>
            <w:vAlign w:val="center"/>
          </w:tcPr>
          <w:p>
            <w:pPr>
              <w:spacing w:before="0" w:after="0" w:line="276"/>
              <w:jc w:val="left"/>
            </w:pPr>
            <w:r>
              <w:rPr>
                <w:rFonts w:ascii="Arial" w:cs="Arial" w:eastAsia="Arial" w:hAnsi="Arial"/>
                <w:b w:val="false"/>
                <w:bCs w:val="false"/>
                <w:i w:val="false"/>
                <w:iCs w:val="false"/>
                <w:color w:val="1A1A1A"/>
                <w:sz w:val="17"/>
                <w:szCs w:val="17"/>
              </w:rPr>
              <w:t xml:space="preserve">CFGI is a top-3 non-audit accounting advisory for life sciences, involved in ~30% of US LS IPOs since 2016. KPMG has life sciences audit/controls depth but ERP-specific biotech implementation work is less documented.</w:t>
            </w:r>
          </w:p>
        </w:tc>
      </w:tr>
      <w:tr>
        <w:tc>
          <w:tcPr>
            <w:tcW w:type="dxa" w:w="2800"/>
            <w:tcBorders>
              <w:top w:val="single" w:color="C8CDD3" w:sz="1"/>
              <w:left w:val="single" w:color="C8CDD3" w:sz="1"/>
              <w:bottom w:val="single" w:color="C8CDD3" w:sz="1"/>
              <w:right w:val="single" w:color="C8CDD3" w:sz="1"/>
            </w:tcBorders>
            <w:shd w:fill="F5F6F8" w:val="clear"/>
            <w:tcMar>
              <w:top w:type="dxa" w:w="70"/>
              <w:left w:type="dxa" w:w="140"/>
              <w:bottom w:type="dxa" w:w="70"/>
              <w:right w:type="dxa" w:w="140"/>
            </w:tcMar>
            <w:vAlign w:val="center"/>
          </w:tcPr>
          <w:p>
            <w:pPr>
              <w:spacing w:before="0" w:after="0" w:line="276"/>
              <w:jc w:val="left"/>
            </w:pPr>
            <w:r>
              <w:rPr>
                <w:rFonts w:ascii="Arial" w:cs="Arial" w:eastAsia="Arial" w:hAnsi="Arial"/>
                <w:b/>
                <w:bCs/>
                <w:i w:val="false"/>
                <w:iCs w:val="false"/>
                <w:color w:val="2C3E50"/>
                <w:sz w:val="18"/>
                <w:szCs w:val="18"/>
              </w:rPr>
              <w:t xml:space="preserve">France Presence</w:t>
            </w:r>
          </w:p>
        </w:tc>
        <w:tc>
          <w:tcPr>
            <w:tcW w:type="dxa" w:w="1000"/>
            <w:tcBorders>
              <w:top w:val="single" w:color="C8CDD3" w:sz="1"/>
              <w:left w:val="single" w:color="C8CDD3" w:sz="1"/>
              <w:bottom w:val="single" w:color="C8CDD3" w:sz="1"/>
              <w:right w:val="single" w:color="C8CDD3" w:sz="1"/>
            </w:tcBorders>
            <w:shd w:fill="FDECEA" w:val="clear"/>
            <w:tcMar>
              <w:top w:type="dxa" w:w="70"/>
              <w:left w:type="dxa" w:w="140"/>
              <w:bottom w:type="dxa" w:w="70"/>
              <w:right w:type="dxa" w:w="140"/>
            </w:tcMar>
            <w:vAlign w:val="center"/>
          </w:tcPr>
          <w:p>
            <w:pPr>
              <w:spacing w:before="0" w:after="0" w:line="276"/>
              <w:jc w:val="center"/>
            </w:pPr>
            <w:r>
              <w:rPr>
                <w:rFonts w:ascii="Arial" w:cs="Arial" w:eastAsia="Arial" w:hAnsi="Arial"/>
                <w:b w:val="false"/>
                <w:bCs w:val="false"/>
                <w:i w:val="false"/>
                <w:iCs w:val="false"/>
                <w:color w:val="8B1A1A"/>
                <w:sz w:val="18"/>
                <w:szCs w:val="18"/>
              </w:rPr>
              <w:t xml:space="preserve">Weak</w:t>
            </w:r>
          </w:p>
        </w:tc>
        <w:tc>
          <w:tcPr>
            <w:tcW w:type="dxa" w:w="1000"/>
            <w:tcBorders>
              <w:top w:val="single" w:color="C8CDD3" w:sz="1"/>
              <w:left w:val="single" w:color="C8CDD3" w:sz="1"/>
              <w:bottom w:val="single" w:color="C8CDD3" w:sz="1"/>
              <w:right w:val="single" w:color="C8CDD3" w:sz="1"/>
            </w:tcBorders>
            <w:shd w:fill="D4EDDA" w:val="clear"/>
            <w:tcMar>
              <w:top w:type="dxa" w:w="70"/>
              <w:left w:type="dxa" w:w="140"/>
              <w:bottom w:type="dxa" w:w="70"/>
              <w:right w:type="dxa" w:w="140"/>
            </w:tcMar>
            <w:vAlign w:val="center"/>
          </w:tcPr>
          <w:p>
            <w:pPr>
              <w:spacing w:before="0" w:after="0" w:line="276"/>
              <w:jc w:val="center"/>
            </w:pPr>
            <w:r>
              <w:rPr>
                <w:rFonts w:ascii="Arial" w:cs="Arial" w:eastAsia="Arial" w:hAnsi="Arial"/>
                <w:b w:val="false"/>
                <w:bCs w:val="false"/>
                <w:i w:val="false"/>
                <w:iCs w:val="false"/>
                <w:color w:val="1A5C38"/>
                <w:sz w:val="18"/>
                <w:szCs w:val="18"/>
              </w:rPr>
              <w:t xml:space="preserve">Strong</w:t>
            </w:r>
          </w:p>
        </w:tc>
        <w:tc>
          <w:tcPr>
            <w:tcW w:type="dxa" w:w="4226"/>
            <w:tcBorders>
              <w:top w:val="single" w:color="C8CDD3" w:sz="1"/>
              <w:left w:val="single" w:color="C8CDD3" w:sz="1"/>
              <w:bottom w:val="single" w:color="C8CDD3" w:sz="1"/>
              <w:right w:val="single" w:color="C8CDD3" w:sz="1"/>
            </w:tcBorders>
            <w:shd w:fill="FFFFFF" w:val="clear"/>
            <w:tcMar>
              <w:top w:type="dxa" w:w="70"/>
              <w:left w:type="dxa" w:w="140"/>
              <w:bottom w:type="dxa" w:w="70"/>
              <w:right w:type="dxa" w:w="140"/>
            </w:tcMar>
            <w:vAlign w:val="center"/>
          </w:tcPr>
          <w:p>
            <w:pPr>
              <w:spacing w:before="0" w:after="0" w:line="276"/>
              <w:jc w:val="left"/>
            </w:pPr>
            <w:r>
              <w:rPr>
                <w:rFonts w:ascii="Arial" w:cs="Arial" w:eastAsia="Arial" w:hAnsi="Arial"/>
                <w:b w:val="false"/>
                <w:bCs w:val="false"/>
                <w:i w:val="false"/>
                <w:iCs w:val="false"/>
                <w:color w:val="1A1A1A"/>
                <w:sz w:val="17"/>
                <w:szCs w:val="17"/>
              </w:rPr>
              <w:t xml:space="preserve">CFGI has no France office. European presence is UK (London, Edinburgh, Birmingham, Glasgow, Cambridge), Germany (9 offices via PAS acquisition), Dublin, and Singapore. KPMG France is a large, well-staffed practice with deep local knowledge.</w:t>
            </w:r>
          </w:p>
        </w:tc>
      </w:tr>
      <w:tr>
        <w:tc>
          <w:tcPr>
            <w:tcW w:type="dxa" w:w="2800"/>
            <w:tcBorders>
              <w:top w:val="single" w:color="C8CDD3" w:sz="1"/>
              <w:left w:val="single" w:color="C8CDD3" w:sz="1"/>
              <w:bottom w:val="single" w:color="C8CDD3" w:sz="1"/>
              <w:right w:val="single" w:color="C8CDD3" w:sz="1"/>
            </w:tcBorders>
            <w:shd w:fill="F5F6F8" w:val="clear"/>
            <w:tcMar>
              <w:top w:type="dxa" w:w="70"/>
              <w:left w:type="dxa" w:w="140"/>
              <w:bottom w:type="dxa" w:w="70"/>
              <w:right w:type="dxa" w:w="140"/>
            </w:tcMar>
            <w:vAlign w:val="center"/>
          </w:tcPr>
          <w:p>
            <w:pPr>
              <w:spacing w:before="0" w:after="0" w:line="276"/>
              <w:jc w:val="left"/>
            </w:pPr>
            <w:r>
              <w:rPr>
                <w:rFonts w:ascii="Arial" w:cs="Arial" w:eastAsia="Arial" w:hAnsi="Arial"/>
                <w:b/>
                <w:bCs/>
                <w:i w:val="false"/>
                <w:iCs w:val="false"/>
                <w:color w:val="2C3E50"/>
                <w:sz w:val="18"/>
                <w:szCs w:val="18"/>
              </w:rPr>
              <w:t xml:space="preserve">PMO / Governance</w:t>
            </w:r>
          </w:p>
        </w:tc>
        <w:tc>
          <w:tcPr>
            <w:tcW w:type="dxa" w:w="1000"/>
            <w:tcBorders>
              <w:top w:val="single" w:color="C8CDD3" w:sz="1"/>
              <w:left w:val="single" w:color="C8CDD3" w:sz="1"/>
              <w:bottom w:val="single" w:color="C8CDD3" w:sz="1"/>
              <w:right w:val="single" w:color="C8CDD3" w:sz="1"/>
            </w:tcBorders>
            <w:shd w:fill="FFF3CD" w:val="clear"/>
            <w:tcMar>
              <w:top w:type="dxa" w:w="70"/>
              <w:left w:type="dxa" w:w="140"/>
              <w:bottom w:type="dxa" w:w="70"/>
              <w:right w:type="dxa" w:w="140"/>
            </w:tcMar>
            <w:vAlign w:val="center"/>
          </w:tcPr>
          <w:p>
            <w:pPr>
              <w:spacing w:before="0" w:after="0" w:line="276"/>
              <w:jc w:val="center"/>
            </w:pPr>
            <w:r>
              <w:rPr>
                <w:rFonts w:ascii="Arial" w:cs="Arial" w:eastAsia="Arial" w:hAnsi="Arial"/>
                <w:b w:val="false"/>
                <w:bCs w:val="false"/>
                <w:i w:val="false"/>
                <w:iCs w:val="false"/>
                <w:color w:val="BF6C00"/>
                <w:sz w:val="18"/>
                <w:szCs w:val="18"/>
              </w:rPr>
              <w:t xml:space="preserve">Moderate</w:t>
            </w:r>
          </w:p>
        </w:tc>
        <w:tc>
          <w:tcPr>
            <w:tcW w:type="dxa" w:w="1000"/>
            <w:tcBorders>
              <w:top w:val="single" w:color="C8CDD3" w:sz="1"/>
              <w:left w:val="single" w:color="C8CDD3" w:sz="1"/>
              <w:bottom w:val="single" w:color="C8CDD3" w:sz="1"/>
              <w:right w:val="single" w:color="C8CDD3" w:sz="1"/>
            </w:tcBorders>
            <w:shd w:fill="D4EDDA" w:val="clear"/>
            <w:tcMar>
              <w:top w:type="dxa" w:w="70"/>
              <w:left w:type="dxa" w:w="140"/>
              <w:bottom w:type="dxa" w:w="70"/>
              <w:right w:type="dxa" w:w="140"/>
            </w:tcMar>
            <w:vAlign w:val="center"/>
          </w:tcPr>
          <w:p>
            <w:pPr>
              <w:spacing w:before="0" w:after="0" w:line="276"/>
              <w:jc w:val="center"/>
            </w:pPr>
            <w:r>
              <w:rPr>
                <w:rFonts w:ascii="Arial" w:cs="Arial" w:eastAsia="Arial" w:hAnsi="Arial"/>
                <w:b w:val="false"/>
                <w:bCs w:val="false"/>
                <w:i w:val="false"/>
                <w:iCs w:val="false"/>
                <w:color w:val="1A5C38"/>
                <w:sz w:val="18"/>
                <w:szCs w:val="18"/>
              </w:rPr>
              <w:t xml:space="preserve">Strong</w:t>
            </w:r>
          </w:p>
        </w:tc>
        <w:tc>
          <w:tcPr>
            <w:tcW w:type="dxa" w:w="4226"/>
            <w:tcBorders>
              <w:top w:val="single" w:color="C8CDD3" w:sz="1"/>
              <w:left w:val="single" w:color="C8CDD3" w:sz="1"/>
              <w:bottom w:val="single" w:color="C8CDD3" w:sz="1"/>
              <w:right w:val="single" w:color="C8CDD3" w:sz="1"/>
            </w:tcBorders>
            <w:shd w:fill="FFFFFF" w:val="clear"/>
            <w:tcMar>
              <w:top w:type="dxa" w:w="70"/>
              <w:left w:type="dxa" w:w="140"/>
              <w:bottom w:type="dxa" w:w="70"/>
              <w:right w:type="dxa" w:w="140"/>
            </w:tcMar>
            <w:vAlign w:val="center"/>
          </w:tcPr>
          <w:p>
            <w:pPr>
              <w:spacing w:before="0" w:after="0" w:line="276"/>
              <w:jc w:val="left"/>
            </w:pPr>
            <w:r>
              <w:rPr>
                <w:rFonts w:ascii="Arial" w:cs="Arial" w:eastAsia="Arial" w:hAnsi="Arial"/>
                <w:b w:val="false"/>
                <w:bCs w:val="false"/>
                <w:i w:val="false"/>
                <w:iCs w:val="false"/>
                <w:color w:val="1A1A1A"/>
                <w:sz w:val="17"/>
                <w:szCs w:val="17"/>
              </w:rPr>
              <w:t xml:space="preserve">KPMG has a structured ERP program assurance methodology with independent QA frameworks for all phases. CFGI does provide PMO advisory but it is secondary to their accounting/technical focus.</w:t>
            </w:r>
          </w:p>
        </w:tc>
      </w:tr>
      <w:tr>
        <w:tc>
          <w:tcPr>
            <w:tcW w:type="dxa" w:w="2800"/>
            <w:tcBorders>
              <w:top w:val="single" w:color="C8CDD3" w:sz="1"/>
              <w:left w:val="single" w:color="C8CDD3" w:sz="1"/>
              <w:bottom w:val="single" w:color="C8CDD3" w:sz="1"/>
              <w:right w:val="single" w:color="C8CDD3" w:sz="1"/>
            </w:tcBorders>
            <w:shd w:fill="F5F6F8" w:val="clear"/>
            <w:tcMar>
              <w:top w:type="dxa" w:w="70"/>
              <w:left w:type="dxa" w:w="140"/>
              <w:bottom w:type="dxa" w:w="70"/>
              <w:right w:type="dxa" w:w="140"/>
            </w:tcMar>
            <w:vAlign w:val="center"/>
          </w:tcPr>
          <w:p>
            <w:pPr>
              <w:spacing w:before="0" w:after="0" w:line="276"/>
              <w:jc w:val="left"/>
            </w:pPr>
            <w:r>
              <w:rPr>
                <w:rFonts w:ascii="Arial" w:cs="Arial" w:eastAsia="Arial" w:hAnsi="Arial"/>
                <w:b/>
                <w:bCs/>
                <w:i w:val="false"/>
                <w:iCs w:val="false"/>
                <w:color w:val="2C3E50"/>
                <w:sz w:val="18"/>
                <w:szCs w:val="18"/>
              </w:rPr>
              <w:t xml:space="preserve">Independent Technical QA</w:t>
            </w:r>
          </w:p>
        </w:tc>
        <w:tc>
          <w:tcPr>
            <w:tcW w:type="dxa" w:w="1000"/>
            <w:tcBorders>
              <w:top w:val="single" w:color="C8CDD3" w:sz="1"/>
              <w:left w:val="single" w:color="C8CDD3" w:sz="1"/>
              <w:bottom w:val="single" w:color="C8CDD3" w:sz="1"/>
              <w:right w:val="single" w:color="C8CDD3" w:sz="1"/>
            </w:tcBorders>
            <w:shd w:fill="D4EDDA" w:val="clear"/>
            <w:tcMar>
              <w:top w:type="dxa" w:w="70"/>
              <w:left w:type="dxa" w:w="140"/>
              <w:bottom w:type="dxa" w:w="70"/>
              <w:right w:type="dxa" w:w="140"/>
            </w:tcMar>
            <w:vAlign w:val="center"/>
          </w:tcPr>
          <w:p>
            <w:pPr>
              <w:spacing w:before="0" w:after="0" w:line="276"/>
              <w:jc w:val="center"/>
            </w:pPr>
            <w:r>
              <w:rPr>
                <w:rFonts w:ascii="Arial" w:cs="Arial" w:eastAsia="Arial" w:hAnsi="Arial"/>
                <w:b w:val="false"/>
                <w:bCs w:val="false"/>
                <w:i w:val="false"/>
                <w:iCs w:val="false"/>
                <w:color w:val="1A5C38"/>
                <w:sz w:val="18"/>
                <w:szCs w:val="18"/>
              </w:rPr>
              <w:t xml:space="preserve">Strong</w:t>
            </w:r>
          </w:p>
        </w:tc>
        <w:tc>
          <w:tcPr>
            <w:tcW w:type="dxa" w:w="1000"/>
            <w:tcBorders>
              <w:top w:val="single" w:color="C8CDD3" w:sz="1"/>
              <w:left w:val="single" w:color="C8CDD3" w:sz="1"/>
              <w:bottom w:val="single" w:color="C8CDD3" w:sz="1"/>
              <w:right w:val="single" w:color="C8CDD3" w:sz="1"/>
            </w:tcBorders>
            <w:shd w:fill="FFF3CD" w:val="clear"/>
            <w:tcMar>
              <w:top w:type="dxa" w:w="70"/>
              <w:left w:type="dxa" w:w="140"/>
              <w:bottom w:type="dxa" w:w="70"/>
              <w:right w:type="dxa" w:w="140"/>
            </w:tcMar>
            <w:vAlign w:val="center"/>
          </w:tcPr>
          <w:p>
            <w:pPr>
              <w:spacing w:before="0" w:after="0" w:line="276"/>
              <w:jc w:val="center"/>
            </w:pPr>
            <w:r>
              <w:rPr>
                <w:rFonts w:ascii="Arial" w:cs="Arial" w:eastAsia="Arial" w:hAnsi="Arial"/>
                <w:b w:val="false"/>
                <w:bCs w:val="false"/>
                <w:i w:val="false"/>
                <w:iCs w:val="false"/>
                <w:color w:val="BF6C00"/>
                <w:sz w:val="18"/>
                <w:szCs w:val="18"/>
              </w:rPr>
              <w:t xml:space="preserve">Moderate</w:t>
            </w:r>
          </w:p>
        </w:tc>
        <w:tc>
          <w:tcPr>
            <w:tcW w:type="dxa" w:w="4226"/>
            <w:tcBorders>
              <w:top w:val="single" w:color="C8CDD3" w:sz="1"/>
              <w:left w:val="single" w:color="C8CDD3" w:sz="1"/>
              <w:bottom w:val="single" w:color="C8CDD3" w:sz="1"/>
              <w:right w:val="single" w:color="C8CDD3" w:sz="1"/>
            </w:tcBorders>
            <w:shd w:fill="FFFFFF" w:val="clear"/>
            <w:tcMar>
              <w:top w:type="dxa" w:w="70"/>
              <w:left w:type="dxa" w:w="140"/>
              <w:bottom w:type="dxa" w:w="70"/>
              <w:right w:type="dxa" w:w="140"/>
            </w:tcMar>
            <w:vAlign w:val="center"/>
          </w:tcPr>
          <w:p>
            <w:pPr>
              <w:spacing w:before="0" w:after="0" w:line="276"/>
              <w:jc w:val="left"/>
            </w:pPr>
            <w:r>
              <w:rPr>
                <w:rFonts w:ascii="Arial" w:cs="Arial" w:eastAsia="Arial" w:hAnsi="Arial"/>
                <w:b w:val="false"/>
                <w:bCs w:val="false"/>
                <w:i w:val="false"/>
                <w:iCs w:val="false"/>
                <w:color w:val="1A1A1A"/>
                <w:sz w:val="17"/>
                <w:szCs w:val="17"/>
              </w:rPr>
              <w:t xml:space="preserve">CFGI can validate NetSuite configuration, data migration design, and integration architecture against real-world NetSuite best practices. KPMG can run risk-based QA reviews but without NetSuite domain depth, reviews will be process-level only.</w:t>
            </w:r>
          </w:p>
        </w:tc>
      </w:tr>
      <w:tr>
        <w:tc>
          <w:tcPr>
            <w:tcW w:type="dxa" w:w="2800"/>
            <w:tcBorders>
              <w:top w:val="single" w:color="C8CDD3" w:sz="1"/>
              <w:left w:val="single" w:color="C8CDD3" w:sz="1"/>
              <w:bottom w:val="single" w:color="C8CDD3" w:sz="1"/>
              <w:right w:val="single" w:color="C8CDD3" w:sz="1"/>
            </w:tcBorders>
            <w:shd w:fill="F5F6F8" w:val="clear"/>
            <w:tcMar>
              <w:top w:type="dxa" w:w="70"/>
              <w:left w:type="dxa" w:w="140"/>
              <w:bottom w:type="dxa" w:w="70"/>
              <w:right w:type="dxa" w:w="140"/>
            </w:tcMar>
            <w:vAlign w:val="center"/>
          </w:tcPr>
          <w:p>
            <w:pPr>
              <w:spacing w:before="0" w:after="0" w:line="276"/>
              <w:jc w:val="left"/>
            </w:pPr>
            <w:r>
              <w:rPr>
                <w:rFonts w:ascii="Arial" w:cs="Arial" w:eastAsia="Arial" w:hAnsi="Arial"/>
                <w:b/>
                <w:bCs/>
                <w:i w:val="false"/>
                <w:iCs w:val="false"/>
                <w:color w:val="2C3E50"/>
                <w:sz w:val="18"/>
                <w:szCs w:val="18"/>
              </w:rPr>
              <w:t xml:space="preserve">Exec / Board Reporting</w:t>
            </w:r>
          </w:p>
        </w:tc>
        <w:tc>
          <w:tcPr>
            <w:tcW w:type="dxa" w:w="1000"/>
            <w:tcBorders>
              <w:top w:val="single" w:color="C8CDD3" w:sz="1"/>
              <w:left w:val="single" w:color="C8CDD3" w:sz="1"/>
              <w:bottom w:val="single" w:color="C8CDD3" w:sz="1"/>
              <w:right w:val="single" w:color="C8CDD3" w:sz="1"/>
            </w:tcBorders>
            <w:shd w:fill="FFF3CD" w:val="clear"/>
            <w:tcMar>
              <w:top w:type="dxa" w:w="70"/>
              <w:left w:type="dxa" w:w="140"/>
              <w:bottom w:type="dxa" w:w="70"/>
              <w:right w:type="dxa" w:w="140"/>
            </w:tcMar>
            <w:vAlign w:val="center"/>
          </w:tcPr>
          <w:p>
            <w:pPr>
              <w:spacing w:before="0" w:after="0" w:line="276"/>
              <w:jc w:val="center"/>
            </w:pPr>
            <w:r>
              <w:rPr>
                <w:rFonts w:ascii="Arial" w:cs="Arial" w:eastAsia="Arial" w:hAnsi="Arial"/>
                <w:b w:val="false"/>
                <w:bCs w:val="false"/>
                <w:i w:val="false"/>
                <w:iCs w:val="false"/>
                <w:color w:val="BF6C00"/>
                <w:sz w:val="18"/>
                <w:szCs w:val="18"/>
              </w:rPr>
              <w:t xml:space="preserve">Moderate</w:t>
            </w:r>
          </w:p>
        </w:tc>
        <w:tc>
          <w:tcPr>
            <w:tcW w:type="dxa" w:w="1000"/>
            <w:tcBorders>
              <w:top w:val="single" w:color="C8CDD3" w:sz="1"/>
              <w:left w:val="single" w:color="C8CDD3" w:sz="1"/>
              <w:bottom w:val="single" w:color="C8CDD3" w:sz="1"/>
              <w:right w:val="single" w:color="C8CDD3" w:sz="1"/>
            </w:tcBorders>
            <w:shd w:fill="D4EDDA" w:val="clear"/>
            <w:tcMar>
              <w:top w:type="dxa" w:w="70"/>
              <w:left w:type="dxa" w:w="140"/>
              <w:bottom w:type="dxa" w:w="70"/>
              <w:right w:type="dxa" w:w="140"/>
            </w:tcMar>
            <w:vAlign w:val="center"/>
          </w:tcPr>
          <w:p>
            <w:pPr>
              <w:spacing w:before="0" w:after="0" w:line="276"/>
              <w:jc w:val="center"/>
            </w:pPr>
            <w:r>
              <w:rPr>
                <w:rFonts w:ascii="Arial" w:cs="Arial" w:eastAsia="Arial" w:hAnsi="Arial"/>
                <w:b w:val="false"/>
                <w:bCs w:val="false"/>
                <w:i w:val="false"/>
                <w:iCs w:val="false"/>
                <w:color w:val="1A5C38"/>
                <w:sz w:val="18"/>
                <w:szCs w:val="18"/>
              </w:rPr>
              <w:t xml:space="preserve">Strong</w:t>
            </w:r>
          </w:p>
        </w:tc>
        <w:tc>
          <w:tcPr>
            <w:tcW w:type="dxa" w:w="4226"/>
            <w:tcBorders>
              <w:top w:val="single" w:color="C8CDD3" w:sz="1"/>
              <w:left w:val="single" w:color="C8CDD3" w:sz="1"/>
              <w:bottom w:val="single" w:color="C8CDD3" w:sz="1"/>
              <w:right w:val="single" w:color="C8CDD3" w:sz="1"/>
            </w:tcBorders>
            <w:shd w:fill="FFFFFF" w:val="clear"/>
            <w:tcMar>
              <w:top w:type="dxa" w:w="70"/>
              <w:left w:type="dxa" w:w="140"/>
              <w:bottom w:type="dxa" w:w="70"/>
              <w:right w:type="dxa" w:w="140"/>
            </w:tcMar>
            <w:vAlign w:val="center"/>
          </w:tcPr>
          <w:p>
            <w:pPr>
              <w:spacing w:before="0" w:after="0" w:line="276"/>
              <w:jc w:val="left"/>
            </w:pPr>
            <w:r>
              <w:rPr>
                <w:rFonts w:ascii="Arial" w:cs="Arial" w:eastAsia="Arial" w:hAnsi="Arial"/>
                <w:b w:val="false"/>
                <w:bCs w:val="false"/>
                <w:i w:val="false"/>
                <w:iCs w:val="false"/>
                <w:color w:val="1A1A1A"/>
                <w:sz w:val="17"/>
                <w:szCs w:val="17"/>
              </w:rPr>
              <w:t xml:space="preserve">KPMG already has context on Abivax's controls program and Audit Committee format. They are better positioned to produce board-ready ERP readout materials. CFGI would need ramp-up time to understand the governance structure.</w:t>
            </w:r>
          </w:p>
        </w:tc>
      </w:tr>
      <w:tr>
        <w:tc>
          <w:tcPr>
            <w:tcW w:type="dxa" w:w="2800"/>
            <w:tcBorders>
              <w:top w:val="single" w:color="C8CDD3" w:sz="1"/>
              <w:left w:val="single" w:color="C8CDD3" w:sz="1"/>
              <w:bottom w:val="single" w:color="C8CDD3" w:sz="1"/>
              <w:right w:val="single" w:color="C8CDD3" w:sz="1"/>
            </w:tcBorders>
            <w:shd w:fill="F5F6F8" w:val="clear"/>
            <w:tcMar>
              <w:top w:type="dxa" w:w="70"/>
              <w:left w:type="dxa" w:w="140"/>
              <w:bottom w:type="dxa" w:w="70"/>
              <w:right w:type="dxa" w:w="140"/>
            </w:tcMar>
            <w:vAlign w:val="center"/>
          </w:tcPr>
          <w:p>
            <w:pPr>
              <w:spacing w:before="0" w:after="0" w:line="276"/>
              <w:jc w:val="left"/>
            </w:pPr>
            <w:r>
              <w:rPr>
                <w:rFonts w:ascii="Arial" w:cs="Arial" w:eastAsia="Arial" w:hAnsi="Arial"/>
                <w:b/>
                <w:bCs/>
                <w:i w:val="false"/>
                <w:iCs w:val="false"/>
                <w:color w:val="2C3E50"/>
                <w:sz w:val="18"/>
                <w:szCs w:val="18"/>
              </w:rPr>
              <w:t xml:space="preserve">Team Seniority</w:t>
            </w:r>
          </w:p>
        </w:tc>
        <w:tc>
          <w:tcPr>
            <w:tcW w:type="dxa" w:w="1000"/>
            <w:tcBorders>
              <w:top w:val="single" w:color="C8CDD3" w:sz="1"/>
              <w:left w:val="single" w:color="C8CDD3" w:sz="1"/>
              <w:bottom w:val="single" w:color="C8CDD3" w:sz="1"/>
              <w:right w:val="single" w:color="C8CDD3" w:sz="1"/>
            </w:tcBorders>
            <w:shd w:fill="FDECEA" w:val="clear"/>
            <w:tcMar>
              <w:top w:type="dxa" w:w="70"/>
              <w:left w:type="dxa" w:w="140"/>
              <w:bottom w:type="dxa" w:w="70"/>
              <w:right w:type="dxa" w:w="140"/>
            </w:tcMar>
            <w:vAlign w:val="center"/>
          </w:tcPr>
          <w:p>
            <w:pPr>
              <w:spacing w:before="0" w:after="0" w:line="276"/>
              <w:jc w:val="center"/>
            </w:pPr>
            <w:r>
              <w:rPr>
                <w:rFonts w:ascii="Arial" w:cs="Arial" w:eastAsia="Arial" w:hAnsi="Arial"/>
                <w:b w:val="false"/>
                <w:bCs w:val="false"/>
                <w:i w:val="false"/>
                <w:iCs w:val="false"/>
                <w:color w:val="8B1A1A"/>
                <w:sz w:val="18"/>
                <w:szCs w:val="18"/>
              </w:rPr>
              <w:t xml:space="preserve">Weak</w:t>
            </w:r>
          </w:p>
        </w:tc>
        <w:tc>
          <w:tcPr>
            <w:tcW w:type="dxa" w:w="1000"/>
            <w:tcBorders>
              <w:top w:val="single" w:color="C8CDD3" w:sz="1"/>
              <w:left w:val="single" w:color="C8CDD3" w:sz="1"/>
              <w:bottom w:val="single" w:color="C8CDD3" w:sz="1"/>
              <w:right w:val="single" w:color="C8CDD3" w:sz="1"/>
            </w:tcBorders>
            <w:shd w:fill="FFF3CD" w:val="clear"/>
            <w:tcMar>
              <w:top w:type="dxa" w:w="70"/>
              <w:left w:type="dxa" w:w="140"/>
              <w:bottom w:type="dxa" w:w="70"/>
              <w:right w:type="dxa" w:w="140"/>
            </w:tcMar>
            <w:vAlign w:val="center"/>
          </w:tcPr>
          <w:p>
            <w:pPr>
              <w:spacing w:before="0" w:after="0" w:line="276"/>
              <w:jc w:val="center"/>
            </w:pPr>
            <w:r>
              <w:rPr>
                <w:rFonts w:ascii="Arial" w:cs="Arial" w:eastAsia="Arial" w:hAnsi="Arial"/>
                <w:b w:val="false"/>
                <w:bCs w:val="false"/>
                <w:i w:val="false"/>
                <w:iCs w:val="false"/>
                <w:color w:val="BF6C00"/>
                <w:sz w:val="18"/>
                <w:szCs w:val="18"/>
              </w:rPr>
              <w:t xml:space="preserve">Moderate</w:t>
            </w:r>
          </w:p>
        </w:tc>
        <w:tc>
          <w:tcPr>
            <w:tcW w:type="dxa" w:w="4226"/>
            <w:tcBorders>
              <w:top w:val="single" w:color="C8CDD3" w:sz="1"/>
              <w:left w:val="single" w:color="C8CDD3" w:sz="1"/>
              <w:bottom w:val="single" w:color="C8CDD3" w:sz="1"/>
              <w:right w:val="single" w:color="C8CDD3" w:sz="1"/>
            </w:tcBorders>
            <w:shd w:fill="FFFFFF" w:val="clear"/>
            <w:tcMar>
              <w:top w:type="dxa" w:w="70"/>
              <w:left w:type="dxa" w:w="140"/>
              <w:bottom w:type="dxa" w:w="70"/>
              <w:right w:type="dxa" w:w="140"/>
            </w:tcMar>
            <w:vAlign w:val="center"/>
          </w:tcPr>
          <w:p>
            <w:pPr>
              <w:spacing w:before="0" w:after="0" w:line="276"/>
              <w:jc w:val="left"/>
            </w:pPr>
            <w:r>
              <w:rPr>
                <w:rFonts w:ascii="Arial" w:cs="Arial" w:eastAsia="Arial" w:hAnsi="Arial"/>
                <w:b w:val="false"/>
                <w:bCs w:val="false"/>
                <w:i w:val="false"/>
                <w:iCs w:val="false"/>
                <w:color w:val="1A1A1A"/>
                <w:sz w:val="17"/>
                <w:szCs w:val="17"/>
              </w:rPr>
              <w:t xml:space="preserve">Known concern: CFGI team presented for this engagement is reportedly junior. KPMG France ERP advisory typically staffs manager–senior manager level on governance engagements, though Big 4 bait-and-switch risk exists (senior sold, junior delivered).</w:t>
            </w:r>
          </w:p>
        </w:tc>
      </w:tr>
      <w:tr>
        <w:tc>
          <w:tcPr>
            <w:tcW w:type="dxa" w:w="2800"/>
            <w:tcBorders>
              <w:top w:val="single" w:color="C8CDD3" w:sz="1"/>
              <w:left w:val="single" w:color="C8CDD3" w:sz="1"/>
              <w:bottom w:val="single" w:color="C8CDD3" w:sz="1"/>
              <w:right w:val="single" w:color="C8CDD3" w:sz="1"/>
            </w:tcBorders>
            <w:shd w:fill="F5F6F8" w:val="clear"/>
            <w:tcMar>
              <w:top w:type="dxa" w:w="70"/>
              <w:left w:type="dxa" w:w="140"/>
              <w:bottom w:type="dxa" w:w="70"/>
              <w:right w:type="dxa" w:w="140"/>
            </w:tcMar>
            <w:vAlign w:val="center"/>
          </w:tcPr>
          <w:p>
            <w:pPr>
              <w:spacing w:before="0" w:after="0" w:line="276"/>
              <w:jc w:val="left"/>
            </w:pPr>
            <w:r>
              <w:rPr>
                <w:rFonts w:ascii="Arial" w:cs="Arial" w:eastAsia="Arial" w:hAnsi="Arial"/>
                <w:b/>
                <w:bCs/>
                <w:i w:val="false"/>
                <w:iCs w:val="false"/>
                <w:color w:val="2C3E50"/>
                <w:sz w:val="18"/>
                <w:szCs w:val="18"/>
              </w:rPr>
              <w:t xml:space="preserve">IPO / SOX Readiness Alignment</w:t>
            </w:r>
          </w:p>
        </w:tc>
        <w:tc>
          <w:tcPr>
            <w:tcW w:type="dxa" w:w="1000"/>
            <w:tcBorders>
              <w:top w:val="single" w:color="C8CDD3" w:sz="1"/>
              <w:left w:val="single" w:color="C8CDD3" w:sz="1"/>
              <w:bottom w:val="single" w:color="C8CDD3" w:sz="1"/>
              <w:right w:val="single" w:color="C8CDD3" w:sz="1"/>
            </w:tcBorders>
            <w:shd w:fill="D4EDDA" w:val="clear"/>
            <w:tcMar>
              <w:top w:type="dxa" w:w="70"/>
              <w:left w:type="dxa" w:w="140"/>
              <w:bottom w:type="dxa" w:w="70"/>
              <w:right w:type="dxa" w:w="140"/>
            </w:tcMar>
            <w:vAlign w:val="center"/>
          </w:tcPr>
          <w:p>
            <w:pPr>
              <w:spacing w:before="0" w:after="0" w:line="276"/>
              <w:jc w:val="center"/>
            </w:pPr>
            <w:r>
              <w:rPr>
                <w:rFonts w:ascii="Arial" w:cs="Arial" w:eastAsia="Arial" w:hAnsi="Arial"/>
                <w:b w:val="false"/>
                <w:bCs w:val="false"/>
                <w:i w:val="false"/>
                <w:iCs w:val="false"/>
                <w:color w:val="1A5C38"/>
                <w:sz w:val="18"/>
                <w:szCs w:val="18"/>
              </w:rPr>
              <w:t xml:space="preserve">Strong</w:t>
            </w:r>
          </w:p>
        </w:tc>
        <w:tc>
          <w:tcPr>
            <w:tcW w:type="dxa" w:w="1000"/>
            <w:tcBorders>
              <w:top w:val="single" w:color="C8CDD3" w:sz="1"/>
              <w:left w:val="single" w:color="C8CDD3" w:sz="1"/>
              <w:bottom w:val="single" w:color="C8CDD3" w:sz="1"/>
              <w:right w:val="single" w:color="C8CDD3" w:sz="1"/>
            </w:tcBorders>
            <w:shd w:fill="FFF3CD" w:val="clear"/>
            <w:tcMar>
              <w:top w:type="dxa" w:w="70"/>
              <w:left w:type="dxa" w:w="140"/>
              <w:bottom w:type="dxa" w:w="70"/>
              <w:right w:type="dxa" w:w="140"/>
            </w:tcMar>
            <w:vAlign w:val="center"/>
          </w:tcPr>
          <w:p>
            <w:pPr>
              <w:spacing w:before="0" w:after="0" w:line="276"/>
              <w:jc w:val="center"/>
            </w:pPr>
            <w:r>
              <w:rPr>
                <w:rFonts w:ascii="Arial" w:cs="Arial" w:eastAsia="Arial" w:hAnsi="Arial"/>
                <w:b w:val="false"/>
                <w:bCs w:val="false"/>
                <w:i w:val="false"/>
                <w:iCs w:val="false"/>
                <w:color w:val="BF6C00"/>
                <w:sz w:val="18"/>
                <w:szCs w:val="18"/>
              </w:rPr>
              <w:t xml:space="preserve">Moderate</w:t>
            </w:r>
          </w:p>
        </w:tc>
        <w:tc>
          <w:tcPr>
            <w:tcW w:type="dxa" w:w="4226"/>
            <w:tcBorders>
              <w:top w:val="single" w:color="C8CDD3" w:sz="1"/>
              <w:left w:val="single" w:color="C8CDD3" w:sz="1"/>
              <w:bottom w:val="single" w:color="C8CDD3" w:sz="1"/>
              <w:right w:val="single" w:color="C8CDD3" w:sz="1"/>
            </w:tcBorders>
            <w:shd w:fill="FFFFFF" w:val="clear"/>
            <w:tcMar>
              <w:top w:type="dxa" w:w="70"/>
              <w:left w:type="dxa" w:w="140"/>
              <w:bottom w:type="dxa" w:w="70"/>
              <w:right w:type="dxa" w:w="140"/>
            </w:tcMar>
            <w:vAlign w:val="center"/>
          </w:tcPr>
          <w:p>
            <w:pPr>
              <w:spacing w:before="0" w:after="0" w:line="276"/>
              <w:jc w:val="left"/>
            </w:pPr>
            <w:r>
              <w:rPr>
                <w:rFonts w:ascii="Arial" w:cs="Arial" w:eastAsia="Arial" w:hAnsi="Arial"/>
                <w:b w:val="false"/>
                <w:bCs w:val="false"/>
                <w:i w:val="false"/>
                <w:iCs w:val="false"/>
                <w:color w:val="1A1A1A"/>
                <w:sz w:val="17"/>
                <w:szCs w:val="17"/>
              </w:rPr>
              <w:t xml:space="preserve">CFGI's core practice is IPO/SOX readiness and ERP in that context. Directly relevant given Abivax's Dec 2027 US public launch target. KPMG handles controls compliance but their ERP-linked IPO readiness track record is less distinctive.</w:t>
            </w:r>
          </w:p>
        </w:tc>
      </w:tr>
      <w:tr>
        <w:tc>
          <w:tcPr>
            <w:tcW w:type="dxa" w:w="2800"/>
            <w:tcBorders>
              <w:top w:val="single" w:color="C8CDD3" w:sz="1"/>
              <w:left w:val="single" w:color="C8CDD3" w:sz="1"/>
              <w:bottom w:val="single" w:color="C8CDD3" w:sz="1"/>
              <w:right w:val="single" w:color="C8CDD3" w:sz="1"/>
            </w:tcBorders>
            <w:shd w:fill="F5F6F8" w:val="clear"/>
            <w:tcMar>
              <w:top w:type="dxa" w:w="70"/>
              <w:left w:type="dxa" w:w="140"/>
              <w:bottom w:type="dxa" w:w="70"/>
              <w:right w:type="dxa" w:w="140"/>
            </w:tcMar>
            <w:vAlign w:val="center"/>
          </w:tcPr>
          <w:p>
            <w:pPr>
              <w:spacing w:before="0" w:after="0" w:line="276"/>
              <w:jc w:val="left"/>
            </w:pPr>
            <w:r>
              <w:rPr>
                <w:rFonts w:ascii="Arial" w:cs="Arial" w:eastAsia="Arial" w:hAnsi="Arial"/>
                <w:b/>
                <w:bCs/>
                <w:i w:val="false"/>
                <w:iCs w:val="false"/>
                <w:color w:val="2C3E50"/>
                <w:sz w:val="18"/>
                <w:szCs w:val="18"/>
              </w:rPr>
              <w:t xml:space="preserve">Estimated Day Rate (Europe)</w:t>
            </w:r>
          </w:p>
        </w:tc>
        <w:tc>
          <w:tcPr>
            <w:tcW w:type="dxa" w:w="1000"/>
            <w:tcBorders>
              <w:top w:val="single" w:color="C8CDD3" w:sz="1"/>
              <w:left w:val="single" w:color="C8CDD3" w:sz="1"/>
              <w:bottom w:val="single" w:color="C8CDD3" w:sz="1"/>
              <w:right w:val="single" w:color="C8CDD3" w:sz="1"/>
            </w:tcBorders>
            <w:shd w:fill="D6E4F7" w:val="clear"/>
            <w:tcMar>
              <w:top w:type="dxa" w:w="70"/>
              <w:left w:type="dxa" w:w="140"/>
              <w:bottom w:type="dxa" w:w="70"/>
              <w:right w:type="dxa" w:w="140"/>
            </w:tcMar>
            <w:vAlign w:val="center"/>
          </w:tcPr>
          <w:p>
            <w:pPr>
              <w:spacing w:before="0" w:after="0" w:line="276"/>
              <w:jc w:val="center"/>
            </w:pPr>
            <w:r>
              <w:rPr>
                <w:rFonts w:ascii="Arial" w:cs="Arial" w:eastAsia="Arial" w:hAnsi="Arial"/>
                <w:b w:val="false"/>
                <w:bCs w:val="false"/>
                <w:i w:val="false"/>
                <w:iCs w:val="false"/>
                <w:color w:val="2E5EA8"/>
                <w:sz w:val="18"/>
                <w:szCs w:val="18"/>
              </w:rPr>
              <w:t xml:space="preserve">€1,500–2,500</w:t>
            </w:r>
          </w:p>
        </w:tc>
        <w:tc>
          <w:tcPr>
            <w:tcW w:type="dxa" w:w="1000"/>
            <w:tcBorders>
              <w:top w:val="single" w:color="C8CDD3" w:sz="1"/>
              <w:left w:val="single" w:color="C8CDD3" w:sz="1"/>
              <w:bottom w:val="single" w:color="C8CDD3" w:sz="1"/>
              <w:right w:val="single" w:color="C8CDD3" w:sz="1"/>
            </w:tcBorders>
            <w:shd w:fill="FFF3CD" w:val="clear"/>
            <w:tcMar>
              <w:top w:type="dxa" w:w="70"/>
              <w:left w:type="dxa" w:w="140"/>
              <w:bottom w:type="dxa" w:w="70"/>
              <w:right w:type="dxa" w:w="140"/>
            </w:tcMar>
            <w:vAlign w:val="center"/>
          </w:tcPr>
          <w:p>
            <w:pPr>
              <w:spacing w:before="0" w:after="0" w:line="276"/>
              <w:jc w:val="center"/>
            </w:pPr>
            <w:r>
              <w:rPr>
                <w:rFonts w:ascii="Arial" w:cs="Arial" w:eastAsia="Arial" w:hAnsi="Arial"/>
                <w:b w:val="false"/>
                <w:bCs w:val="false"/>
                <w:i w:val="false"/>
                <w:iCs w:val="false"/>
                <w:color w:val="BF6C00"/>
                <w:sz w:val="18"/>
                <w:szCs w:val="18"/>
              </w:rPr>
              <w:t xml:space="preserve">€2,000–3,500</w:t>
            </w:r>
          </w:p>
        </w:tc>
        <w:tc>
          <w:tcPr>
            <w:tcW w:type="dxa" w:w="4226"/>
            <w:tcBorders>
              <w:top w:val="single" w:color="C8CDD3" w:sz="1"/>
              <w:left w:val="single" w:color="C8CDD3" w:sz="1"/>
              <w:bottom w:val="single" w:color="C8CDD3" w:sz="1"/>
              <w:right w:val="single" w:color="C8CDD3" w:sz="1"/>
            </w:tcBorders>
            <w:shd w:fill="FFFFFF" w:val="clear"/>
            <w:tcMar>
              <w:top w:type="dxa" w:w="70"/>
              <w:left w:type="dxa" w:w="140"/>
              <w:bottom w:type="dxa" w:w="70"/>
              <w:right w:type="dxa" w:w="140"/>
            </w:tcMar>
            <w:vAlign w:val="center"/>
          </w:tcPr>
          <w:p>
            <w:pPr>
              <w:spacing w:before="0" w:after="0" w:line="276"/>
              <w:jc w:val="left"/>
            </w:pPr>
            <w:r>
              <w:rPr>
                <w:rFonts w:ascii="Arial" w:cs="Arial" w:eastAsia="Arial" w:hAnsi="Arial"/>
                <w:b w:val="false"/>
                <w:bCs w:val="false"/>
                <w:i w:val="false"/>
                <w:iCs w:val="false"/>
                <w:color w:val="1A1A1A"/>
                <w:sz w:val="17"/>
                <w:szCs w:val="17"/>
              </w:rPr>
              <w:t xml:space="preserve">CFGI boutique rates are typically 10–30% below Big 4 for comparable seniority. At the €200K–€500K envelope across a 9-month program (Apr–Jan), CFGI buys more days or more senior resources.</w:t>
            </w:r>
          </w:p>
        </w:tc>
      </w:tr>
      <w:tr>
        <w:tc>
          <w:tcPr>
            <w:tcW w:type="dxa" w:w="2800"/>
            <w:tcBorders>
              <w:top w:val="single" w:color="C8CDD3" w:sz="1"/>
              <w:left w:val="single" w:color="C8CDD3" w:sz="1"/>
              <w:bottom w:val="single" w:color="C8CDD3" w:sz="1"/>
              <w:right w:val="single" w:color="C8CDD3" w:sz="1"/>
            </w:tcBorders>
            <w:shd w:fill="F5F6F8" w:val="clear"/>
            <w:tcMar>
              <w:top w:type="dxa" w:w="70"/>
              <w:left w:type="dxa" w:w="140"/>
              <w:bottom w:type="dxa" w:w="70"/>
              <w:right w:type="dxa" w:w="140"/>
            </w:tcMar>
            <w:vAlign w:val="center"/>
          </w:tcPr>
          <w:p>
            <w:pPr>
              <w:spacing w:before="0" w:after="0" w:line="276"/>
              <w:jc w:val="left"/>
            </w:pPr>
            <w:r>
              <w:rPr>
                <w:rFonts w:ascii="Arial" w:cs="Arial" w:eastAsia="Arial" w:hAnsi="Arial"/>
                <w:b/>
                <w:bCs/>
                <w:i w:val="false"/>
                <w:iCs w:val="false"/>
                <w:color w:val="2C3E50"/>
                <w:sz w:val="18"/>
                <w:szCs w:val="18"/>
              </w:rPr>
              <w:t xml:space="preserve">Existing Abivax Relationship</w:t>
            </w:r>
          </w:p>
        </w:tc>
        <w:tc>
          <w:tcPr>
            <w:tcW w:type="dxa" w:w="1000"/>
            <w:tcBorders>
              <w:top w:val="single" w:color="C8CDD3" w:sz="1"/>
              <w:left w:val="single" w:color="C8CDD3" w:sz="1"/>
              <w:bottom w:val="single" w:color="C8CDD3" w:sz="1"/>
              <w:right w:val="single" w:color="C8CDD3" w:sz="1"/>
            </w:tcBorders>
            <w:shd w:fill="FDECEA" w:val="clear"/>
            <w:tcMar>
              <w:top w:type="dxa" w:w="70"/>
              <w:left w:type="dxa" w:w="140"/>
              <w:bottom w:type="dxa" w:w="70"/>
              <w:right w:type="dxa" w:w="140"/>
            </w:tcMar>
            <w:vAlign w:val="center"/>
          </w:tcPr>
          <w:p>
            <w:pPr>
              <w:spacing w:before="0" w:after="0" w:line="276"/>
              <w:jc w:val="center"/>
            </w:pPr>
            <w:r>
              <w:rPr>
                <w:rFonts w:ascii="Arial" w:cs="Arial" w:eastAsia="Arial" w:hAnsi="Arial"/>
                <w:b w:val="false"/>
                <w:bCs w:val="false"/>
                <w:i w:val="false"/>
                <w:iCs w:val="false"/>
                <w:color w:val="8B1A1A"/>
                <w:sz w:val="18"/>
                <w:szCs w:val="18"/>
              </w:rPr>
              <w:t xml:space="preserve">Weak</w:t>
            </w:r>
          </w:p>
        </w:tc>
        <w:tc>
          <w:tcPr>
            <w:tcW w:type="dxa" w:w="1000"/>
            <w:tcBorders>
              <w:top w:val="single" w:color="C8CDD3" w:sz="1"/>
              <w:left w:val="single" w:color="C8CDD3" w:sz="1"/>
              <w:bottom w:val="single" w:color="C8CDD3" w:sz="1"/>
              <w:right w:val="single" w:color="C8CDD3" w:sz="1"/>
            </w:tcBorders>
            <w:shd w:fill="D4EDDA" w:val="clear"/>
            <w:tcMar>
              <w:top w:type="dxa" w:w="70"/>
              <w:left w:type="dxa" w:w="140"/>
              <w:bottom w:type="dxa" w:w="70"/>
              <w:right w:type="dxa" w:w="140"/>
            </w:tcMar>
            <w:vAlign w:val="center"/>
          </w:tcPr>
          <w:p>
            <w:pPr>
              <w:spacing w:before="0" w:after="0" w:line="276"/>
              <w:jc w:val="center"/>
            </w:pPr>
            <w:r>
              <w:rPr>
                <w:rFonts w:ascii="Arial" w:cs="Arial" w:eastAsia="Arial" w:hAnsi="Arial"/>
                <w:b w:val="false"/>
                <w:bCs w:val="false"/>
                <w:i w:val="false"/>
                <w:iCs w:val="false"/>
                <w:color w:val="1A5C38"/>
                <w:sz w:val="18"/>
                <w:szCs w:val="18"/>
              </w:rPr>
              <w:t xml:space="preserve">Strong</w:t>
            </w:r>
          </w:p>
        </w:tc>
        <w:tc>
          <w:tcPr>
            <w:tcW w:type="dxa" w:w="4226"/>
            <w:tcBorders>
              <w:top w:val="single" w:color="C8CDD3" w:sz="1"/>
              <w:left w:val="single" w:color="C8CDD3" w:sz="1"/>
              <w:bottom w:val="single" w:color="C8CDD3" w:sz="1"/>
              <w:right w:val="single" w:color="C8CDD3" w:sz="1"/>
            </w:tcBorders>
            <w:shd w:fill="FFFFFF" w:val="clear"/>
            <w:tcMar>
              <w:top w:type="dxa" w:w="70"/>
              <w:left w:type="dxa" w:w="140"/>
              <w:bottom w:type="dxa" w:w="70"/>
              <w:right w:type="dxa" w:w="140"/>
            </w:tcMar>
            <w:vAlign w:val="center"/>
          </w:tcPr>
          <w:p>
            <w:pPr>
              <w:spacing w:before="0" w:after="0" w:line="276"/>
              <w:jc w:val="left"/>
            </w:pPr>
            <w:r>
              <w:rPr>
                <w:rFonts w:ascii="Arial" w:cs="Arial" w:eastAsia="Arial" w:hAnsi="Arial"/>
                <w:b w:val="false"/>
                <w:bCs w:val="false"/>
                <w:i w:val="false"/>
                <w:iCs w:val="false"/>
                <w:color w:val="1A1A1A"/>
                <w:sz w:val="17"/>
                <w:szCs w:val="17"/>
              </w:rPr>
              <w:t xml:space="preserve">KPMG already holds the controls/audit advisory relationship (€650K Year 1 commercials). They understand the program architecture, key stakeholders (Hema, Didier, Adrian, Camille), and board reporting cadence. CFGI would start cold.</w:t>
            </w:r>
          </w:p>
        </w:tc>
      </w:tr>
      <w:tr>
        <w:tc>
          <w:tcPr>
            <w:tcW w:type="dxa" w:w="2800"/>
            <w:tcBorders>
              <w:top w:val="single" w:color="C8CDD3" w:sz="1"/>
              <w:left w:val="single" w:color="C8CDD3" w:sz="1"/>
              <w:bottom w:val="single" w:color="C8CDD3" w:sz="1"/>
              <w:right w:val="single" w:color="C8CDD3" w:sz="1"/>
            </w:tcBorders>
            <w:shd w:fill="F5F6F8" w:val="clear"/>
            <w:tcMar>
              <w:top w:type="dxa" w:w="70"/>
              <w:left w:type="dxa" w:w="140"/>
              <w:bottom w:type="dxa" w:w="70"/>
              <w:right w:type="dxa" w:w="140"/>
            </w:tcMar>
            <w:vAlign w:val="center"/>
          </w:tcPr>
          <w:p>
            <w:pPr>
              <w:spacing w:before="0" w:after="0" w:line="276"/>
              <w:jc w:val="left"/>
            </w:pPr>
            <w:r>
              <w:rPr>
                <w:rFonts w:ascii="Arial" w:cs="Arial" w:eastAsia="Arial" w:hAnsi="Arial"/>
                <w:b/>
                <w:bCs/>
                <w:i w:val="false"/>
                <w:iCs w:val="false"/>
                <w:color w:val="2C3E50"/>
                <w:sz w:val="18"/>
                <w:szCs w:val="18"/>
              </w:rPr>
              <w:t xml:space="preserve">Independence from SI</w:t>
            </w:r>
          </w:p>
        </w:tc>
        <w:tc>
          <w:tcPr>
            <w:tcW w:type="dxa" w:w="1000"/>
            <w:tcBorders>
              <w:top w:val="single" w:color="C8CDD3" w:sz="1"/>
              <w:left w:val="single" w:color="C8CDD3" w:sz="1"/>
              <w:bottom w:val="single" w:color="C8CDD3" w:sz="1"/>
              <w:right w:val="single" w:color="C8CDD3" w:sz="1"/>
            </w:tcBorders>
            <w:shd w:fill="D4EDDA" w:val="clear"/>
            <w:tcMar>
              <w:top w:type="dxa" w:w="70"/>
              <w:left w:type="dxa" w:w="140"/>
              <w:bottom w:type="dxa" w:w="70"/>
              <w:right w:type="dxa" w:w="140"/>
            </w:tcMar>
            <w:vAlign w:val="center"/>
          </w:tcPr>
          <w:p>
            <w:pPr>
              <w:spacing w:before="0" w:after="0" w:line="276"/>
              <w:jc w:val="center"/>
            </w:pPr>
            <w:r>
              <w:rPr>
                <w:rFonts w:ascii="Arial" w:cs="Arial" w:eastAsia="Arial" w:hAnsi="Arial"/>
                <w:b w:val="false"/>
                <w:bCs w:val="false"/>
                <w:i w:val="false"/>
                <w:iCs w:val="false"/>
                <w:color w:val="1A5C38"/>
                <w:sz w:val="18"/>
                <w:szCs w:val="18"/>
              </w:rPr>
              <w:t xml:space="preserve">Strong</w:t>
            </w:r>
          </w:p>
        </w:tc>
        <w:tc>
          <w:tcPr>
            <w:tcW w:type="dxa" w:w="1000"/>
            <w:tcBorders>
              <w:top w:val="single" w:color="C8CDD3" w:sz="1"/>
              <w:left w:val="single" w:color="C8CDD3" w:sz="1"/>
              <w:bottom w:val="single" w:color="C8CDD3" w:sz="1"/>
              <w:right w:val="single" w:color="C8CDD3" w:sz="1"/>
            </w:tcBorders>
            <w:shd w:fill="FFF3CD" w:val="clear"/>
            <w:tcMar>
              <w:top w:type="dxa" w:w="70"/>
              <w:left w:type="dxa" w:w="140"/>
              <w:bottom w:type="dxa" w:w="70"/>
              <w:right w:type="dxa" w:w="140"/>
            </w:tcMar>
            <w:vAlign w:val="center"/>
          </w:tcPr>
          <w:p>
            <w:pPr>
              <w:spacing w:before="0" w:after="0" w:line="276"/>
              <w:jc w:val="center"/>
            </w:pPr>
            <w:r>
              <w:rPr>
                <w:rFonts w:ascii="Arial" w:cs="Arial" w:eastAsia="Arial" w:hAnsi="Arial"/>
                <w:b w:val="false"/>
                <w:bCs w:val="false"/>
                <w:i w:val="false"/>
                <w:iCs w:val="false"/>
                <w:color w:val="BF6C00"/>
                <w:sz w:val="18"/>
                <w:szCs w:val="18"/>
              </w:rPr>
              <w:t xml:space="preserve">Moderate</w:t>
            </w:r>
          </w:p>
        </w:tc>
        <w:tc>
          <w:tcPr>
            <w:tcW w:type="dxa" w:w="4226"/>
            <w:tcBorders>
              <w:top w:val="single" w:color="C8CDD3" w:sz="1"/>
              <w:left w:val="single" w:color="C8CDD3" w:sz="1"/>
              <w:bottom w:val="single" w:color="C8CDD3" w:sz="1"/>
              <w:right w:val="single" w:color="C8CDD3" w:sz="1"/>
            </w:tcBorders>
            <w:shd w:fill="FFFFFF" w:val="clear"/>
            <w:tcMar>
              <w:top w:type="dxa" w:w="70"/>
              <w:left w:type="dxa" w:w="140"/>
              <w:bottom w:type="dxa" w:w="70"/>
              <w:right w:type="dxa" w:w="140"/>
            </w:tcMar>
            <w:vAlign w:val="center"/>
          </w:tcPr>
          <w:p>
            <w:pPr>
              <w:spacing w:before="0" w:after="0" w:line="276"/>
              <w:jc w:val="left"/>
            </w:pPr>
            <w:r>
              <w:rPr>
                <w:rFonts w:ascii="Arial" w:cs="Arial" w:eastAsia="Arial" w:hAnsi="Arial"/>
                <w:b w:val="false"/>
                <w:bCs w:val="false"/>
                <w:i w:val="false"/>
                <w:iCs w:val="false"/>
                <w:color w:val="1A1A1A"/>
                <w:sz w:val="17"/>
                <w:szCs w:val="17"/>
              </w:rPr>
              <w:t xml:space="preserve">CFGI has no known relationship with the NetSuite SI, making it a cleaner independent oversight position. KPMG's independence should also be high, but check for any existing SI relationships in France before appointment.</w:t>
            </w:r>
          </w:p>
        </w:tc>
      </w:tr>
      <w:tr>
        <w:tc>
          <w:tcPr>
            <w:tcW w:type="dxa" w:w="2800"/>
            <w:tcBorders>
              <w:top w:val="single" w:color="C8CDD3" w:sz="1"/>
              <w:left w:val="single" w:color="C8CDD3" w:sz="1"/>
              <w:bottom w:val="single" w:color="C8CDD3" w:sz="1"/>
              <w:right w:val="single" w:color="C8CDD3" w:sz="1"/>
            </w:tcBorders>
            <w:shd w:fill="F5F6F8" w:val="clear"/>
            <w:tcMar>
              <w:top w:type="dxa" w:w="70"/>
              <w:left w:type="dxa" w:w="140"/>
              <w:bottom w:type="dxa" w:w="70"/>
              <w:right w:type="dxa" w:w="140"/>
            </w:tcMar>
            <w:vAlign w:val="center"/>
          </w:tcPr>
          <w:p>
            <w:pPr>
              <w:spacing w:before="0" w:after="0" w:line="276"/>
              <w:jc w:val="left"/>
            </w:pPr>
            <w:r>
              <w:rPr>
                <w:rFonts w:ascii="Arial" w:cs="Arial" w:eastAsia="Arial" w:hAnsi="Arial"/>
                <w:b/>
                <w:bCs/>
                <w:i w:val="false"/>
                <w:iCs w:val="false"/>
                <w:color w:val="2C3E50"/>
                <w:sz w:val="18"/>
                <w:szCs w:val="18"/>
              </w:rPr>
              <w:t xml:space="preserve">Overall Readiness Risk</w:t>
            </w:r>
          </w:p>
        </w:tc>
        <w:tc>
          <w:tcPr>
            <w:tcW w:type="dxa" w:w="1000"/>
            <w:tcBorders>
              <w:top w:val="single" w:color="C8CDD3" w:sz="1"/>
              <w:left w:val="single" w:color="C8CDD3" w:sz="1"/>
              <w:bottom w:val="single" w:color="C8CDD3" w:sz="1"/>
              <w:right w:val="single" w:color="C8CDD3" w:sz="1"/>
            </w:tcBorders>
            <w:shd w:fill="FFF3CD" w:val="clear"/>
            <w:tcMar>
              <w:top w:type="dxa" w:w="70"/>
              <w:left w:type="dxa" w:w="140"/>
              <w:bottom w:type="dxa" w:w="70"/>
              <w:right w:type="dxa" w:w="140"/>
            </w:tcMar>
            <w:vAlign w:val="center"/>
          </w:tcPr>
          <w:p>
            <w:pPr>
              <w:spacing w:before="0" w:after="0" w:line="276"/>
              <w:jc w:val="center"/>
            </w:pPr>
            <w:r>
              <w:rPr>
                <w:rFonts w:ascii="Arial" w:cs="Arial" w:eastAsia="Arial" w:hAnsi="Arial"/>
                <w:b w:val="false"/>
                <w:bCs w:val="false"/>
                <w:i w:val="false"/>
                <w:iCs w:val="false"/>
                <w:color w:val="BF6C00"/>
                <w:sz w:val="18"/>
                <w:szCs w:val="18"/>
              </w:rPr>
              <w:t xml:space="preserve">Moderate</w:t>
            </w:r>
          </w:p>
        </w:tc>
        <w:tc>
          <w:tcPr>
            <w:tcW w:type="dxa" w:w="1000"/>
            <w:tcBorders>
              <w:top w:val="single" w:color="C8CDD3" w:sz="1"/>
              <w:left w:val="single" w:color="C8CDD3" w:sz="1"/>
              <w:bottom w:val="single" w:color="C8CDD3" w:sz="1"/>
              <w:right w:val="single" w:color="C8CDD3" w:sz="1"/>
            </w:tcBorders>
            <w:shd w:fill="FFF3CD" w:val="clear"/>
            <w:tcMar>
              <w:top w:type="dxa" w:w="70"/>
              <w:left w:type="dxa" w:w="140"/>
              <w:bottom w:type="dxa" w:w="70"/>
              <w:right w:type="dxa" w:w="140"/>
            </w:tcMar>
            <w:vAlign w:val="center"/>
          </w:tcPr>
          <w:p>
            <w:pPr>
              <w:spacing w:before="0" w:after="0" w:line="276"/>
              <w:jc w:val="center"/>
            </w:pPr>
            <w:r>
              <w:rPr>
                <w:rFonts w:ascii="Arial" w:cs="Arial" w:eastAsia="Arial" w:hAnsi="Arial"/>
                <w:b w:val="false"/>
                <w:bCs w:val="false"/>
                <w:i w:val="false"/>
                <w:iCs w:val="false"/>
                <w:color w:val="BF6C00"/>
                <w:sz w:val="18"/>
                <w:szCs w:val="18"/>
              </w:rPr>
              <w:t xml:space="preserve">Moderate</w:t>
            </w:r>
          </w:p>
        </w:tc>
        <w:tc>
          <w:tcPr>
            <w:tcW w:type="dxa" w:w="4226"/>
            <w:tcBorders>
              <w:top w:val="single" w:color="C8CDD3" w:sz="1"/>
              <w:left w:val="single" w:color="C8CDD3" w:sz="1"/>
              <w:bottom w:val="single" w:color="C8CDD3" w:sz="1"/>
              <w:right w:val="single" w:color="C8CDD3" w:sz="1"/>
            </w:tcBorders>
            <w:shd w:fill="FFFFFF" w:val="clear"/>
            <w:tcMar>
              <w:top w:type="dxa" w:w="70"/>
              <w:left w:type="dxa" w:w="140"/>
              <w:bottom w:type="dxa" w:w="70"/>
              <w:right w:type="dxa" w:w="140"/>
            </w:tcMar>
            <w:vAlign w:val="center"/>
          </w:tcPr>
          <w:p>
            <w:pPr>
              <w:spacing w:before="0" w:after="0" w:line="276"/>
              <w:jc w:val="left"/>
            </w:pPr>
            <w:r>
              <w:rPr>
                <w:rFonts w:ascii="Arial" w:cs="Arial" w:eastAsia="Arial" w:hAnsi="Arial"/>
                <w:b w:val="false"/>
                <w:bCs w:val="false"/>
                <w:i w:val="false"/>
                <w:iCs w:val="false"/>
                <w:color w:val="1A1A1A"/>
                <w:sz w:val="17"/>
                <w:szCs w:val="17"/>
              </w:rPr>
              <w:t xml:space="preserve">CFGI: Technical depth is there but geographic distance and junior staffing are real execution risks. KPMG: Institutional knowledge and local presence are assets, but the NetSuite technical gap is a significant blind spot for this specific role.</w:t>
            </w:r>
          </w:p>
        </w:tc>
      </w:tr>
    </w:tbl>
    <w:p>
      <w:pPr>
        <w:spacing w:before="0" w:after="240"/>
      </w:pPr>
      <w:r>
        <w:rPr>
          <w:rFonts w:ascii="Arial" w:cs="Arial" w:eastAsia="Arial" w:hAnsi="Arial"/>
          <w:b w:val="false"/>
          <w:bCs w:val="false"/>
          <w:i w:val="false"/>
          <w:iCs w:val="false"/>
          <w:color w:val="1A1A1A"/>
          <w:sz w:val="20"/>
          <w:szCs w:val="20"/>
        </w:rPr>
        <w:t xml:space="preserve"/>
      </w:r>
    </w:p>
    <w:p>
      <w:pPr>
        <w:pStyle w:val="Heading1"/>
      </w:pPr>
      <w:r>
        <w:rPr>
          <w:rFonts w:ascii="Arial" w:cs="Arial" w:eastAsia="Arial" w:hAnsi="Arial"/>
          <w:b/>
          <w:bCs/>
          <w:color w:val="1F3864"/>
          <w:sz w:val="28"/>
          <w:szCs w:val="28"/>
        </w:rPr>
        <w:t xml:space="preserve">CFGI — Detail</w:t>
      </w:r>
    </w:p>
    <w:p>
      <w:pPr>
        <w:spacing w:before="0" w:after="120" w:line="276"/>
        <w:jc w:val="left"/>
      </w:pPr>
      <w:r>
        <w:rPr>
          <w:rFonts w:ascii="Arial" w:cs="Arial" w:eastAsia="Arial" w:hAnsi="Arial"/>
          <w:b w:val="false"/>
          <w:bCs w:val="false"/>
          <w:i w:val="false"/>
          <w:iCs w:val="false"/>
          <w:color w:val="1A1A1A"/>
          <w:sz w:val="19"/>
          <w:szCs w:val="19"/>
        </w:rPr>
        <w:t xml:space="preserve">CFGI is a US-based boutique accounting and financial advisory firm with 1,000+ professionals (largely former Big 4). </w:t>
      </w:r>
      <w:r>
        <w:rPr>
          <w:rFonts w:ascii="Arial" w:cs="Arial" w:eastAsia="Arial" w:hAnsi="Arial"/>
          <w:b w:val="false"/>
          <w:bCs w:val="false"/>
          <w:i w:val="false"/>
          <w:iCs w:val="false"/>
          <w:color w:val="1A1A1A"/>
          <w:sz w:val="19"/>
          <w:szCs w:val="19"/>
        </w:rPr>
        <w:t xml:space="preserve">It was backed by The Carlyle Group and has expanded into Europe since 2022 — now with offices in London, Edinburgh, Birmingham, Glasgow, Cambridge, Dublin, Singapore, and Germany (nine offices via the May 2024 acquisition of PAS Financial Advisory AG). No France office exists.</w:t>
      </w:r>
    </w:p>
    <w:p>
      <w:pPr>
        <w:spacing w:before="0" w:after="160" w:line="276"/>
        <w:jc w:val="left"/>
      </w:pPr>
      <w:r>
        <w:rPr>
          <w:rFonts w:ascii="Arial" w:cs="Arial" w:eastAsia="Arial" w:hAnsi="Arial"/>
          <w:b w:val="false"/>
          <w:bCs w:val="false"/>
          <w:i w:val="false"/>
          <w:iCs w:val="false"/>
          <w:color w:val="1A1A1A"/>
          <w:sz w:val="19"/>
          <w:szCs w:val="19"/>
        </w:rPr>
        <w:t xml:space="preserve">ERP advisory is a documented service line. CFGI was a SuiteWorld 2024 sponsor — confirming NetSuite advisory as an active practice. Their life sciences track record is strongest in the group: ~30% of US life sciences IPOs since 2016 have involved CFGI on accounting advisory, with ERP and SOX readiness frequently bundled.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C8CDD3" w:sz="1"/>
              <w:left w:val="single" w:color="C8CDD3" w:sz="1"/>
              <w:bottom w:val="single" w:color="C8CDD3" w:sz="1"/>
              <w:right w:val="single" w:color="C8CDD3" w:sz="1"/>
            </w:tcBorders>
            <w:shd w:fill="1F4E79" w:val="clear"/>
            <w:tcMar>
              <w:top w:type="dxa" w:w="110"/>
              <w:left w:type="dxa" w:w="140"/>
              <w:bottom w:type="dxa" w:w="110"/>
              <w:right w:type="dxa" w:w="140"/>
            </w:tcMar>
          </w:tcPr>
          <w:p>
            <w:pPr>
              <w:spacing w:before="0" w:after="0" w:line="276"/>
              <w:jc w:val="left"/>
            </w:pPr>
            <w:r>
              <w:rPr>
                <w:rFonts w:ascii="Arial" w:cs="Arial" w:eastAsia="Arial" w:hAnsi="Arial"/>
                <w:b/>
                <w:bCs/>
                <w:color w:val="FFFFFF"/>
                <w:sz w:val="19"/>
                <w:szCs w:val="19"/>
              </w:rPr>
              <w:t xml:space="preserve">Strengths</w:t>
            </w:r>
          </w:p>
        </w:tc>
        <w:tc>
          <w:tcPr>
            <w:tcW w:type="dxa" w:w="3008"/>
            <w:tcBorders>
              <w:top w:val="single" w:color="C8CDD3" w:sz="1"/>
              <w:left w:val="single" w:color="C8CDD3" w:sz="1"/>
              <w:bottom w:val="single" w:color="C8CDD3" w:sz="1"/>
              <w:right w:val="single" w:color="C8CDD3" w:sz="1"/>
            </w:tcBorders>
            <w:shd w:fill="1F4E79" w:val="clear"/>
            <w:tcMar>
              <w:top w:type="dxa" w:w="110"/>
              <w:left w:type="dxa" w:w="140"/>
              <w:bottom w:type="dxa" w:w="110"/>
              <w:right w:type="dxa" w:w="140"/>
            </w:tcMar>
          </w:tcPr>
          <w:p>
            <w:pPr>
              <w:spacing w:before="0" w:after="0" w:line="276"/>
              <w:jc w:val="left"/>
            </w:pPr>
            <w:r>
              <w:rPr>
                <w:rFonts w:ascii="Arial" w:cs="Arial" w:eastAsia="Arial" w:hAnsi="Arial"/>
                <w:b/>
                <w:bCs/>
                <w:color w:val="FFFFFF"/>
                <w:sz w:val="19"/>
                <w:szCs w:val="19"/>
              </w:rPr>
              <w:t xml:space="preserve">Weaknesses</w:t>
            </w:r>
          </w:p>
        </w:tc>
        <w:tc>
          <w:tcPr>
            <w:tcW w:type="dxa" w:w="3010"/>
            <w:tcBorders>
              <w:top w:val="single" w:color="C8CDD3" w:sz="1"/>
              <w:left w:val="single" w:color="C8CDD3" w:sz="1"/>
              <w:bottom w:val="single" w:color="C8CDD3" w:sz="1"/>
              <w:right w:val="single" w:color="C8CDD3" w:sz="1"/>
            </w:tcBorders>
            <w:shd w:fill="1F4E79" w:val="clear"/>
            <w:tcMar>
              <w:top w:type="dxa" w:w="110"/>
              <w:left w:type="dxa" w:w="140"/>
              <w:bottom w:type="dxa" w:w="110"/>
              <w:right w:type="dxa" w:w="140"/>
            </w:tcMar>
          </w:tcPr>
          <w:p>
            <w:pPr>
              <w:spacing w:before="0" w:after="0" w:line="276"/>
              <w:jc w:val="left"/>
            </w:pPr>
            <w:r>
              <w:rPr>
                <w:rFonts w:ascii="Arial" w:cs="Arial" w:eastAsia="Arial" w:hAnsi="Arial"/>
                <w:b/>
                <w:bCs/>
                <w:color w:val="FFFFFF"/>
                <w:sz w:val="19"/>
                <w:szCs w:val="19"/>
              </w:rPr>
              <w:t xml:space="preserve">Key Risks</w:t>
            </w:r>
          </w:p>
        </w:tc>
      </w:tr>
      <w:tr>
        <w:tc>
          <w:tcPr>
            <w:tcW w:type="dxa" w:w="3008"/>
            <w:tcBorders>
              <w:top w:val="single" w:color="C8CDD3" w:sz="1"/>
              <w:left w:val="single" w:color="C8CDD3" w:sz="1"/>
              <w:bottom w:val="single" w:color="C8CDD3" w:sz="1"/>
              <w:right w:val="single" w:color="C8CDD3" w:sz="1"/>
            </w:tcBorders>
            <w:shd w:fill="FFFFFF" w:val="clear"/>
            <w:tcMar>
              <w:top w:type="dxa" w:w="70"/>
              <w:left w:type="dxa" w:w="140"/>
              <w:bottom w:type="dxa" w:w="70"/>
              <w:right w:type="dxa" w:w="140"/>
            </w:tcMar>
          </w:tcPr>
          <w:p>
            <w:pPr>
              <w:spacing w:before="0" w:after="0" w:line="276"/>
              <w:jc w:val="left"/>
            </w:pPr>
            <w:r>
              <w:rPr>
                <w:rFonts w:ascii="Arial" w:cs="Arial" w:eastAsia="Arial" w:hAnsi="Arial"/>
                <w:b/>
                <w:bCs/>
                <w:i w:val="false"/>
                <w:iCs w:val="false"/>
                <w:color w:val="1A5C38"/>
                <w:sz w:val="18"/>
                <w:szCs w:val="18"/>
              </w:rPr>
              <w:t xml:space="preserve">+ </w:t>
            </w:r>
            <w:r>
              <w:rPr>
                <w:rFonts w:ascii="Arial" w:cs="Arial" w:eastAsia="Arial" w:hAnsi="Arial"/>
                <w:b w:val="false"/>
                <w:bCs w:val="false"/>
                <w:i w:val="false"/>
                <w:iCs w:val="false"/>
                <w:color w:val="1A1A1A"/>
                <w:sz w:val="18"/>
                <w:szCs w:val="18"/>
              </w:rPr>
              <w:t xml:space="preserve">Genuine NetSuite advisory capability</w:t>
            </w:r>
          </w:p>
        </w:tc>
        <w:tc>
          <w:tcPr>
            <w:tcW w:type="dxa" w:w="3008"/>
            <w:tcBorders>
              <w:top w:val="single" w:color="C8CDD3" w:sz="1"/>
              <w:left w:val="single" w:color="C8CDD3" w:sz="1"/>
              <w:bottom w:val="single" w:color="C8CDD3" w:sz="1"/>
              <w:right w:val="single" w:color="C8CDD3" w:sz="1"/>
            </w:tcBorders>
            <w:shd w:fill="FFFFFF" w:val="clear"/>
            <w:tcMar>
              <w:top w:type="dxa" w:w="70"/>
              <w:left w:type="dxa" w:w="140"/>
              <w:bottom w:type="dxa" w:w="70"/>
              <w:right w:type="dxa" w:w="140"/>
            </w:tcMar>
          </w:tcPr>
          <w:p>
            <w:pPr>
              <w:spacing w:before="0" w:after="0" w:line="276"/>
              <w:jc w:val="left"/>
            </w:pPr>
            <w:r>
              <w:rPr>
                <w:rFonts w:ascii="Arial" w:cs="Arial" w:eastAsia="Arial" w:hAnsi="Arial"/>
                <w:b/>
                <w:bCs/>
                <w:i w:val="false"/>
                <w:iCs w:val="false"/>
                <w:color w:val="8B1A1A"/>
                <w:sz w:val="18"/>
                <w:szCs w:val="18"/>
              </w:rPr>
              <w:t xml:space="preserve">− </w:t>
            </w:r>
            <w:r>
              <w:rPr>
                <w:rFonts w:ascii="Arial" w:cs="Arial" w:eastAsia="Arial" w:hAnsi="Arial"/>
                <w:b w:val="false"/>
                <w:bCs w:val="false"/>
                <w:i w:val="false"/>
                <w:iCs w:val="false"/>
                <w:color w:val="1A1A1A"/>
                <w:sz w:val="18"/>
                <w:szCs w:val="18"/>
              </w:rPr>
              <w:t xml:space="preserve">No France office; nearest is UK or Germany</w:t>
            </w:r>
          </w:p>
        </w:tc>
        <w:tc>
          <w:tcPr>
            <w:tcW w:type="dxa" w:w="3010"/>
            <w:tcBorders>
              <w:top w:val="single" w:color="C8CDD3" w:sz="1"/>
              <w:left w:val="single" w:color="C8CDD3" w:sz="1"/>
              <w:bottom w:val="single" w:color="C8CDD3" w:sz="1"/>
              <w:right w:val="single" w:color="C8CDD3" w:sz="1"/>
            </w:tcBorders>
            <w:shd w:fill="FFFFFF" w:val="clear"/>
            <w:tcMar>
              <w:top w:type="dxa" w:w="70"/>
              <w:left w:type="dxa" w:w="140"/>
              <w:bottom w:type="dxa" w:w="70"/>
              <w:right w:type="dxa" w:w="140"/>
            </w:tcMar>
          </w:tcPr>
          <w:p>
            <w:pPr>
              <w:spacing w:before="0" w:after="0" w:line="276"/>
              <w:jc w:val="left"/>
            </w:pPr>
            <w:r>
              <w:rPr>
                <w:rFonts w:ascii="Arial" w:cs="Arial" w:eastAsia="Arial" w:hAnsi="Arial"/>
                <w:b/>
                <w:bCs/>
                <w:i w:val="false"/>
                <w:iCs w:val="false"/>
                <w:color w:val="BF6C00"/>
                <w:sz w:val="18"/>
                <w:szCs w:val="18"/>
              </w:rPr>
              <w:t xml:space="preserve">⚠ </w:t>
            </w:r>
            <w:r>
              <w:rPr>
                <w:rFonts w:ascii="Arial" w:cs="Arial" w:eastAsia="Arial" w:hAnsi="Arial"/>
                <w:b w:val="false"/>
                <w:bCs w:val="false"/>
                <w:i w:val="false"/>
                <w:iCs w:val="false"/>
                <w:color w:val="1A1A1A"/>
                <w:sz w:val="18"/>
                <w:szCs w:val="18"/>
              </w:rPr>
              <w:t xml:space="preserve">Staffing bait-and-switch: insist on named senior leads in contract</w:t>
            </w:r>
          </w:p>
        </w:tc>
      </w:tr>
      <w:tr>
        <w:tc>
          <w:tcPr>
            <w:tcW w:type="dxa" w:w="3008"/>
            <w:tcBorders>
              <w:top w:val="single" w:color="C8CDD3" w:sz="1"/>
              <w:left w:val="single" w:color="C8CDD3" w:sz="1"/>
              <w:bottom w:val="single" w:color="C8CDD3" w:sz="1"/>
              <w:right w:val="single" w:color="C8CDD3" w:sz="1"/>
            </w:tcBorders>
            <w:shd w:fill="F5F6F8" w:val="clear"/>
            <w:tcMar>
              <w:top w:type="dxa" w:w="70"/>
              <w:left w:type="dxa" w:w="140"/>
              <w:bottom w:type="dxa" w:w="70"/>
              <w:right w:type="dxa" w:w="140"/>
            </w:tcMar>
          </w:tcPr>
          <w:p>
            <w:pPr>
              <w:spacing w:before="0" w:after="0" w:line="276"/>
              <w:jc w:val="left"/>
            </w:pPr>
            <w:r>
              <w:rPr>
                <w:rFonts w:ascii="Arial" w:cs="Arial" w:eastAsia="Arial" w:hAnsi="Arial"/>
                <w:b/>
                <w:bCs/>
                <w:i w:val="false"/>
                <w:iCs w:val="false"/>
                <w:color w:val="1A5C38"/>
                <w:sz w:val="18"/>
                <w:szCs w:val="18"/>
              </w:rPr>
              <w:t xml:space="preserve">+ </w:t>
            </w:r>
            <w:r>
              <w:rPr>
                <w:rFonts w:ascii="Arial" w:cs="Arial" w:eastAsia="Arial" w:hAnsi="Arial"/>
                <w:b w:val="false"/>
                <w:bCs w:val="false"/>
                <w:i w:val="false"/>
                <w:iCs w:val="false"/>
                <w:color w:val="1A1A1A"/>
                <w:sz w:val="18"/>
                <w:szCs w:val="18"/>
              </w:rPr>
              <w:t xml:space="preserve">Life sciences / biotech domain depth</w:t>
            </w:r>
          </w:p>
        </w:tc>
        <w:tc>
          <w:tcPr>
            <w:tcW w:type="dxa" w:w="3008"/>
            <w:tcBorders>
              <w:top w:val="single" w:color="C8CDD3" w:sz="1"/>
              <w:left w:val="single" w:color="C8CDD3" w:sz="1"/>
              <w:bottom w:val="single" w:color="C8CDD3" w:sz="1"/>
              <w:right w:val="single" w:color="C8CDD3" w:sz="1"/>
            </w:tcBorders>
            <w:shd w:fill="F5F6F8" w:val="clear"/>
            <w:tcMar>
              <w:top w:type="dxa" w:w="70"/>
              <w:left w:type="dxa" w:w="140"/>
              <w:bottom w:type="dxa" w:w="70"/>
              <w:right w:type="dxa" w:w="140"/>
            </w:tcMar>
          </w:tcPr>
          <w:p>
            <w:pPr>
              <w:spacing w:before="0" w:after="0" w:line="276"/>
              <w:jc w:val="left"/>
            </w:pPr>
            <w:r>
              <w:rPr>
                <w:rFonts w:ascii="Arial" w:cs="Arial" w:eastAsia="Arial" w:hAnsi="Arial"/>
                <w:b/>
                <w:bCs/>
                <w:i w:val="false"/>
                <w:iCs w:val="false"/>
                <w:color w:val="8B1A1A"/>
                <w:sz w:val="18"/>
                <w:szCs w:val="18"/>
              </w:rPr>
              <w:t xml:space="preserve">− </w:t>
            </w:r>
            <w:r>
              <w:rPr>
                <w:rFonts w:ascii="Arial" w:cs="Arial" w:eastAsia="Arial" w:hAnsi="Arial"/>
                <w:b w:val="false"/>
                <w:bCs w:val="false"/>
                <w:i w:val="false"/>
                <w:iCs w:val="false"/>
                <w:color w:val="1A1A1A"/>
                <w:sz w:val="18"/>
                <w:szCs w:val="18"/>
              </w:rPr>
              <w:t xml:space="preserve">Assigned team is reportedly junior — confirmed concern</w:t>
            </w:r>
          </w:p>
        </w:tc>
        <w:tc>
          <w:tcPr>
            <w:tcW w:type="dxa" w:w="3010"/>
            <w:tcBorders>
              <w:top w:val="single" w:color="C8CDD3" w:sz="1"/>
              <w:left w:val="single" w:color="C8CDD3" w:sz="1"/>
              <w:bottom w:val="single" w:color="C8CDD3" w:sz="1"/>
              <w:right w:val="single" w:color="C8CDD3" w:sz="1"/>
            </w:tcBorders>
            <w:shd w:fill="F5F6F8" w:val="clear"/>
            <w:tcMar>
              <w:top w:type="dxa" w:w="70"/>
              <w:left w:type="dxa" w:w="140"/>
              <w:bottom w:type="dxa" w:w="70"/>
              <w:right w:type="dxa" w:w="140"/>
            </w:tcMar>
          </w:tcPr>
          <w:p>
            <w:pPr>
              <w:spacing w:before="0" w:after="0" w:line="276"/>
              <w:jc w:val="left"/>
            </w:pPr>
            <w:r>
              <w:rPr>
                <w:rFonts w:ascii="Arial" w:cs="Arial" w:eastAsia="Arial" w:hAnsi="Arial"/>
                <w:b/>
                <w:bCs/>
                <w:i w:val="false"/>
                <w:iCs w:val="false"/>
                <w:color w:val="BF6C00"/>
                <w:sz w:val="18"/>
                <w:szCs w:val="18"/>
              </w:rPr>
              <w:t xml:space="preserve">⚠ </w:t>
            </w:r>
            <w:r>
              <w:rPr>
                <w:rFonts w:ascii="Arial" w:cs="Arial" w:eastAsia="Arial" w:hAnsi="Arial"/>
                <w:b w:val="false"/>
                <w:bCs w:val="false"/>
                <w:i w:val="false"/>
                <w:iCs w:val="false"/>
                <w:color w:val="1A1A1A"/>
                <w:sz w:val="18"/>
                <w:szCs w:val="18"/>
              </w:rPr>
              <w:t xml:space="preserve">Travel overhead adds cost and reduces responsiveness</w:t>
            </w:r>
          </w:p>
        </w:tc>
      </w:tr>
      <w:tr>
        <w:tc>
          <w:tcPr>
            <w:tcW w:type="dxa" w:w="3008"/>
            <w:tcBorders>
              <w:top w:val="single" w:color="C8CDD3" w:sz="1"/>
              <w:left w:val="single" w:color="C8CDD3" w:sz="1"/>
              <w:bottom w:val="single" w:color="C8CDD3" w:sz="1"/>
              <w:right w:val="single" w:color="C8CDD3" w:sz="1"/>
            </w:tcBorders>
            <w:shd w:fill="FFFFFF" w:val="clear"/>
            <w:tcMar>
              <w:top w:type="dxa" w:w="70"/>
              <w:left w:type="dxa" w:w="140"/>
              <w:bottom w:type="dxa" w:w="70"/>
              <w:right w:type="dxa" w:w="140"/>
            </w:tcMar>
          </w:tcPr>
          <w:p>
            <w:pPr>
              <w:spacing w:before="0" w:after="0" w:line="276"/>
              <w:jc w:val="left"/>
            </w:pPr>
            <w:r>
              <w:rPr>
                <w:rFonts w:ascii="Arial" w:cs="Arial" w:eastAsia="Arial" w:hAnsi="Arial"/>
                <w:b/>
                <w:bCs/>
                <w:i w:val="false"/>
                <w:iCs w:val="false"/>
                <w:color w:val="1A5C38"/>
                <w:sz w:val="18"/>
                <w:szCs w:val="18"/>
              </w:rPr>
              <w:t xml:space="preserve">+ </w:t>
            </w:r>
            <w:r>
              <w:rPr>
                <w:rFonts w:ascii="Arial" w:cs="Arial" w:eastAsia="Arial" w:hAnsi="Arial"/>
                <w:b w:val="false"/>
                <w:bCs w:val="false"/>
                <w:i w:val="false"/>
                <w:iCs w:val="false"/>
                <w:color w:val="1A1A1A"/>
                <w:sz w:val="18"/>
                <w:szCs w:val="18"/>
              </w:rPr>
              <w:t xml:space="preserve">SOX/IPO readiness alignment with Abivax trajectory</w:t>
            </w:r>
          </w:p>
        </w:tc>
        <w:tc>
          <w:tcPr>
            <w:tcW w:type="dxa" w:w="3008"/>
            <w:tcBorders>
              <w:top w:val="single" w:color="C8CDD3" w:sz="1"/>
              <w:left w:val="single" w:color="C8CDD3" w:sz="1"/>
              <w:bottom w:val="single" w:color="C8CDD3" w:sz="1"/>
              <w:right w:val="single" w:color="C8CDD3" w:sz="1"/>
            </w:tcBorders>
            <w:shd w:fill="FFFFFF" w:val="clear"/>
            <w:tcMar>
              <w:top w:type="dxa" w:w="70"/>
              <w:left w:type="dxa" w:w="140"/>
              <w:bottom w:type="dxa" w:w="70"/>
              <w:right w:type="dxa" w:w="140"/>
            </w:tcMar>
          </w:tcPr>
          <w:p>
            <w:pPr>
              <w:spacing w:before="0" w:after="0" w:line="276"/>
              <w:jc w:val="left"/>
            </w:pPr>
            <w:r>
              <w:rPr>
                <w:rFonts w:ascii="Arial" w:cs="Arial" w:eastAsia="Arial" w:hAnsi="Arial"/>
                <w:b/>
                <w:bCs/>
                <w:i w:val="false"/>
                <w:iCs w:val="false"/>
                <w:color w:val="8B1A1A"/>
                <w:sz w:val="18"/>
                <w:szCs w:val="18"/>
              </w:rPr>
              <w:t xml:space="preserve">− </w:t>
            </w:r>
            <w:r>
              <w:rPr>
                <w:rFonts w:ascii="Arial" w:cs="Arial" w:eastAsia="Arial" w:hAnsi="Arial"/>
                <w:b w:val="false"/>
                <w:bCs w:val="false"/>
                <w:i w:val="false"/>
                <w:iCs w:val="false"/>
                <w:color w:val="1A1A1A"/>
                <w:sz w:val="18"/>
                <w:szCs w:val="18"/>
              </w:rPr>
              <w:t xml:space="preserve">No existing Abivax relationship — cold start</w:t>
            </w:r>
          </w:p>
        </w:tc>
        <w:tc>
          <w:tcPr>
            <w:tcW w:type="dxa" w:w="3010"/>
            <w:tcBorders>
              <w:top w:val="single" w:color="C8CDD3" w:sz="1"/>
              <w:left w:val="single" w:color="C8CDD3" w:sz="1"/>
              <w:bottom w:val="single" w:color="C8CDD3" w:sz="1"/>
              <w:right w:val="single" w:color="C8CDD3" w:sz="1"/>
            </w:tcBorders>
            <w:shd w:fill="FFFFFF" w:val="clear"/>
            <w:tcMar>
              <w:top w:type="dxa" w:w="70"/>
              <w:left w:type="dxa" w:w="140"/>
              <w:bottom w:type="dxa" w:w="70"/>
              <w:right w:type="dxa" w:w="140"/>
            </w:tcMar>
          </w:tcPr>
          <w:p>
            <w:pPr>
              <w:spacing w:before="0" w:after="0" w:line="276"/>
              <w:jc w:val="left"/>
            </w:pPr>
            <w:r>
              <w:rPr>
                <w:rFonts w:ascii="Arial" w:cs="Arial" w:eastAsia="Arial" w:hAnsi="Arial"/>
                <w:b/>
                <w:bCs/>
                <w:i w:val="false"/>
                <w:iCs w:val="false"/>
                <w:color w:val="BF6C00"/>
                <w:sz w:val="18"/>
                <w:szCs w:val="18"/>
              </w:rPr>
              <w:t xml:space="preserve">⚠ </w:t>
            </w:r>
            <w:r>
              <w:rPr>
                <w:rFonts w:ascii="Arial" w:cs="Arial" w:eastAsia="Arial" w:hAnsi="Arial"/>
                <w:b w:val="false"/>
                <w:bCs w:val="false"/>
                <w:i w:val="false"/>
                <w:iCs w:val="false"/>
                <w:color w:val="1A1A1A"/>
                <w:sz w:val="18"/>
                <w:szCs w:val="18"/>
              </w:rPr>
              <w:t xml:space="preserve">Weaker controls/audit integration vs. KPMG's existing work</w:t>
            </w:r>
          </w:p>
        </w:tc>
      </w:tr>
      <w:tr>
        <w:tc>
          <w:tcPr>
            <w:tcW w:type="dxa" w:w="3008"/>
            <w:tcBorders>
              <w:top w:val="single" w:color="C8CDD3" w:sz="1"/>
              <w:left w:val="single" w:color="C8CDD3" w:sz="1"/>
              <w:bottom w:val="single" w:color="C8CDD3" w:sz="1"/>
              <w:right w:val="single" w:color="C8CDD3" w:sz="1"/>
            </w:tcBorders>
            <w:shd w:fill="F5F6F8" w:val="clear"/>
            <w:tcMar>
              <w:top w:type="dxa" w:w="70"/>
              <w:left w:type="dxa" w:w="140"/>
              <w:bottom w:type="dxa" w:w="70"/>
              <w:right w:type="dxa" w:w="140"/>
            </w:tcMar>
          </w:tcPr>
          <w:p>
            <w:pPr>
              <w:spacing w:before="0" w:after="0" w:line="276"/>
              <w:jc w:val="left"/>
            </w:pPr>
            <w:r>
              <w:rPr>
                <w:rFonts w:ascii="Arial" w:cs="Arial" w:eastAsia="Arial" w:hAnsi="Arial"/>
                <w:b/>
                <w:bCs/>
                <w:i w:val="false"/>
                <w:iCs w:val="false"/>
                <w:color w:val="1A5C38"/>
                <w:sz w:val="18"/>
                <w:szCs w:val="18"/>
              </w:rPr>
              <w:t xml:space="preserve">+ </w:t>
            </w:r>
            <w:r>
              <w:rPr>
                <w:rFonts w:ascii="Arial" w:cs="Arial" w:eastAsia="Arial" w:hAnsi="Arial"/>
                <w:b w:val="false"/>
                <w:bCs w:val="false"/>
                <w:i w:val="false"/>
                <w:iCs w:val="false"/>
                <w:color w:val="1A1A1A"/>
                <w:sz w:val="18"/>
                <w:szCs w:val="18"/>
              </w:rPr>
              <w:t xml:space="preserve">Boutique rates: more days per euro</w:t>
            </w:r>
          </w:p>
        </w:tc>
        <w:tc>
          <w:tcPr>
            <w:tcW w:type="dxa" w:w="3008"/>
            <w:tcBorders>
              <w:top w:val="single" w:color="C8CDD3" w:sz="1"/>
              <w:left w:val="single" w:color="C8CDD3" w:sz="1"/>
              <w:bottom w:val="single" w:color="C8CDD3" w:sz="1"/>
              <w:right w:val="single" w:color="C8CDD3" w:sz="1"/>
            </w:tcBorders>
            <w:shd w:fill="F5F6F8" w:val="clear"/>
            <w:tcMar>
              <w:top w:type="dxa" w:w="70"/>
              <w:left w:type="dxa" w:w="140"/>
              <w:bottom w:type="dxa" w:w="70"/>
              <w:right w:type="dxa" w:w="140"/>
            </w:tcMar>
          </w:tcPr>
          <w:p>
            <w:pPr>
              <w:spacing w:before="0" w:after="0" w:line="276"/>
              <w:jc w:val="left"/>
            </w:pPr>
            <w:r>
              <w:rPr>
                <w:rFonts w:ascii="Arial" w:cs="Arial" w:eastAsia="Arial" w:hAnsi="Arial"/>
                <w:b/>
                <w:bCs/>
                <w:i w:val="false"/>
                <w:iCs w:val="false"/>
                <w:color w:val="8B1A1A"/>
                <w:sz w:val="18"/>
                <w:szCs w:val="18"/>
              </w:rPr>
              <w:t xml:space="preserve">− </w:t>
            </w:r>
            <w:r>
              <w:rPr>
                <w:rFonts w:ascii="Arial" w:cs="Arial" w:eastAsia="Arial" w:hAnsi="Arial"/>
                <w:b w:val="false"/>
                <w:bCs w:val="false"/>
                <w:i w:val="false"/>
                <w:iCs w:val="false"/>
                <w:color w:val="1A1A1A"/>
                <w:sz w:val="18"/>
                <w:szCs w:val="18"/>
              </w:rPr>
              <w:t xml:space="preserve">Board reporting would require context ramp-up</w:t>
            </w:r>
          </w:p>
        </w:tc>
        <w:tc>
          <w:tcPr>
            <w:tcW w:type="dxa" w:w="3010"/>
            <w:tcBorders>
              <w:top w:val="single" w:color="C8CDD3" w:sz="1"/>
              <w:left w:val="single" w:color="C8CDD3" w:sz="1"/>
              <w:bottom w:val="single" w:color="C8CDD3" w:sz="1"/>
              <w:right w:val="single" w:color="C8CDD3" w:sz="1"/>
            </w:tcBorders>
            <w:shd w:fill="F5F6F8" w:val="clear"/>
            <w:tcMar>
              <w:top w:type="dxa" w:w="70"/>
              <w:left w:type="dxa" w:w="140"/>
              <w:bottom w:type="dxa" w:w="70"/>
              <w:right w:type="dxa" w:w="140"/>
            </w:tcMar>
          </w:tcPr>
          <w:p>
            <w:pPr>
              <w:spacing w:before="0" w:after="0" w:line="276"/>
              <w:jc w:val="left"/>
            </w:pPr>
            <w:r>
              <w:rPr>
                <w:rFonts w:ascii="Arial" w:cs="Arial" w:eastAsia="Arial" w:hAnsi="Arial"/>
                <w:b/>
                <w:bCs/>
                <w:i w:val="false"/>
                <w:iCs w:val="false"/>
                <w:color w:val="BF6C00"/>
                <w:sz w:val="18"/>
                <w:szCs w:val="18"/>
              </w:rPr>
              <w:t xml:space="preserve">⚠ </w:t>
            </w:r>
            <w:r>
              <w:rPr>
                <w:rFonts w:ascii="Arial" w:cs="Arial" w:eastAsia="Arial" w:hAnsi="Arial"/>
                <w:b w:val="false"/>
                <w:bCs w:val="false"/>
                <w:i w:val="false"/>
                <w:iCs w:val="false"/>
                <w:color w:val="1A1A1A"/>
                <w:sz w:val="18"/>
                <w:szCs w:val="18"/>
              </w:rPr>
              <w:t xml:space="preserve">No tested methodology for European mid-market pharma oversight</w:t>
            </w:r>
          </w:p>
        </w:tc>
      </w:tr>
      <w:tr>
        <w:tc>
          <w:tcPr>
            <w:tcW w:type="dxa" w:w="3008"/>
            <w:tcBorders>
              <w:top w:val="single" w:color="C8CDD3" w:sz="1"/>
              <w:left w:val="single" w:color="C8CDD3" w:sz="1"/>
              <w:bottom w:val="single" w:color="C8CDD3" w:sz="1"/>
              <w:right w:val="single" w:color="C8CDD3" w:sz="1"/>
            </w:tcBorders>
            <w:shd w:fill="FFFFFF" w:val="clear"/>
            <w:tcMar>
              <w:top w:type="dxa" w:w="70"/>
              <w:left w:type="dxa" w:w="140"/>
              <w:bottom w:type="dxa" w:w="70"/>
              <w:right w:type="dxa" w:w="140"/>
            </w:tcMar>
          </w:tcPr>
          <w:p>
            <w:pPr>
              <w:spacing w:before="0" w:after="0" w:line="276"/>
              <w:jc w:val="left"/>
            </w:pPr>
            <w:r>
              <w:rPr>
                <w:rFonts w:ascii="Arial" w:cs="Arial" w:eastAsia="Arial" w:hAnsi="Arial"/>
                <w:b/>
                <w:bCs/>
                <w:i w:val="false"/>
                <w:iCs w:val="false"/>
                <w:color w:val="1A5C38"/>
                <w:sz w:val="18"/>
                <w:szCs w:val="18"/>
              </w:rPr>
              <w:t xml:space="preserve">+ </w:t>
            </w:r>
            <w:r>
              <w:rPr>
                <w:rFonts w:ascii="Arial" w:cs="Arial" w:eastAsia="Arial" w:hAnsi="Arial"/>
                <w:b w:val="false"/>
                <w:bCs w:val="false"/>
                <w:i w:val="false"/>
                <w:iCs w:val="false"/>
                <w:color w:val="1A1A1A"/>
                <w:sz w:val="18"/>
                <w:szCs w:val="18"/>
              </w:rPr>
              <w:t xml:space="preserve">Fully independent of KPMG audit relationship</w:t>
            </w:r>
          </w:p>
        </w:tc>
        <w:tc>
          <w:tcPr>
            <w:tcW w:type="dxa" w:w="3008"/>
            <w:tcBorders>
              <w:top w:val="single" w:color="C8CDD3" w:sz="1"/>
              <w:left w:val="single" w:color="C8CDD3" w:sz="1"/>
              <w:bottom w:val="single" w:color="C8CDD3" w:sz="1"/>
              <w:right w:val="single" w:color="C8CDD3" w:sz="1"/>
            </w:tcBorders>
            <w:shd w:fill="FFFFFF" w:val="clear"/>
            <w:tcMar>
              <w:top w:type="dxa" w:w="70"/>
              <w:left w:type="dxa" w:w="140"/>
              <w:bottom w:type="dxa" w:w="70"/>
              <w:right w:type="dxa" w:w="140"/>
            </w:tcMar>
          </w:tcPr>
          <w:p>
            <w:pPr>
              <w:spacing w:before="0" w:after="0" w:line="276"/>
              <w:jc w:val="left"/>
            </w:pPr>
            <w:r>
              <w:rPr>
                <w:rFonts w:ascii="Arial" w:cs="Arial" w:eastAsia="Arial" w:hAnsi="Arial"/>
                <w:b/>
                <w:bCs/>
                <w:i w:val="false"/>
                <w:iCs w:val="false"/>
                <w:color w:val="8B1A1A"/>
                <w:sz w:val="18"/>
                <w:szCs w:val="18"/>
              </w:rPr>
              <w:t xml:space="preserve">− </w:t>
            </w:r>
            <w:r>
              <w:rPr>
                <w:rFonts w:ascii="Arial" w:cs="Arial" w:eastAsia="Arial" w:hAnsi="Arial"/>
                <w:b w:val="false"/>
                <w:bCs w:val="false"/>
                <w:i w:val="false"/>
                <w:iCs w:val="false"/>
                <w:color w:val="1A1A1A"/>
                <w:sz w:val="18"/>
                <w:szCs w:val="18"/>
              </w:rPr>
              <w:t xml:space="preserve">Smaller firm: capacity risk if engagement scales</w:t>
            </w:r>
          </w:p>
        </w:tc>
        <w:tc>
          <w:tcPr>
            <w:tcW w:type="dxa" w:w="3010"/>
            <w:tcBorders>
              <w:top w:val="single" w:color="C8CDD3" w:sz="1"/>
              <w:left w:val="single" w:color="C8CDD3" w:sz="1"/>
              <w:bottom w:val="single" w:color="C8CDD3" w:sz="1"/>
              <w:right w:val="single" w:color="C8CDD3" w:sz="1"/>
            </w:tcBorders>
            <w:shd w:fill="FFFFFF" w:val="clear"/>
            <w:tcMar>
              <w:top w:type="dxa" w:w="70"/>
              <w:left w:type="dxa" w:w="140"/>
              <w:bottom w:type="dxa" w:w="70"/>
              <w:right w:type="dxa" w:w="140"/>
            </w:tcMar>
          </w:tcPr>
          <w:p>
            <w:pPr>
              <w:spacing w:before="0" w:after="0" w:line="276"/>
              <w:jc w:val="left"/>
            </w:pPr>
            <w:r>
              <w:rPr>
                <w:rFonts w:ascii="Arial" w:cs="Arial" w:eastAsia="Arial" w:hAnsi="Arial"/>
                <w:b w:val="false"/>
                <w:bCs w:val="false"/>
                <w:i w:val="false"/>
                <w:iCs w:val="false"/>
                <w:color w:val="1A1A1A"/>
                <w:sz w:val="20"/>
                <w:szCs w:val="20"/>
              </w:rPr>
              <w:t xml:space="preserve"/>
            </w:r>
          </w:p>
        </w:tc>
      </w:tr>
      <w:tr>
        <w:tc>
          <w:tcPr>
            <w:tcW w:type="dxa" w:w="3008"/>
            <w:tcBorders>
              <w:top w:val="single" w:color="C8CDD3" w:sz="1"/>
              <w:left w:val="single" w:color="C8CDD3" w:sz="1"/>
              <w:bottom w:val="single" w:color="C8CDD3" w:sz="1"/>
              <w:right w:val="single" w:color="C8CDD3" w:sz="1"/>
            </w:tcBorders>
            <w:shd w:fill="F5F6F8" w:val="clear"/>
            <w:tcMar>
              <w:top w:type="dxa" w:w="70"/>
              <w:left w:type="dxa" w:w="140"/>
              <w:bottom w:type="dxa" w:w="70"/>
              <w:right w:type="dxa" w:w="140"/>
            </w:tcMar>
          </w:tcPr>
          <w:p>
            <w:pPr>
              <w:spacing w:before="0" w:after="0" w:line="276"/>
              <w:jc w:val="left"/>
            </w:pPr>
            <w:r>
              <w:rPr>
                <w:rFonts w:ascii="Arial" w:cs="Arial" w:eastAsia="Arial" w:hAnsi="Arial"/>
                <w:b/>
                <w:bCs/>
                <w:i w:val="false"/>
                <w:iCs w:val="false"/>
                <w:color w:val="1A5C38"/>
                <w:sz w:val="18"/>
                <w:szCs w:val="18"/>
              </w:rPr>
              <w:t xml:space="preserve">+ </w:t>
            </w:r>
            <w:r>
              <w:rPr>
                <w:rFonts w:ascii="Arial" w:cs="Arial" w:eastAsia="Arial" w:hAnsi="Arial"/>
                <w:b w:val="false"/>
                <w:bCs w:val="false"/>
                <w:i w:val="false"/>
                <w:iCs w:val="false"/>
                <w:color w:val="1A1A1A"/>
                <w:sz w:val="18"/>
                <w:szCs w:val="18"/>
              </w:rPr>
              <w:t xml:space="preserve">Senior ex-Big 4 professionals in peer network</w:t>
            </w:r>
          </w:p>
        </w:tc>
        <w:tc>
          <w:tcPr>
            <w:tcW w:type="dxa" w:w="3008"/>
            <w:tcBorders>
              <w:top w:val="single" w:color="C8CDD3" w:sz="1"/>
              <w:left w:val="single" w:color="C8CDD3" w:sz="1"/>
              <w:bottom w:val="single" w:color="C8CDD3" w:sz="1"/>
              <w:right w:val="single" w:color="C8CDD3" w:sz="1"/>
            </w:tcBorders>
            <w:shd w:fill="F5F6F8" w:val="clear"/>
            <w:tcMar>
              <w:top w:type="dxa" w:w="70"/>
              <w:left w:type="dxa" w:w="140"/>
              <w:bottom w:type="dxa" w:w="70"/>
              <w:right w:type="dxa" w:w="140"/>
            </w:tcMar>
          </w:tcPr>
          <w:p>
            <w:pPr>
              <w:spacing w:before="0" w:after="0" w:line="276"/>
              <w:jc w:val="left"/>
            </w:pPr>
            <w:r>
              <w:rPr>
                <w:rFonts w:ascii="Arial" w:cs="Arial" w:eastAsia="Arial" w:hAnsi="Arial"/>
                <w:b/>
                <w:bCs/>
                <w:i w:val="false"/>
                <w:iCs w:val="false"/>
                <w:color w:val="8B1A1A"/>
                <w:sz w:val="18"/>
                <w:szCs w:val="18"/>
              </w:rPr>
              <w:t xml:space="preserve">− </w:t>
            </w:r>
            <w:r>
              <w:rPr>
                <w:rFonts w:ascii="Arial" w:cs="Arial" w:eastAsia="Arial" w:hAnsi="Arial"/>
                <w:b w:val="false"/>
                <w:bCs w:val="false"/>
                <w:i w:val="false"/>
                <w:iCs w:val="false"/>
                <w:color w:val="1A1A1A"/>
                <w:sz w:val="18"/>
                <w:szCs w:val="18"/>
              </w:rPr>
              <w:t xml:space="preserve">French regulatory nuance may be underestimated</w:t>
            </w:r>
          </w:p>
        </w:tc>
        <w:tc>
          <w:tcPr>
            <w:tcW w:type="dxa" w:w="3010"/>
            <w:tcBorders>
              <w:top w:val="single" w:color="C8CDD3" w:sz="1"/>
              <w:left w:val="single" w:color="C8CDD3" w:sz="1"/>
              <w:bottom w:val="single" w:color="C8CDD3" w:sz="1"/>
              <w:right w:val="single" w:color="C8CDD3" w:sz="1"/>
            </w:tcBorders>
            <w:shd w:fill="F5F6F8" w:val="clear"/>
            <w:tcMar>
              <w:top w:type="dxa" w:w="70"/>
              <w:left w:type="dxa" w:w="140"/>
              <w:bottom w:type="dxa" w:w="70"/>
              <w:right w:type="dxa" w:w="140"/>
            </w:tcMar>
          </w:tcPr>
          <w:p>
            <w:pPr>
              <w:spacing w:before="0" w:after="0" w:line="276"/>
              <w:jc w:val="left"/>
            </w:pPr>
            <w:r>
              <w:rPr>
                <w:rFonts w:ascii="Arial" w:cs="Arial" w:eastAsia="Arial" w:hAnsi="Arial"/>
                <w:b w:val="false"/>
                <w:bCs w:val="false"/>
                <w:i w:val="false"/>
                <w:iCs w:val="false"/>
                <w:color w:val="1A1A1A"/>
                <w:sz w:val="20"/>
                <w:szCs w:val="20"/>
              </w:rPr>
              <w:t xml:space="preserve"/>
            </w:r>
          </w:p>
        </w:tc>
      </w:tr>
    </w:tbl>
    <w:p>
      <w:pPr>
        <w:spacing w:before="0" w:after="240"/>
      </w:pPr>
      <w:r>
        <w:rPr>
          <w:rFonts w:ascii="Arial" w:cs="Arial" w:eastAsia="Arial" w:hAnsi="Arial"/>
          <w:b w:val="false"/>
          <w:bCs w:val="false"/>
          <w:i w:val="false"/>
          <w:iCs w:val="false"/>
          <w:color w:val="1A1A1A"/>
          <w:sz w:val="20"/>
          <w:szCs w:val="20"/>
        </w:rPr>
        <w:t xml:space="preserve"/>
      </w:r>
    </w:p>
    <w:p>
      <w:pPr>
        <w:pStyle w:val="Heading1"/>
      </w:pPr>
      <w:r>
        <w:rPr>
          <w:rFonts w:ascii="Arial" w:cs="Arial" w:eastAsia="Arial" w:hAnsi="Arial"/>
          <w:b/>
          <w:bCs/>
          <w:color w:val="1F3864"/>
          <w:sz w:val="28"/>
          <w:szCs w:val="28"/>
        </w:rPr>
        <w:t xml:space="preserve">KPMG — Detail</w:t>
      </w:r>
    </w:p>
    <w:p>
      <w:pPr>
        <w:spacing w:before="0" w:after="120" w:line="276"/>
        <w:jc w:val="left"/>
      </w:pPr>
      <w:r>
        <w:rPr>
          <w:rFonts w:ascii="Arial" w:cs="Arial" w:eastAsia="Arial" w:hAnsi="Arial"/>
          <w:b w:val="false"/>
          <w:bCs w:val="false"/>
          <w:i w:val="false"/>
          <w:iCs w:val="false"/>
          <w:color w:val="1A1A1A"/>
          <w:sz w:val="19"/>
          <w:szCs w:val="19"/>
        </w:rPr>
        <w:t xml:space="preserve">KPMG is a Big 4 firm with a large France practice. They are already engaged on Abivax's ERP controls program (commercials: €650K Year 1, €1.02M over three years), and have institutional knowledge of the Audit Committee structure, Adrian Holbrook's controls workstream, and the governance framework. </w:t>
      </w:r>
      <w:r>
        <w:rPr>
          <w:rFonts w:ascii="Arial" w:cs="Arial" w:eastAsia="Arial" w:hAnsi="Arial"/>
          <w:b w:val="false"/>
          <w:bCs w:val="false"/>
          <w:i w:val="false"/>
          <w:iCs w:val="false"/>
          <w:color w:val="1A1A1A"/>
          <w:sz w:val="19"/>
          <w:szCs w:val="19"/>
        </w:rPr>
        <w:t xml:space="preserve">KPMG has an established ERP program assurance methodology that positions them as independent oversight (separate from the SI), which is the correct structural model.</w:t>
      </w:r>
    </w:p>
    <w:p>
      <w:pPr>
        <w:spacing w:before="0" w:after="160" w:line="276"/>
        <w:jc w:val="left"/>
      </w:pPr>
      <w:r>
        <w:rPr>
          <w:rFonts w:ascii="Arial" w:cs="Arial" w:eastAsia="Arial" w:hAnsi="Arial"/>
          <w:b w:val="false"/>
          <w:bCs w:val="false"/>
          <w:i w:val="false"/>
          <w:iCs w:val="false"/>
          <w:color w:val="1A1A1A"/>
          <w:sz w:val="19"/>
          <w:szCs w:val="19"/>
        </w:rPr>
        <w:t xml:space="preserve">The NetSuite gap is structural, not cosmetic. KPMG Israel holds a NetSuite partnership; KPMG France does not. The French market broadly lacks NetSuite-trained professionals, which somewhat neutralizes this as a differentiator — but it means KPMG would depend on process-level QA rather than configuration-level challenge of the SI.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C8CDD3" w:sz="1"/>
              <w:left w:val="single" w:color="C8CDD3" w:sz="1"/>
              <w:bottom w:val="single" w:color="C8CDD3" w:sz="1"/>
              <w:right w:val="single" w:color="C8CDD3" w:sz="1"/>
            </w:tcBorders>
            <w:shd w:fill="3D3D3D" w:val="clear"/>
            <w:tcMar>
              <w:top w:type="dxa" w:w="110"/>
              <w:left w:type="dxa" w:w="140"/>
              <w:bottom w:type="dxa" w:w="110"/>
              <w:right w:type="dxa" w:w="140"/>
            </w:tcMar>
          </w:tcPr>
          <w:p>
            <w:pPr>
              <w:spacing w:before="0" w:after="0" w:line="276"/>
              <w:jc w:val="left"/>
            </w:pPr>
            <w:r>
              <w:rPr>
                <w:rFonts w:ascii="Arial" w:cs="Arial" w:eastAsia="Arial" w:hAnsi="Arial"/>
                <w:b/>
                <w:bCs/>
                <w:color w:val="FFFFFF"/>
                <w:sz w:val="19"/>
                <w:szCs w:val="19"/>
              </w:rPr>
              <w:t xml:space="preserve">Strengths</w:t>
            </w:r>
          </w:p>
        </w:tc>
        <w:tc>
          <w:tcPr>
            <w:tcW w:type="dxa" w:w="3008"/>
            <w:tcBorders>
              <w:top w:val="single" w:color="C8CDD3" w:sz="1"/>
              <w:left w:val="single" w:color="C8CDD3" w:sz="1"/>
              <w:bottom w:val="single" w:color="C8CDD3" w:sz="1"/>
              <w:right w:val="single" w:color="C8CDD3" w:sz="1"/>
            </w:tcBorders>
            <w:shd w:fill="3D3D3D" w:val="clear"/>
            <w:tcMar>
              <w:top w:type="dxa" w:w="110"/>
              <w:left w:type="dxa" w:w="140"/>
              <w:bottom w:type="dxa" w:w="110"/>
              <w:right w:type="dxa" w:w="140"/>
            </w:tcMar>
          </w:tcPr>
          <w:p>
            <w:pPr>
              <w:spacing w:before="0" w:after="0" w:line="276"/>
              <w:jc w:val="left"/>
            </w:pPr>
            <w:r>
              <w:rPr>
                <w:rFonts w:ascii="Arial" w:cs="Arial" w:eastAsia="Arial" w:hAnsi="Arial"/>
                <w:b/>
                <w:bCs/>
                <w:color w:val="FFFFFF"/>
                <w:sz w:val="19"/>
                <w:szCs w:val="19"/>
              </w:rPr>
              <w:t xml:space="preserve">Weaknesses</w:t>
            </w:r>
          </w:p>
        </w:tc>
        <w:tc>
          <w:tcPr>
            <w:tcW w:type="dxa" w:w="3010"/>
            <w:tcBorders>
              <w:top w:val="single" w:color="C8CDD3" w:sz="1"/>
              <w:left w:val="single" w:color="C8CDD3" w:sz="1"/>
              <w:bottom w:val="single" w:color="C8CDD3" w:sz="1"/>
              <w:right w:val="single" w:color="C8CDD3" w:sz="1"/>
            </w:tcBorders>
            <w:shd w:fill="3D3D3D" w:val="clear"/>
            <w:tcMar>
              <w:top w:type="dxa" w:w="110"/>
              <w:left w:type="dxa" w:w="140"/>
              <w:bottom w:type="dxa" w:w="110"/>
              <w:right w:type="dxa" w:w="140"/>
            </w:tcMar>
          </w:tcPr>
          <w:p>
            <w:pPr>
              <w:spacing w:before="0" w:after="0" w:line="276"/>
              <w:jc w:val="left"/>
            </w:pPr>
            <w:r>
              <w:rPr>
                <w:rFonts w:ascii="Arial" w:cs="Arial" w:eastAsia="Arial" w:hAnsi="Arial"/>
                <w:b/>
                <w:bCs/>
                <w:color w:val="FFFFFF"/>
                <w:sz w:val="19"/>
                <w:szCs w:val="19"/>
              </w:rPr>
              <w:t xml:space="preserve">Key Risks</w:t>
            </w:r>
          </w:p>
        </w:tc>
      </w:tr>
      <w:tr>
        <w:tc>
          <w:tcPr>
            <w:tcW w:type="dxa" w:w="3008"/>
            <w:tcBorders>
              <w:top w:val="single" w:color="C8CDD3" w:sz="1"/>
              <w:left w:val="single" w:color="C8CDD3" w:sz="1"/>
              <w:bottom w:val="single" w:color="C8CDD3" w:sz="1"/>
              <w:right w:val="single" w:color="C8CDD3" w:sz="1"/>
            </w:tcBorders>
            <w:shd w:fill="FFFFFF" w:val="clear"/>
            <w:tcMar>
              <w:top w:type="dxa" w:w="70"/>
              <w:left w:type="dxa" w:w="140"/>
              <w:bottom w:type="dxa" w:w="70"/>
              <w:right w:type="dxa" w:w="140"/>
            </w:tcMar>
          </w:tcPr>
          <w:p>
            <w:pPr>
              <w:spacing w:before="0" w:after="0" w:line="276"/>
              <w:jc w:val="left"/>
            </w:pPr>
            <w:r>
              <w:rPr>
                <w:rFonts w:ascii="Arial" w:cs="Arial" w:eastAsia="Arial" w:hAnsi="Arial"/>
                <w:b/>
                <w:bCs/>
                <w:i w:val="false"/>
                <w:iCs w:val="false"/>
                <w:color w:val="1A5C38"/>
                <w:sz w:val="18"/>
                <w:szCs w:val="18"/>
              </w:rPr>
              <w:t xml:space="preserve">+ </w:t>
            </w:r>
            <w:r>
              <w:rPr>
                <w:rFonts w:ascii="Arial" w:cs="Arial" w:eastAsia="Arial" w:hAnsi="Arial"/>
                <w:b w:val="false"/>
                <w:bCs w:val="false"/>
                <w:i w:val="false"/>
                <w:iCs w:val="false"/>
                <w:color w:val="1A1A1A"/>
                <w:sz w:val="18"/>
                <w:szCs w:val="18"/>
              </w:rPr>
              <w:t xml:space="preserve">Strong France presence: local team, language, time zone</w:t>
            </w:r>
          </w:p>
        </w:tc>
        <w:tc>
          <w:tcPr>
            <w:tcW w:type="dxa" w:w="3008"/>
            <w:tcBorders>
              <w:top w:val="single" w:color="C8CDD3" w:sz="1"/>
              <w:left w:val="single" w:color="C8CDD3" w:sz="1"/>
              <w:bottom w:val="single" w:color="C8CDD3" w:sz="1"/>
              <w:right w:val="single" w:color="C8CDD3" w:sz="1"/>
            </w:tcBorders>
            <w:shd w:fill="FFFFFF" w:val="clear"/>
            <w:tcMar>
              <w:top w:type="dxa" w:w="70"/>
              <w:left w:type="dxa" w:w="140"/>
              <w:bottom w:type="dxa" w:w="70"/>
              <w:right w:type="dxa" w:w="140"/>
            </w:tcMar>
          </w:tcPr>
          <w:p>
            <w:pPr>
              <w:spacing w:before="0" w:after="0" w:line="276"/>
              <w:jc w:val="left"/>
            </w:pPr>
            <w:r>
              <w:rPr>
                <w:rFonts w:ascii="Arial" w:cs="Arial" w:eastAsia="Arial" w:hAnsi="Arial"/>
                <w:b/>
                <w:bCs/>
                <w:i w:val="false"/>
                <w:iCs w:val="false"/>
                <w:color w:val="8B1A1A"/>
                <w:sz w:val="18"/>
                <w:szCs w:val="18"/>
              </w:rPr>
              <w:t xml:space="preserve">− </w:t>
            </w:r>
            <w:r>
              <w:rPr>
                <w:rFonts w:ascii="Arial" w:cs="Arial" w:eastAsia="Arial" w:hAnsi="Arial"/>
                <w:b w:val="false"/>
                <w:bCs w:val="false"/>
                <w:i w:val="false"/>
                <w:iCs w:val="false"/>
                <w:color w:val="1A1A1A"/>
                <w:sz w:val="18"/>
                <w:szCs w:val="18"/>
              </w:rPr>
              <w:t xml:space="preserve">No NetSuite expertise in France (KPMG France confirmed)</w:t>
            </w:r>
          </w:p>
        </w:tc>
        <w:tc>
          <w:tcPr>
            <w:tcW w:type="dxa" w:w="3010"/>
            <w:tcBorders>
              <w:top w:val="single" w:color="C8CDD3" w:sz="1"/>
              <w:left w:val="single" w:color="C8CDD3" w:sz="1"/>
              <w:bottom w:val="single" w:color="C8CDD3" w:sz="1"/>
              <w:right w:val="single" w:color="C8CDD3" w:sz="1"/>
            </w:tcBorders>
            <w:shd w:fill="FFFFFF" w:val="clear"/>
            <w:tcMar>
              <w:top w:type="dxa" w:w="70"/>
              <w:left w:type="dxa" w:w="140"/>
              <w:bottom w:type="dxa" w:w="70"/>
              <w:right w:type="dxa" w:w="140"/>
            </w:tcMar>
          </w:tcPr>
          <w:p>
            <w:pPr>
              <w:spacing w:before="0" w:after="0" w:line="276"/>
              <w:jc w:val="left"/>
            </w:pPr>
            <w:r>
              <w:rPr>
                <w:rFonts w:ascii="Arial" w:cs="Arial" w:eastAsia="Arial" w:hAnsi="Arial"/>
                <w:b/>
                <w:bCs/>
                <w:i w:val="false"/>
                <w:iCs w:val="false"/>
                <w:color w:val="BF6C00"/>
                <w:sz w:val="18"/>
                <w:szCs w:val="18"/>
              </w:rPr>
              <w:t xml:space="preserve">⚠ </w:t>
            </w:r>
            <w:r>
              <w:rPr>
                <w:rFonts w:ascii="Arial" w:cs="Arial" w:eastAsia="Arial" w:hAnsi="Arial"/>
                <w:b w:val="false"/>
                <w:bCs w:val="false"/>
                <w:i w:val="false"/>
                <w:iCs w:val="false"/>
                <w:color w:val="1A1A1A"/>
                <w:sz w:val="18"/>
                <w:szCs w:val="18"/>
              </w:rPr>
              <w:t xml:space="preserve">NetSuite blind spot: SI team unchallenged on technical decisions</w:t>
            </w:r>
          </w:p>
        </w:tc>
      </w:tr>
      <w:tr>
        <w:tc>
          <w:tcPr>
            <w:tcW w:type="dxa" w:w="3008"/>
            <w:tcBorders>
              <w:top w:val="single" w:color="C8CDD3" w:sz="1"/>
              <w:left w:val="single" w:color="C8CDD3" w:sz="1"/>
              <w:bottom w:val="single" w:color="C8CDD3" w:sz="1"/>
              <w:right w:val="single" w:color="C8CDD3" w:sz="1"/>
            </w:tcBorders>
            <w:shd w:fill="F5F6F8" w:val="clear"/>
            <w:tcMar>
              <w:top w:type="dxa" w:w="70"/>
              <w:left w:type="dxa" w:w="140"/>
              <w:bottom w:type="dxa" w:w="70"/>
              <w:right w:type="dxa" w:w="140"/>
            </w:tcMar>
          </w:tcPr>
          <w:p>
            <w:pPr>
              <w:spacing w:before="0" w:after="0" w:line="276"/>
              <w:jc w:val="left"/>
            </w:pPr>
            <w:r>
              <w:rPr>
                <w:rFonts w:ascii="Arial" w:cs="Arial" w:eastAsia="Arial" w:hAnsi="Arial"/>
                <w:b/>
                <w:bCs/>
                <w:i w:val="false"/>
                <w:iCs w:val="false"/>
                <w:color w:val="1A5C38"/>
                <w:sz w:val="18"/>
                <w:szCs w:val="18"/>
              </w:rPr>
              <w:t xml:space="preserve">+ </w:t>
            </w:r>
            <w:r>
              <w:rPr>
                <w:rFonts w:ascii="Arial" w:cs="Arial" w:eastAsia="Arial" w:hAnsi="Arial"/>
                <w:b w:val="false"/>
                <w:bCs w:val="false"/>
                <w:i w:val="false"/>
                <w:iCs w:val="false"/>
                <w:color w:val="1A1A1A"/>
                <w:sz w:val="18"/>
                <w:szCs w:val="18"/>
              </w:rPr>
              <w:t xml:space="preserve">Existing Abivax relationship — no context ramp-up</w:t>
            </w:r>
          </w:p>
        </w:tc>
        <w:tc>
          <w:tcPr>
            <w:tcW w:type="dxa" w:w="3008"/>
            <w:tcBorders>
              <w:top w:val="single" w:color="C8CDD3" w:sz="1"/>
              <w:left w:val="single" w:color="C8CDD3" w:sz="1"/>
              <w:bottom w:val="single" w:color="C8CDD3" w:sz="1"/>
              <w:right w:val="single" w:color="C8CDD3" w:sz="1"/>
            </w:tcBorders>
            <w:shd w:fill="F5F6F8" w:val="clear"/>
            <w:tcMar>
              <w:top w:type="dxa" w:w="70"/>
              <w:left w:type="dxa" w:w="140"/>
              <w:bottom w:type="dxa" w:w="70"/>
              <w:right w:type="dxa" w:w="140"/>
            </w:tcMar>
          </w:tcPr>
          <w:p>
            <w:pPr>
              <w:spacing w:before="0" w:after="0" w:line="276"/>
              <w:jc w:val="left"/>
            </w:pPr>
            <w:r>
              <w:rPr>
                <w:rFonts w:ascii="Arial" w:cs="Arial" w:eastAsia="Arial" w:hAnsi="Arial"/>
                <w:b/>
                <w:bCs/>
                <w:i w:val="false"/>
                <w:iCs w:val="false"/>
                <w:color w:val="8B1A1A"/>
                <w:sz w:val="18"/>
                <w:szCs w:val="18"/>
              </w:rPr>
              <w:t xml:space="preserve">− </w:t>
            </w:r>
            <w:r>
              <w:rPr>
                <w:rFonts w:ascii="Arial" w:cs="Arial" w:eastAsia="Arial" w:hAnsi="Arial"/>
                <w:b w:val="false"/>
                <w:bCs w:val="false"/>
                <w:i w:val="false"/>
                <w:iCs w:val="false"/>
                <w:color w:val="1A1A1A"/>
                <w:sz w:val="18"/>
                <w:szCs w:val="18"/>
              </w:rPr>
              <w:t xml:space="preserve">Technical QA will be process-level, not configuration-level</w:t>
            </w:r>
          </w:p>
        </w:tc>
        <w:tc>
          <w:tcPr>
            <w:tcW w:type="dxa" w:w="3010"/>
            <w:tcBorders>
              <w:top w:val="single" w:color="C8CDD3" w:sz="1"/>
              <w:left w:val="single" w:color="C8CDD3" w:sz="1"/>
              <w:bottom w:val="single" w:color="C8CDD3" w:sz="1"/>
              <w:right w:val="single" w:color="C8CDD3" w:sz="1"/>
            </w:tcBorders>
            <w:shd w:fill="F5F6F8" w:val="clear"/>
            <w:tcMar>
              <w:top w:type="dxa" w:w="70"/>
              <w:left w:type="dxa" w:w="140"/>
              <w:bottom w:type="dxa" w:w="70"/>
              <w:right w:type="dxa" w:w="140"/>
            </w:tcMar>
          </w:tcPr>
          <w:p>
            <w:pPr>
              <w:spacing w:before="0" w:after="0" w:line="276"/>
              <w:jc w:val="left"/>
            </w:pPr>
            <w:r>
              <w:rPr>
                <w:rFonts w:ascii="Arial" w:cs="Arial" w:eastAsia="Arial" w:hAnsi="Arial"/>
                <w:b/>
                <w:bCs/>
                <w:i w:val="false"/>
                <w:iCs w:val="false"/>
                <w:color w:val="BF6C00"/>
                <w:sz w:val="18"/>
                <w:szCs w:val="18"/>
              </w:rPr>
              <w:t xml:space="preserve">⚠ </w:t>
            </w:r>
            <w:r>
              <w:rPr>
                <w:rFonts w:ascii="Arial" w:cs="Arial" w:eastAsia="Arial" w:hAnsi="Arial"/>
                <w:b w:val="false"/>
                <w:bCs w:val="false"/>
                <w:i w:val="false"/>
                <w:iCs w:val="false"/>
                <w:color w:val="1A1A1A"/>
                <w:sz w:val="18"/>
                <w:szCs w:val="18"/>
              </w:rPr>
              <w:t xml:space="preserve">Bait-and-switch: experienced France partner, junior delivery team</w:t>
            </w:r>
          </w:p>
        </w:tc>
      </w:tr>
      <w:tr>
        <w:tc>
          <w:tcPr>
            <w:tcW w:type="dxa" w:w="3008"/>
            <w:tcBorders>
              <w:top w:val="single" w:color="C8CDD3" w:sz="1"/>
              <w:left w:val="single" w:color="C8CDD3" w:sz="1"/>
              <w:bottom w:val="single" w:color="C8CDD3" w:sz="1"/>
              <w:right w:val="single" w:color="C8CDD3" w:sz="1"/>
            </w:tcBorders>
            <w:shd w:fill="FFFFFF" w:val="clear"/>
            <w:tcMar>
              <w:top w:type="dxa" w:w="70"/>
              <w:left w:type="dxa" w:w="140"/>
              <w:bottom w:type="dxa" w:w="70"/>
              <w:right w:type="dxa" w:w="140"/>
            </w:tcMar>
          </w:tcPr>
          <w:p>
            <w:pPr>
              <w:spacing w:before="0" w:after="0" w:line="276"/>
              <w:jc w:val="left"/>
            </w:pPr>
            <w:r>
              <w:rPr>
                <w:rFonts w:ascii="Arial" w:cs="Arial" w:eastAsia="Arial" w:hAnsi="Arial"/>
                <w:b/>
                <w:bCs/>
                <w:i w:val="false"/>
                <w:iCs w:val="false"/>
                <w:color w:val="1A5C38"/>
                <w:sz w:val="18"/>
                <w:szCs w:val="18"/>
              </w:rPr>
              <w:t xml:space="preserve">+ </w:t>
            </w:r>
            <w:r>
              <w:rPr>
                <w:rFonts w:ascii="Arial" w:cs="Arial" w:eastAsia="Arial" w:hAnsi="Arial"/>
                <w:b w:val="false"/>
                <w:bCs w:val="false"/>
                <w:i w:val="false"/>
                <w:iCs w:val="false"/>
                <w:color w:val="1A1A1A"/>
                <w:sz w:val="18"/>
                <w:szCs w:val="18"/>
              </w:rPr>
              <w:t xml:space="preserve">Knows Audit Committee format, controls framework, key people</w:t>
            </w:r>
          </w:p>
        </w:tc>
        <w:tc>
          <w:tcPr>
            <w:tcW w:type="dxa" w:w="3008"/>
            <w:tcBorders>
              <w:top w:val="single" w:color="C8CDD3" w:sz="1"/>
              <w:left w:val="single" w:color="C8CDD3" w:sz="1"/>
              <w:bottom w:val="single" w:color="C8CDD3" w:sz="1"/>
              <w:right w:val="single" w:color="C8CDD3" w:sz="1"/>
            </w:tcBorders>
            <w:shd w:fill="FFFFFF" w:val="clear"/>
            <w:tcMar>
              <w:top w:type="dxa" w:w="70"/>
              <w:left w:type="dxa" w:w="140"/>
              <w:bottom w:type="dxa" w:w="70"/>
              <w:right w:type="dxa" w:w="140"/>
            </w:tcMar>
          </w:tcPr>
          <w:p>
            <w:pPr>
              <w:spacing w:before="0" w:after="0" w:line="276"/>
              <w:jc w:val="left"/>
            </w:pPr>
            <w:r>
              <w:rPr>
                <w:rFonts w:ascii="Arial" w:cs="Arial" w:eastAsia="Arial" w:hAnsi="Arial"/>
                <w:b/>
                <w:bCs/>
                <w:i w:val="false"/>
                <w:iCs w:val="false"/>
                <w:color w:val="8B1A1A"/>
                <w:sz w:val="18"/>
                <w:szCs w:val="18"/>
              </w:rPr>
              <w:t xml:space="preserve">− </w:t>
            </w:r>
            <w:r>
              <w:rPr>
                <w:rFonts w:ascii="Arial" w:cs="Arial" w:eastAsia="Arial" w:hAnsi="Arial"/>
                <w:b w:val="false"/>
                <w:bCs w:val="false"/>
                <w:i w:val="false"/>
                <w:iCs w:val="false"/>
                <w:color w:val="1A1A1A"/>
                <w:sz w:val="18"/>
                <w:szCs w:val="18"/>
              </w:rPr>
              <w:t xml:space="preserve">Higher day rates: budget erodes faster at same seniority</w:t>
            </w:r>
          </w:p>
        </w:tc>
        <w:tc>
          <w:tcPr>
            <w:tcW w:type="dxa" w:w="3010"/>
            <w:tcBorders>
              <w:top w:val="single" w:color="C8CDD3" w:sz="1"/>
              <w:left w:val="single" w:color="C8CDD3" w:sz="1"/>
              <w:bottom w:val="single" w:color="C8CDD3" w:sz="1"/>
              <w:right w:val="single" w:color="C8CDD3" w:sz="1"/>
            </w:tcBorders>
            <w:shd w:fill="FFFFFF" w:val="clear"/>
            <w:tcMar>
              <w:top w:type="dxa" w:w="70"/>
              <w:left w:type="dxa" w:w="140"/>
              <w:bottom w:type="dxa" w:w="70"/>
              <w:right w:type="dxa" w:w="140"/>
            </w:tcMar>
          </w:tcPr>
          <w:p>
            <w:pPr>
              <w:spacing w:before="0" w:after="0" w:line="276"/>
              <w:jc w:val="left"/>
            </w:pPr>
            <w:r>
              <w:rPr>
                <w:rFonts w:ascii="Arial" w:cs="Arial" w:eastAsia="Arial" w:hAnsi="Arial"/>
                <w:b/>
                <w:bCs/>
                <w:i w:val="false"/>
                <w:iCs w:val="false"/>
                <w:color w:val="BF6C00"/>
                <w:sz w:val="18"/>
                <w:szCs w:val="18"/>
              </w:rPr>
              <w:t xml:space="preserve">⚠ </w:t>
            </w:r>
            <w:r>
              <w:rPr>
                <w:rFonts w:ascii="Arial" w:cs="Arial" w:eastAsia="Arial" w:hAnsi="Arial"/>
                <w:b w:val="false"/>
                <w:bCs w:val="false"/>
                <w:i w:val="false"/>
                <w:iCs w:val="false"/>
                <w:color w:val="1A1A1A"/>
                <w:sz w:val="18"/>
                <w:szCs w:val="18"/>
              </w:rPr>
              <w:t xml:space="preserve">Budget overrun risk if governance layers multiply</w:t>
            </w:r>
          </w:p>
        </w:tc>
      </w:tr>
      <w:tr>
        <w:tc>
          <w:tcPr>
            <w:tcW w:type="dxa" w:w="3008"/>
            <w:tcBorders>
              <w:top w:val="single" w:color="C8CDD3" w:sz="1"/>
              <w:left w:val="single" w:color="C8CDD3" w:sz="1"/>
              <w:bottom w:val="single" w:color="C8CDD3" w:sz="1"/>
              <w:right w:val="single" w:color="C8CDD3" w:sz="1"/>
            </w:tcBorders>
            <w:shd w:fill="F5F6F8" w:val="clear"/>
            <w:tcMar>
              <w:top w:type="dxa" w:w="70"/>
              <w:left w:type="dxa" w:w="140"/>
              <w:bottom w:type="dxa" w:w="70"/>
              <w:right w:type="dxa" w:w="140"/>
            </w:tcMar>
          </w:tcPr>
          <w:p>
            <w:pPr>
              <w:spacing w:before="0" w:after="0" w:line="276"/>
              <w:jc w:val="left"/>
            </w:pPr>
            <w:r>
              <w:rPr>
                <w:rFonts w:ascii="Arial" w:cs="Arial" w:eastAsia="Arial" w:hAnsi="Arial"/>
                <w:b/>
                <w:bCs/>
                <w:i w:val="false"/>
                <w:iCs w:val="false"/>
                <w:color w:val="1A5C38"/>
                <w:sz w:val="18"/>
                <w:szCs w:val="18"/>
              </w:rPr>
              <w:t xml:space="preserve">+ </w:t>
            </w:r>
            <w:r>
              <w:rPr>
                <w:rFonts w:ascii="Arial" w:cs="Arial" w:eastAsia="Arial" w:hAnsi="Arial"/>
                <w:b w:val="false"/>
                <w:bCs w:val="false"/>
                <w:i w:val="false"/>
                <w:iCs w:val="false"/>
                <w:color w:val="1A1A1A"/>
                <w:sz w:val="18"/>
                <w:szCs w:val="18"/>
              </w:rPr>
              <w:t xml:space="preserve">Structured ERP program assurance methodology</w:t>
            </w:r>
          </w:p>
        </w:tc>
        <w:tc>
          <w:tcPr>
            <w:tcW w:type="dxa" w:w="3008"/>
            <w:tcBorders>
              <w:top w:val="single" w:color="C8CDD3" w:sz="1"/>
              <w:left w:val="single" w:color="C8CDD3" w:sz="1"/>
              <w:bottom w:val="single" w:color="C8CDD3" w:sz="1"/>
              <w:right w:val="single" w:color="C8CDD3" w:sz="1"/>
            </w:tcBorders>
            <w:shd w:fill="F5F6F8" w:val="clear"/>
            <w:tcMar>
              <w:top w:type="dxa" w:w="70"/>
              <w:left w:type="dxa" w:w="140"/>
              <w:bottom w:type="dxa" w:w="70"/>
              <w:right w:type="dxa" w:w="140"/>
            </w:tcMar>
          </w:tcPr>
          <w:p>
            <w:pPr>
              <w:spacing w:before="0" w:after="0" w:line="276"/>
              <w:jc w:val="left"/>
            </w:pPr>
            <w:r>
              <w:rPr>
                <w:rFonts w:ascii="Arial" w:cs="Arial" w:eastAsia="Arial" w:hAnsi="Arial"/>
                <w:b/>
                <w:bCs/>
                <w:i w:val="false"/>
                <w:iCs w:val="false"/>
                <w:color w:val="8B1A1A"/>
                <w:sz w:val="18"/>
                <w:szCs w:val="18"/>
              </w:rPr>
              <w:t xml:space="preserve">− </w:t>
            </w:r>
            <w:r>
              <w:rPr>
                <w:rFonts w:ascii="Arial" w:cs="Arial" w:eastAsia="Arial" w:hAnsi="Arial"/>
                <w:b w:val="false"/>
                <w:bCs w:val="false"/>
                <w:i w:val="false"/>
                <w:iCs w:val="false"/>
                <w:color w:val="1A1A1A"/>
                <w:sz w:val="18"/>
                <w:szCs w:val="18"/>
              </w:rPr>
              <w:t xml:space="preserve">Governance-heavy approach can add lag to real-time decisions</w:t>
            </w:r>
          </w:p>
        </w:tc>
        <w:tc>
          <w:tcPr>
            <w:tcW w:type="dxa" w:w="3010"/>
            <w:tcBorders>
              <w:top w:val="single" w:color="C8CDD3" w:sz="1"/>
              <w:left w:val="single" w:color="C8CDD3" w:sz="1"/>
              <w:bottom w:val="single" w:color="C8CDD3" w:sz="1"/>
              <w:right w:val="single" w:color="C8CDD3" w:sz="1"/>
            </w:tcBorders>
            <w:shd w:fill="F5F6F8" w:val="clear"/>
            <w:tcMar>
              <w:top w:type="dxa" w:w="70"/>
              <w:left w:type="dxa" w:w="140"/>
              <w:bottom w:type="dxa" w:w="70"/>
              <w:right w:type="dxa" w:w="140"/>
            </w:tcMar>
          </w:tcPr>
          <w:p>
            <w:pPr>
              <w:spacing w:before="0" w:after="0" w:line="276"/>
              <w:jc w:val="left"/>
            </w:pPr>
            <w:r>
              <w:rPr>
                <w:rFonts w:ascii="Arial" w:cs="Arial" w:eastAsia="Arial" w:hAnsi="Arial"/>
                <w:b/>
                <w:bCs/>
                <w:i w:val="false"/>
                <w:iCs w:val="false"/>
                <w:color w:val="BF6C00"/>
                <w:sz w:val="18"/>
                <w:szCs w:val="18"/>
              </w:rPr>
              <w:t xml:space="preserve">⚠ </w:t>
            </w:r>
            <w:r>
              <w:rPr>
                <w:rFonts w:ascii="Arial" w:cs="Arial" w:eastAsia="Arial" w:hAnsi="Arial"/>
                <w:b w:val="false"/>
                <w:bCs w:val="false"/>
                <w:i w:val="false"/>
                <w:iCs w:val="false"/>
                <w:color w:val="1A1A1A"/>
                <w:sz w:val="18"/>
                <w:szCs w:val="18"/>
              </w:rPr>
              <w:t xml:space="preserve">Conflict-of-interest check: any KPMG relationship with the SI</w:t>
            </w:r>
          </w:p>
        </w:tc>
      </w:tr>
      <w:tr>
        <w:tc>
          <w:tcPr>
            <w:tcW w:type="dxa" w:w="3008"/>
            <w:tcBorders>
              <w:top w:val="single" w:color="C8CDD3" w:sz="1"/>
              <w:left w:val="single" w:color="C8CDD3" w:sz="1"/>
              <w:bottom w:val="single" w:color="C8CDD3" w:sz="1"/>
              <w:right w:val="single" w:color="C8CDD3" w:sz="1"/>
            </w:tcBorders>
            <w:shd w:fill="FFFFFF" w:val="clear"/>
            <w:tcMar>
              <w:top w:type="dxa" w:w="70"/>
              <w:left w:type="dxa" w:w="140"/>
              <w:bottom w:type="dxa" w:w="70"/>
              <w:right w:type="dxa" w:w="140"/>
            </w:tcMar>
          </w:tcPr>
          <w:p>
            <w:pPr>
              <w:spacing w:before="0" w:after="0" w:line="276"/>
              <w:jc w:val="left"/>
            </w:pPr>
            <w:r>
              <w:rPr>
                <w:rFonts w:ascii="Arial" w:cs="Arial" w:eastAsia="Arial" w:hAnsi="Arial"/>
                <w:b/>
                <w:bCs/>
                <w:i w:val="false"/>
                <w:iCs w:val="false"/>
                <w:color w:val="1A5C38"/>
                <w:sz w:val="18"/>
                <w:szCs w:val="18"/>
              </w:rPr>
              <w:t xml:space="preserve">+ </w:t>
            </w:r>
            <w:r>
              <w:rPr>
                <w:rFonts w:ascii="Arial" w:cs="Arial" w:eastAsia="Arial" w:hAnsi="Arial"/>
                <w:b w:val="false"/>
                <w:bCs w:val="false"/>
                <w:i w:val="false"/>
                <w:iCs w:val="false"/>
                <w:color w:val="1A1A1A"/>
                <w:sz w:val="18"/>
                <w:szCs w:val="18"/>
              </w:rPr>
              <w:t xml:space="preserve">Board/exec reporting: established and trusted</w:t>
            </w:r>
          </w:p>
        </w:tc>
        <w:tc>
          <w:tcPr>
            <w:tcW w:type="dxa" w:w="3008"/>
            <w:tcBorders>
              <w:top w:val="single" w:color="C8CDD3" w:sz="1"/>
              <w:left w:val="single" w:color="C8CDD3" w:sz="1"/>
              <w:bottom w:val="single" w:color="C8CDD3" w:sz="1"/>
              <w:right w:val="single" w:color="C8CDD3" w:sz="1"/>
            </w:tcBorders>
            <w:shd w:fill="FFFFFF" w:val="clear"/>
            <w:tcMar>
              <w:top w:type="dxa" w:w="70"/>
              <w:left w:type="dxa" w:w="140"/>
              <w:bottom w:type="dxa" w:w="70"/>
              <w:right w:type="dxa" w:w="140"/>
            </w:tcMar>
          </w:tcPr>
          <w:p>
            <w:pPr>
              <w:spacing w:before="0" w:after="0" w:line="276"/>
              <w:jc w:val="left"/>
            </w:pPr>
            <w:r>
              <w:rPr>
                <w:rFonts w:ascii="Arial" w:cs="Arial" w:eastAsia="Arial" w:hAnsi="Arial"/>
                <w:b/>
                <w:bCs/>
                <w:i w:val="false"/>
                <w:iCs w:val="false"/>
                <w:color w:val="8B1A1A"/>
                <w:sz w:val="18"/>
                <w:szCs w:val="18"/>
              </w:rPr>
              <w:t xml:space="preserve">− </w:t>
            </w:r>
            <w:r>
              <w:rPr>
                <w:rFonts w:ascii="Arial" w:cs="Arial" w:eastAsia="Arial" w:hAnsi="Arial"/>
                <w:b w:val="false"/>
                <w:bCs w:val="false"/>
                <w:i w:val="false"/>
                <w:iCs w:val="false"/>
                <w:color w:val="1A1A1A"/>
                <w:sz w:val="18"/>
                <w:szCs w:val="18"/>
              </w:rPr>
              <w:t xml:space="preserve">Risk of over-scoping — Big 4 engagements expand</w:t>
            </w:r>
          </w:p>
        </w:tc>
        <w:tc>
          <w:tcPr>
            <w:tcW w:type="dxa" w:w="3010"/>
            <w:tcBorders>
              <w:top w:val="single" w:color="C8CDD3" w:sz="1"/>
              <w:left w:val="single" w:color="C8CDD3" w:sz="1"/>
              <w:bottom w:val="single" w:color="C8CDD3" w:sz="1"/>
              <w:right w:val="single" w:color="C8CDD3" w:sz="1"/>
            </w:tcBorders>
            <w:shd w:fill="FFFFFF" w:val="clear"/>
            <w:tcMar>
              <w:top w:type="dxa" w:w="70"/>
              <w:left w:type="dxa" w:w="140"/>
              <w:bottom w:type="dxa" w:w="70"/>
              <w:right w:type="dxa" w:w="140"/>
            </w:tcMar>
          </w:tcPr>
          <w:p>
            <w:pPr>
              <w:spacing w:before="0" w:after="0" w:line="276"/>
              <w:jc w:val="left"/>
            </w:pPr>
            <w:r>
              <w:rPr>
                <w:rFonts w:ascii="Arial" w:cs="Arial" w:eastAsia="Arial" w:hAnsi="Arial"/>
                <w:b w:val="false"/>
                <w:bCs w:val="false"/>
                <w:i w:val="false"/>
                <w:iCs w:val="false"/>
                <w:color w:val="1A1A1A"/>
                <w:sz w:val="20"/>
                <w:szCs w:val="20"/>
              </w:rPr>
              <w:t xml:space="preserve"/>
            </w:r>
          </w:p>
        </w:tc>
      </w:tr>
      <w:tr>
        <w:tc>
          <w:tcPr>
            <w:tcW w:type="dxa" w:w="3008"/>
            <w:tcBorders>
              <w:top w:val="single" w:color="C8CDD3" w:sz="1"/>
              <w:left w:val="single" w:color="C8CDD3" w:sz="1"/>
              <w:bottom w:val="single" w:color="C8CDD3" w:sz="1"/>
              <w:right w:val="single" w:color="C8CDD3" w:sz="1"/>
            </w:tcBorders>
            <w:shd w:fill="F5F6F8" w:val="clear"/>
            <w:tcMar>
              <w:top w:type="dxa" w:w="70"/>
              <w:left w:type="dxa" w:w="140"/>
              <w:bottom w:type="dxa" w:w="70"/>
              <w:right w:type="dxa" w:w="140"/>
            </w:tcMar>
          </w:tcPr>
          <w:p>
            <w:pPr>
              <w:spacing w:before="0" w:after="0" w:line="276"/>
              <w:jc w:val="left"/>
            </w:pPr>
            <w:r>
              <w:rPr>
                <w:rFonts w:ascii="Arial" w:cs="Arial" w:eastAsia="Arial" w:hAnsi="Arial"/>
                <w:b/>
                <w:bCs/>
                <w:i w:val="false"/>
                <w:iCs w:val="false"/>
                <w:color w:val="1A5C38"/>
                <w:sz w:val="18"/>
                <w:szCs w:val="18"/>
              </w:rPr>
              <w:t xml:space="preserve">+ </w:t>
            </w:r>
            <w:r>
              <w:rPr>
                <w:rFonts w:ascii="Arial" w:cs="Arial" w:eastAsia="Arial" w:hAnsi="Arial"/>
                <w:b w:val="false"/>
                <w:bCs w:val="false"/>
                <w:i w:val="false"/>
                <w:iCs w:val="false"/>
                <w:color w:val="1A1A1A"/>
                <w:sz w:val="18"/>
                <w:szCs w:val="18"/>
              </w:rPr>
              <w:t xml:space="preserve">Can integrate oversight with existing controls workstream</w:t>
            </w:r>
          </w:p>
        </w:tc>
        <w:tc>
          <w:tcPr>
            <w:tcW w:type="dxa" w:w="3008"/>
            <w:tcBorders>
              <w:top w:val="single" w:color="C8CDD3" w:sz="1"/>
              <w:left w:val="single" w:color="C8CDD3" w:sz="1"/>
              <w:bottom w:val="single" w:color="C8CDD3" w:sz="1"/>
              <w:right w:val="single" w:color="C8CDD3" w:sz="1"/>
            </w:tcBorders>
            <w:shd w:fill="F5F6F8" w:val="clear"/>
            <w:tcMar>
              <w:top w:type="dxa" w:w="70"/>
              <w:left w:type="dxa" w:w="140"/>
              <w:bottom w:type="dxa" w:w="70"/>
              <w:right w:type="dxa" w:w="140"/>
            </w:tcMar>
          </w:tcPr>
          <w:p>
            <w:pPr>
              <w:spacing w:before="0" w:after="0" w:line="276"/>
              <w:jc w:val="left"/>
            </w:pPr>
            <w:r>
              <w:rPr>
                <w:rFonts w:ascii="Arial" w:cs="Arial" w:eastAsia="Arial" w:hAnsi="Arial"/>
                <w:b/>
                <w:bCs/>
                <w:i w:val="false"/>
                <w:iCs w:val="false"/>
                <w:color w:val="8B1A1A"/>
                <w:sz w:val="18"/>
                <w:szCs w:val="18"/>
              </w:rPr>
              <w:t xml:space="preserve">− </w:t>
            </w:r>
            <w:r>
              <w:rPr>
                <w:rFonts w:ascii="Arial" w:cs="Arial" w:eastAsia="Arial" w:hAnsi="Arial"/>
                <w:b w:val="false"/>
                <w:bCs w:val="false"/>
                <w:i w:val="false"/>
                <w:iCs w:val="false"/>
                <w:color w:val="1A1A1A"/>
                <w:sz w:val="18"/>
                <w:szCs w:val="18"/>
              </w:rPr>
              <w:t xml:space="preserve">Less differentiated on life sciences ERP specifically</w:t>
            </w:r>
          </w:p>
        </w:tc>
        <w:tc>
          <w:tcPr>
            <w:tcW w:type="dxa" w:w="3010"/>
            <w:tcBorders>
              <w:top w:val="single" w:color="C8CDD3" w:sz="1"/>
              <w:left w:val="single" w:color="C8CDD3" w:sz="1"/>
              <w:bottom w:val="single" w:color="C8CDD3" w:sz="1"/>
              <w:right w:val="single" w:color="C8CDD3" w:sz="1"/>
            </w:tcBorders>
            <w:shd w:fill="F5F6F8" w:val="clear"/>
            <w:tcMar>
              <w:top w:type="dxa" w:w="70"/>
              <w:left w:type="dxa" w:w="140"/>
              <w:bottom w:type="dxa" w:w="70"/>
              <w:right w:type="dxa" w:w="140"/>
            </w:tcMar>
          </w:tcPr>
          <w:p>
            <w:pPr>
              <w:spacing w:before="0" w:after="0" w:line="276"/>
              <w:jc w:val="left"/>
            </w:pPr>
            <w:r>
              <w:rPr>
                <w:rFonts w:ascii="Arial" w:cs="Arial" w:eastAsia="Arial" w:hAnsi="Arial"/>
                <w:b w:val="false"/>
                <w:bCs w:val="false"/>
                <w:i w:val="false"/>
                <w:iCs w:val="false"/>
                <w:color w:val="1A1A1A"/>
                <w:sz w:val="20"/>
                <w:szCs w:val="20"/>
              </w:rPr>
              <w:t xml:space="preserve"/>
            </w:r>
          </w:p>
        </w:tc>
      </w:tr>
    </w:tbl>
    <w:p>
      <w:pPr>
        <w:spacing w:before="0" w:after="240"/>
      </w:pPr>
      <w:r>
        <w:rPr>
          <w:rFonts w:ascii="Arial" w:cs="Arial" w:eastAsia="Arial" w:hAnsi="Arial"/>
          <w:b w:val="false"/>
          <w:bCs w:val="false"/>
          <w:i w:val="false"/>
          <w:iCs w:val="false"/>
          <w:color w:val="1A1A1A"/>
          <w:sz w:val="20"/>
          <w:szCs w:val="20"/>
        </w:rPr>
        <w:t xml:space="preserve"/>
      </w:r>
    </w:p>
    <w:p>
      <w:pPr>
        <w:pStyle w:val="Heading1"/>
      </w:pPr>
      <w:r>
        <w:rPr>
          <w:rFonts w:ascii="Arial" w:cs="Arial" w:eastAsia="Arial" w:hAnsi="Arial"/>
          <w:b/>
          <w:bCs/>
          <w:color w:val="1F3864"/>
          <w:sz w:val="28"/>
          <w:szCs w:val="28"/>
        </w:rPr>
        <w:t xml:space="preserve">Recommendation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5EA8" w:sz="8"/>
              <w:left w:val="single" w:color="2E5EA8" w:sz="8"/>
              <w:bottom w:val="single" w:color="2E5EA8" w:sz="8"/>
              <w:right w:val="single" w:color="2E5EA8" w:sz="8"/>
            </w:tcBorders>
            <w:shd w:fill="D6E4F7" w:val="clear"/>
            <w:tcMar>
              <w:top w:type="dxa" w:w="180"/>
              <w:left w:type="dxa" w:w="200"/>
              <w:bottom w:type="dxa" w:w="180"/>
              <w:right w:type="dxa" w:w="200"/>
            </w:tcMar>
          </w:tcPr>
          <w:p>
            <w:pPr>
              <w:spacing w:before="0" w:after="80" w:line="276"/>
              <w:jc w:val="left"/>
            </w:pPr>
            <w:r>
              <w:rPr>
                <w:rFonts w:ascii="Arial" w:cs="Arial" w:eastAsia="Arial" w:hAnsi="Arial"/>
                <w:b/>
                <w:bCs/>
                <w:i w:val="false"/>
                <w:iCs w:val="false"/>
                <w:color w:val="1F3864"/>
                <w:sz w:val="22"/>
                <w:szCs w:val="22"/>
              </w:rPr>
              <w:t xml:space="preserve">Primary Recommendation: CFGI — conditional on staffing terms</w:t>
            </w:r>
          </w:p>
          <w:p>
            <w:pPr>
              <w:spacing w:before="0" w:after="80" w:line="276"/>
              <w:jc w:val="left"/>
            </w:pPr>
            <w:r>
              <w:rPr>
                <w:rFonts w:ascii="Arial" w:cs="Arial" w:eastAsia="Arial" w:hAnsi="Arial"/>
                <w:b w:val="false"/>
                <w:bCs w:val="false"/>
                <w:i w:val="false"/>
                <w:iCs w:val="false"/>
                <w:color w:val="1A1A1A"/>
                <w:sz w:val="19"/>
                <w:szCs w:val="19"/>
              </w:rPr>
              <w:t xml:space="preserve">CFGI is the stronger fit for the specific services required — PMO governance with real technical NetSuite challenge, and ERP-linked IPO/SOX readiness positioning. The NetSuite expertise gap at KPMG is not closeable in the near term, and for an oversight role where the primary value is independently challenging the SI's technical decisions, process-level QA is insufficient.</w:t>
            </w:r>
          </w:p>
          <w:p>
            <w:pPr>
              <w:spacing w:before="0" w:after="0" w:line="276"/>
              <w:jc w:val="left"/>
            </w:pPr>
            <w:r>
              <w:rPr>
                <w:rFonts w:ascii="Arial" w:cs="Arial" w:eastAsia="Arial" w:hAnsi="Arial"/>
                <w:b/>
                <w:bCs/>
                <w:i w:val="false"/>
                <w:iCs w:val="false"/>
                <w:color w:val="1A1A1A"/>
                <w:sz w:val="19"/>
                <w:szCs w:val="19"/>
              </w:rPr>
              <w:t xml:space="preserve">The junior staffing concern must be resolved contractually, not verbally. The engagement should not proceed without named senior leads committed in the SOW.</w:t>
            </w:r>
          </w:p>
        </w:tc>
      </w:tr>
    </w:tbl>
    <w:p>
      <w:pPr>
        <w:spacing w:before="0" w:after="160"/>
      </w:pPr>
      <w:r>
        <w:rPr>
          <w:rFonts w:ascii="Arial" w:cs="Arial" w:eastAsia="Arial" w:hAnsi="Arial"/>
          <w:b w:val="false"/>
          <w:bCs w:val="false"/>
          <w:i w:val="false"/>
          <w:iCs w:val="false"/>
          <w:color w:val="1A1A1A"/>
          <w:sz w:val="20"/>
          <w:szCs w:val="20"/>
        </w:rPr>
        <w:t xml:space="preserve"/>
      </w:r>
    </w:p>
    <w:p>
      <w:pPr>
        <w:pStyle w:val="Heading2"/>
      </w:pPr>
      <w:r>
        <w:rPr>
          <w:rFonts w:ascii="Arial" w:cs="Arial" w:eastAsia="Arial" w:hAnsi="Arial"/>
          <w:b/>
          <w:bCs/>
          <w:color w:val="1F3864"/>
          <w:sz w:val="24"/>
          <w:szCs w:val="24"/>
        </w:rPr>
        <w:t xml:space="preserve">Conditions for CFGI Appointment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C8CDD3" w:sz="1"/>
              <w:left w:val="single" w:color="C8CDD3" w:sz="1"/>
              <w:bottom w:val="single" w:color="C8CDD3" w:sz="1"/>
              <w:right w:val="single" w:color="C8CDD3" w:sz="1"/>
            </w:tcBorders>
            <w:shd w:fill="D6E4F7" w:val="clear"/>
            <w:tcMar>
              <w:top w:type="dxa" w:w="70"/>
              <w:left w:type="dxa" w:w="140"/>
              <w:bottom w:type="dxa" w:w="70"/>
              <w:right w:type="dxa" w:w="140"/>
            </w:tcMar>
          </w:tcPr>
          <w:p>
            <w:pPr>
              <w:spacing w:before="0" w:after="0" w:line="276"/>
              <w:jc w:val="center"/>
            </w:pPr>
            <w:r>
              <w:rPr>
                <w:rFonts w:ascii="Arial" w:cs="Arial" w:eastAsia="Arial" w:hAnsi="Arial"/>
                <w:b/>
                <w:bCs/>
                <w:i w:val="false"/>
                <w:iCs w:val="false"/>
                <w:color w:val="2E5EA8"/>
                <w:sz w:val="18"/>
                <w:szCs w:val="18"/>
              </w:rPr>
              <w:t xml:space="preserve">01</w:t>
            </w:r>
          </w:p>
        </w:tc>
        <w:tc>
          <w:tcPr>
            <w:tcW w:type="dxa" w:w="8426"/>
            <w:tcBorders>
              <w:top w:val="single" w:color="C8CDD3" w:sz="1"/>
              <w:left w:val="single" w:color="C8CDD3" w:sz="1"/>
              <w:bottom w:val="single" w:color="C8CDD3" w:sz="1"/>
              <w:right w:val="single" w:color="C8CDD3" w:sz="1"/>
            </w:tcBorders>
            <w:shd w:fill="FFFFFF" w:val="clear"/>
            <w:tcMar>
              <w:top w:type="dxa" w:w="70"/>
              <w:left w:type="dxa" w:w="140"/>
              <w:bottom w:type="dxa" w:w="70"/>
              <w:right w:type="dxa" w:w="140"/>
            </w:tcMar>
          </w:tcPr>
          <w:p>
            <w:pPr>
              <w:spacing w:before="0" w:after="0" w:line="276"/>
              <w:jc w:val="left"/>
            </w:pPr>
            <w:r>
              <w:rPr>
                <w:rFonts w:ascii="Arial" w:cs="Arial" w:eastAsia="Arial" w:hAnsi="Arial"/>
                <w:b/>
                <w:bCs/>
                <w:i w:val="false"/>
                <w:iCs w:val="false"/>
                <w:color w:val="1A1A1A"/>
                <w:sz w:val="18"/>
                <w:szCs w:val="18"/>
              </w:rPr>
              <w:t xml:space="preserve">Named senior leads in SOW. </w:t>
            </w:r>
            <w:r>
              <w:rPr>
                <w:rFonts w:ascii="Arial" w:cs="Arial" w:eastAsia="Arial" w:hAnsi="Arial"/>
                <w:b w:val="false"/>
                <w:bCs w:val="false"/>
                <w:i w:val="false"/>
                <w:iCs w:val="false"/>
                <w:color w:val="1A1A1A"/>
                <w:sz w:val="18"/>
                <w:szCs w:val="18"/>
              </w:rPr>
              <w:t xml:space="preserve">Minimum Director/Managing Director level for NetSuite QA and PMO lead roles. No substitution without written approval.</w:t>
            </w:r>
          </w:p>
        </w:tc>
      </w:tr>
      <w:tr>
        <w:tc>
          <w:tcPr>
            <w:tcW w:type="dxa" w:w="600"/>
            <w:tcBorders>
              <w:top w:val="single" w:color="C8CDD3" w:sz="1"/>
              <w:left w:val="single" w:color="C8CDD3" w:sz="1"/>
              <w:bottom w:val="single" w:color="C8CDD3" w:sz="1"/>
              <w:right w:val="single" w:color="C8CDD3" w:sz="1"/>
            </w:tcBorders>
            <w:shd w:fill="D6E4F7" w:val="clear"/>
            <w:tcMar>
              <w:top w:type="dxa" w:w="70"/>
              <w:left w:type="dxa" w:w="140"/>
              <w:bottom w:type="dxa" w:w="70"/>
              <w:right w:type="dxa" w:w="140"/>
            </w:tcMar>
          </w:tcPr>
          <w:p>
            <w:pPr>
              <w:spacing w:before="0" w:after="0" w:line="276"/>
              <w:jc w:val="center"/>
            </w:pPr>
            <w:r>
              <w:rPr>
                <w:rFonts w:ascii="Arial" w:cs="Arial" w:eastAsia="Arial" w:hAnsi="Arial"/>
                <w:b/>
                <w:bCs/>
                <w:i w:val="false"/>
                <w:iCs w:val="false"/>
                <w:color w:val="2E5EA8"/>
                <w:sz w:val="18"/>
                <w:szCs w:val="18"/>
              </w:rPr>
              <w:t xml:space="preserve">02</w:t>
            </w:r>
          </w:p>
        </w:tc>
        <w:tc>
          <w:tcPr>
            <w:tcW w:type="dxa" w:w="8426"/>
            <w:tcBorders>
              <w:top w:val="single" w:color="C8CDD3" w:sz="1"/>
              <w:left w:val="single" w:color="C8CDD3" w:sz="1"/>
              <w:bottom w:val="single" w:color="C8CDD3" w:sz="1"/>
              <w:right w:val="single" w:color="C8CDD3" w:sz="1"/>
            </w:tcBorders>
            <w:shd w:fill="F5F6F8" w:val="clear"/>
            <w:tcMar>
              <w:top w:type="dxa" w:w="70"/>
              <w:left w:type="dxa" w:w="140"/>
              <w:bottom w:type="dxa" w:w="70"/>
              <w:right w:type="dxa" w:w="140"/>
            </w:tcMar>
          </w:tcPr>
          <w:p>
            <w:pPr>
              <w:spacing w:before="0" w:after="0" w:line="276"/>
              <w:jc w:val="left"/>
            </w:pPr>
            <w:r>
              <w:rPr>
                <w:rFonts w:ascii="Arial" w:cs="Arial" w:eastAsia="Arial" w:hAnsi="Arial"/>
                <w:b/>
                <w:bCs/>
                <w:i w:val="false"/>
                <w:iCs w:val="false"/>
                <w:color w:val="1A1A1A"/>
                <w:sz w:val="18"/>
                <w:szCs w:val="18"/>
              </w:rPr>
              <w:t xml:space="preserve">France-accessible delivery model. </w:t>
            </w:r>
            <w:r>
              <w:rPr>
                <w:rFonts w:ascii="Arial" w:cs="Arial" w:eastAsia="Arial" w:hAnsi="Arial"/>
                <w:b w:val="false"/>
                <w:bCs w:val="false"/>
                <w:i w:val="false"/>
                <w:iCs w:val="false"/>
                <w:color w:val="1A1A1A"/>
                <w:sz w:val="18"/>
                <w:szCs w:val="18"/>
              </w:rPr>
              <w:t xml:space="preserve">Specify on-site cadence (e.g., minimum 2x/month in Paris) or confirm remote-first with emergency travel provisions.</w:t>
            </w:r>
          </w:p>
        </w:tc>
      </w:tr>
      <w:tr>
        <w:tc>
          <w:tcPr>
            <w:tcW w:type="dxa" w:w="600"/>
            <w:tcBorders>
              <w:top w:val="single" w:color="C8CDD3" w:sz="1"/>
              <w:left w:val="single" w:color="C8CDD3" w:sz="1"/>
              <w:bottom w:val="single" w:color="C8CDD3" w:sz="1"/>
              <w:right w:val="single" w:color="C8CDD3" w:sz="1"/>
            </w:tcBorders>
            <w:shd w:fill="D6E4F7" w:val="clear"/>
            <w:tcMar>
              <w:top w:type="dxa" w:w="70"/>
              <w:left w:type="dxa" w:w="140"/>
              <w:bottom w:type="dxa" w:w="70"/>
              <w:right w:type="dxa" w:w="140"/>
            </w:tcMar>
          </w:tcPr>
          <w:p>
            <w:pPr>
              <w:spacing w:before="0" w:after="0" w:line="276"/>
              <w:jc w:val="center"/>
            </w:pPr>
            <w:r>
              <w:rPr>
                <w:rFonts w:ascii="Arial" w:cs="Arial" w:eastAsia="Arial" w:hAnsi="Arial"/>
                <w:b/>
                <w:bCs/>
                <w:i w:val="false"/>
                <w:iCs w:val="false"/>
                <w:color w:val="2E5EA8"/>
                <w:sz w:val="18"/>
                <w:szCs w:val="18"/>
              </w:rPr>
              <w:t xml:space="preserve">03</w:t>
            </w:r>
          </w:p>
        </w:tc>
        <w:tc>
          <w:tcPr>
            <w:tcW w:type="dxa" w:w="8426"/>
            <w:tcBorders>
              <w:top w:val="single" w:color="C8CDD3" w:sz="1"/>
              <w:left w:val="single" w:color="C8CDD3" w:sz="1"/>
              <w:bottom w:val="single" w:color="C8CDD3" w:sz="1"/>
              <w:right w:val="single" w:color="C8CDD3" w:sz="1"/>
            </w:tcBorders>
            <w:shd w:fill="FFFFFF" w:val="clear"/>
            <w:tcMar>
              <w:top w:type="dxa" w:w="70"/>
              <w:left w:type="dxa" w:w="140"/>
              <w:bottom w:type="dxa" w:w="70"/>
              <w:right w:type="dxa" w:w="140"/>
            </w:tcMar>
          </w:tcPr>
          <w:p>
            <w:pPr>
              <w:spacing w:before="0" w:after="0" w:line="276"/>
              <w:jc w:val="left"/>
            </w:pPr>
            <w:r>
              <w:rPr>
                <w:rFonts w:ascii="Arial" w:cs="Arial" w:eastAsia="Arial" w:hAnsi="Arial"/>
                <w:b/>
                <w:bCs/>
                <w:i w:val="false"/>
                <w:iCs w:val="false"/>
                <w:color w:val="1A1A1A"/>
                <w:sz w:val="18"/>
                <w:szCs w:val="18"/>
              </w:rPr>
              <w:t xml:space="preserve">NetSuite-certified lead. </w:t>
            </w:r>
            <w:r>
              <w:rPr>
                <w:rFonts w:ascii="Arial" w:cs="Arial" w:eastAsia="Arial" w:hAnsi="Arial"/>
                <w:b w:val="false"/>
                <w:bCs w:val="false"/>
                <w:i w:val="false"/>
                <w:iCs w:val="false"/>
                <w:color w:val="1A1A1A"/>
                <w:sz w:val="18"/>
                <w:szCs w:val="18"/>
              </w:rPr>
              <w:t xml:space="preserve">Request CV and certification proof for the proposed technical oversight lead. SuiteFoundation or Administrator certification minimum.</w:t>
            </w:r>
          </w:p>
        </w:tc>
      </w:tr>
      <w:tr>
        <w:tc>
          <w:tcPr>
            <w:tcW w:type="dxa" w:w="600"/>
            <w:tcBorders>
              <w:top w:val="single" w:color="C8CDD3" w:sz="1"/>
              <w:left w:val="single" w:color="C8CDD3" w:sz="1"/>
              <w:bottom w:val="single" w:color="C8CDD3" w:sz="1"/>
              <w:right w:val="single" w:color="C8CDD3" w:sz="1"/>
            </w:tcBorders>
            <w:shd w:fill="D6E4F7" w:val="clear"/>
            <w:tcMar>
              <w:top w:type="dxa" w:w="70"/>
              <w:left w:type="dxa" w:w="140"/>
              <w:bottom w:type="dxa" w:w="70"/>
              <w:right w:type="dxa" w:w="140"/>
            </w:tcMar>
          </w:tcPr>
          <w:p>
            <w:pPr>
              <w:spacing w:before="0" w:after="0" w:line="276"/>
              <w:jc w:val="center"/>
            </w:pPr>
            <w:r>
              <w:rPr>
                <w:rFonts w:ascii="Arial" w:cs="Arial" w:eastAsia="Arial" w:hAnsi="Arial"/>
                <w:b/>
                <w:bCs/>
                <w:i w:val="false"/>
                <w:iCs w:val="false"/>
                <w:color w:val="2E5EA8"/>
                <w:sz w:val="18"/>
                <w:szCs w:val="18"/>
              </w:rPr>
              <w:t xml:space="preserve">04</w:t>
            </w:r>
          </w:p>
        </w:tc>
        <w:tc>
          <w:tcPr>
            <w:tcW w:type="dxa" w:w="8426"/>
            <w:tcBorders>
              <w:top w:val="single" w:color="C8CDD3" w:sz="1"/>
              <w:left w:val="single" w:color="C8CDD3" w:sz="1"/>
              <w:bottom w:val="single" w:color="C8CDD3" w:sz="1"/>
              <w:right w:val="single" w:color="C8CDD3" w:sz="1"/>
            </w:tcBorders>
            <w:shd w:fill="F5F6F8" w:val="clear"/>
            <w:tcMar>
              <w:top w:type="dxa" w:w="70"/>
              <w:left w:type="dxa" w:w="140"/>
              <w:bottom w:type="dxa" w:w="70"/>
              <w:right w:type="dxa" w:w="140"/>
            </w:tcMar>
          </w:tcPr>
          <w:p>
            <w:pPr>
              <w:spacing w:before="0" w:after="0" w:line="276"/>
              <w:jc w:val="left"/>
            </w:pPr>
            <w:r>
              <w:rPr>
                <w:rFonts w:ascii="Arial" w:cs="Arial" w:eastAsia="Arial" w:hAnsi="Arial"/>
                <w:b/>
                <w:bCs/>
                <w:i w:val="false"/>
                <w:iCs w:val="false"/>
                <w:color w:val="1A1A1A"/>
                <w:sz w:val="18"/>
                <w:szCs w:val="18"/>
              </w:rPr>
              <w:t xml:space="preserve">Fixed-fee or capped T&amp;M structure. </w:t>
            </w:r>
            <w:r>
              <w:rPr>
                <w:rFonts w:ascii="Arial" w:cs="Arial" w:eastAsia="Arial" w:hAnsi="Arial"/>
                <w:b w:val="false"/>
                <w:bCs w:val="false"/>
                <w:i w:val="false"/>
                <w:iCs w:val="false"/>
                <w:color w:val="1A1A1A"/>
                <w:sz w:val="18"/>
                <w:szCs w:val="18"/>
              </w:rPr>
              <w:t xml:space="preserve">Within €200K–€500K envelope. Stage-gate billing tied to milestones. Avoid open-ended retainer.</w:t>
            </w:r>
          </w:p>
        </w:tc>
      </w:tr>
    </w:tbl>
    <w:p>
      <w:pPr>
        <w:spacing w:before="0" w:after="200"/>
      </w:pPr>
      <w:r>
        <w:rPr>
          <w:rFonts w:ascii="Arial" w:cs="Arial" w:eastAsia="Arial" w:hAnsi="Arial"/>
          <w:b w:val="false"/>
          <w:bCs w:val="false"/>
          <w:i w:val="false"/>
          <w:iCs w:val="false"/>
          <w:color w:val="1A1A1A"/>
          <w:sz w:val="20"/>
          <w:szCs w:val="20"/>
        </w:rPr>
        <w:t xml:space="preserve"/>
      </w:r>
    </w:p>
    <w:p>
      <w:pPr>
        <w:pStyle w:val="Heading2"/>
      </w:pPr>
      <w:r>
        <w:rPr>
          <w:rFonts w:ascii="Arial" w:cs="Arial" w:eastAsia="Arial" w:hAnsi="Arial"/>
          <w:b/>
          <w:bCs/>
          <w:color w:val="1F3864"/>
          <w:sz w:val="24"/>
          <w:szCs w:val="24"/>
        </w:rPr>
        <w:t xml:space="preserve">Alternative: Hybrid Model</w:t>
      </w:r>
    </w:p>
    <w:p>
      <w:pPr>
        <w:spacing w:before="0" w:after="120" w:line="276"/>
        <w:jc w:val="left"/>
      </w:pPr>
      <w:r>
        <w:rPr>
          <w:rFonts w:ascii="Arial" w:cs="Arial" w:eastAsia="Arial" w:hAnsi="Arial"/>
          <w:b w:val="false"/>
          <w:bCs w:val="false"/>
          <w:i w:val="false"/>
          <w:iCs w:val="false"/>
          <w:color w:val="1A1A1A"/>
          <w:sz w:val="19"/>
          <w:szCs w:val="19"/>
        </w:rPr>
        <w:t xml:space="preserve">If CFGI cannot satisfy the staffing conditions, or if the existing KPMG relationship creates strong organizational preference for continuity, a </w:t>
      </w:r>
      <w:r>
        <w:rPr>
          <w:rFonts w:ascii="Arial" w:cs="Arial" w:eastAsia="Arial" w:hAnsi="Arial"/>
          <w:b/>
          <w:bCs/>
          <w:i w:val="false"/>
          <w:iCs w:val="false"/>
          <w:color w:val="1A1A1A"/>
          <w:sz w:val="19"/>
          <w:szCs w:val="19"/>
        </w:rPr>
        <w:t xml:space="preserve">hybrid model</w:t>
      </w:r>
      <w:r>
        <w:rPr>
          <w:rFonts w:ascii="Arial" w:cs="Arial" w:eastAsia="Arial" w:hAnsi="Arial"/>
          <w:b w:val="false"/>
          <w:bCs w:val="false"/>
          <w:i w:val="false"/>
          <w:iCs w:val="false"/>
          <w:color w:val="1A1A1A"/>
          <w:sz w:val="19"/>
          <w:szCs w:val="19"/>
        </w:rPr>
        <w:t xml:space="preserve"> is viable: KPMG handles governance, board reporting, and controls integration (extending their existing mandate); CFGI provides periodic technical NetSuite QA checkpoints (4–6 scheduled reviews across the program lifecycle, scoped as discrete deliverables rather than a retainer). This splits the budget and covers both risk areas, but adds coordination overhead.</w:t>
      </w:r>
    </w:p>
    <w:p>
      <w:pPr>
        <w:spacing w:before="0" w:after="200"/>
      </w:pPr>
      <w:r>
        <w:rPr>
          <w:rFonts w:ascii="Arial" w:cs="Arial" w:eastAsia="Arial" w:hAnsi="Arial"/>
          <w:b w:val="false"/>
          <w:bCs w:val="false"/>
          <w:i w:val="false"/>
          <w:iCs w:val="false"/>
          <w:color w:val="1A1A1A"/>
          <w:sz w:val="20"/>
          <w:szCs w:val="20"/>
        </w:rPr>
        <w:t xml:space="preserve"/>
      </w:r>
    </w:p>
    <w:p>
      <w:pPr>
        <w:pStyle w:val="Heading1"/>
      </w:pPr>
      <w:r>
        <w:rPr>
          <w:rFonts w:ascii="Arial" w:cs="Arial" w:eastAsia="Arial" w:hAnsi="Arial"/>
          <w:b/>
          <w:bCs/>
          <w:color w:val="1F3864"/>
          <w:sz w:val="28"/>
          <w:szCs w:val="28"/>
        </w:rPr>
        <w:t xml:space="preserve">Open Questions Before Decision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C8CDD3" w:sz="1"/>
              <w:left w:val="single" w:color="C8CDD3" w:sz="1"/>
              <w:bottom w:val="single" w:color="C8CDD3" w:sz="1"/>
              <w:right w:val="single" w:color="C8CDD3" w:sz="1"/>
            </w:tcBorders>
            <w:shd w:fill="1F3864" w:val="clear"/>
            <w:tcMar>
              <w:top w:type="dxa" w:w="110"/>
              <w:left w:type="dxa" w:w="140"/>
              <w:bottom w:type="dxa" w:w="110"/>
              <w:right w:type="dxa" w:w="140"/>
            </w:tcMar>
            <w:vAlign w:val="center"/>
          </w:tcPr>
          <w:p>
            <w:pPr>
              <w:spacing w:before="0" w:after="0" w:line="276"/>
              <w:jc w:val="center"/>
            </w:pPr>
            <w:r>
              <w:rPr>
                <w:rFonts w:ascii="Arial" w:cs="Arial" w:eastAsia="Arial" w:hAnsi="Arial"/>
                <w:b/>
                <w:bCs/>
                <w:color w:val="FFFFFF"/>
                <w:sz w:val="19"/>
                <w:szCs w:val="19"/>
              </w:rPr>
              <w:t xml:space="preserve">Question</w:t>
            </w:r>
          </w:p>
        </w:tc>
        <w:tc>
          <w:tcPr>
            <w:tcW w:type="dxa" w:w="6026"/>
            <w:tcBorders>
              <w:top w:val="single" w:color="C8CDD3" w:sz="1"/>
              <w:left w:val="single" w:color="C8CDD3" w:sz="1"/>
              <w:bottom w:val="single" w:color="C8CDD3" w:sz="1"/>
              <w:right w:val="single" w:color="C8CDD3" w:sz="1"/>
            </w:tcBorders>
            <w:shd w:fill="1F3864" w:val="clear"/>
            <w:tcMar>
              <w:top w:type="dxa" w:w="110"/>
              <w:left w:type="dxa" w:w="140"/>
              <w:bottom w:type="dxa" w:w="110"/>
              <w:right w:type="dxa" w:w="140"/>
            </w:tcMar>
            <w:vAlign w:val="center"/>
          </w:tcPr>
          <w:p>
            <w:pPr>
              <w:spacing w:before="0" w:after="0" w:line="276"/>
              <w:jc w:val="center"/>
            </w:pPr>
            <w:r>
              <w:rPr>
                <w:rFonts w:ascii="Arial" w:cs="Arial" w:eastAsia="Arial" w:hAnsi="Arial"/>
                <w:b/>
                <w:bCs/>
                <w:color w:val="FFFFFF"/>
                <w:sz w:val="19"/>
                <w:szCs w:val="19"/>
              </w:rPr>
              <w:t xml:space="preserve">Why It Matters</w:t>
            </w:r>
          </w:p>
        </w:tc>
      </w:tr>
      <w:tr>
        <w:tc>
          <w:tcPr>
            <w:tcW w:type="dxa" w:w="3000"/>
            <w:tcBorders>
              <w:top w:val="single" w:color="C8CDD3" w:sz="1"/>
              <w:left w:val="single" w:color="C8CDD3" w:sz="1"/>
              <w:bottom w:val="single" w:color="C8CDD3" w:sz="1"/>
              <w:right w:val="single" w:color="C8CDD3" w:sz="1"/>
            </w:tcBorders>
            <w:shd w:fill="F5F6F8" w:val="clear"/>
            <w:tcMar>
              <w:top w:type="dxa" w:w="70"/>
              <w:left w:type="dxa" w:w="140"/>
              <w:bottom w:type="dxa" w:w="70"/>
              <w:right w:type="dxa" w:w="140"/>
            </w:tcMar>
          </w:tcPr>
          <w:p>
            <w:pPr>
              <w:spacing w:before="0" w:after="0" w:line="276"/>
              <w:jc w:val="left"/>
            </w:pPr>
            <w:r>
              <w:rPr>
                <w:rFonts w:ascii="Arial" w:cs="Arial" w:eastAsia="Arial" w:hAnsi="Arial"/>
                <w:b/>
                <w:bCs/>
                <w:i w:val="false"/>
                <w:iCs w:val="false"/>
                <w:color w:val="1A1A1A"/>
                <w:sz w:val="18"/>
                <w:szCs w:val="18"/>
              </w:rPr>
              <w:t xml:space="preserve">Who are the specific named resources CFGI proposes?</w:t>
            </w:r>
          </w:p>
        </w:tc>
        <w:tc>
          <w:tcPr>
            <w:tcW w:type="dxa" w:w="6026"/>
            <w:tcBorders>
              <w:top w:val="single" w:color="C8CDD3" w:sz="1"/>
              <w:left w:val="single" w:color="C8CDD3" w:sz="1"/>
              <w:bottom w:val="single" w:color="C8CDD3" w:sz="1"/>
              <w:right w:val="single" w:color="C8CDD3" w:sz="1"/>
            </w:tcBorders>
            <w:shd w:fill="F5F6F8" w:val="clear"/>
            <w:tcMar>
              <w:top w:type="dxa" w:w="70"/>
              <w:left w:type="dxa" w:w="140"/>
              <w:bottom w:type="dxa" w:w="70"/>
              <w:right w:type="dxa" w:w="140"/>
            </w:tcMar>
          </w:tcPr>
          <w:p>
            <w:pPr>
              <w:spacing w:before="0" w:after="0" w:line="276"/>
              <w:jc w:val="left"/>
            </w:pPr>
            <w:r>
              <w:rPr>
                <w:rFonts w:ascii="Arial" w:cs="Arial" w:eastAsia="Arial" w:hAnsi="Arial"/>
                <w:b w:val="false"/>
                <w:bCs w:val="false"/>
                <w:i w:val="false"/>
                <w:iCs w:val="false"/>
                <w:color w:val="1A1A1A"/>
                <w:sz w:val="18"/>
                <w:szCs w:val="18"/>
              </w:rPr>
              <w:t xml:space="preserve">Seniority concern is the primary blocker. Names and CVs must be reviewed before signing.</w:t>
            </w:r>
          </w:p>
        </w:tc>
      </w:tr>
      <w:tr>
        <w:tc>
          <w:tcPr>
            <w:tcW w:type="dxa" w:w="3000"/>
            <w:tcBorders>
              <w:top w:val="single" w:color="C8CDD3" w:sz="1"/>
              <w:left w:val="single" w:color="C8CDD3" w:sz="1"/>
              <w:bottom w:val="single" w:color="C8CDD3" w:sz="1"/>
              <w:right w:val="single" w:color="C8CDD3" w:sz="1"/>
            </w:tcBorders>
            <w:shd w:fill="FFFFFF" w:val="clear"/>
            <w:tcMar>
              <w:top w:type="dxa" w:w="70"/>
              <w:left w:type="dxa" w:w="140"/>
              <w:bottom w:type="dxa" w:w="70"/>
              <w:right w:type="dxa" w:w="140"/>
            </w:tcMar>
          </w:tcPr>
          <w:p>
            <w:pPr>
              <w:spacing w:before="0" w:after="0" w:line="276"/>
              <w:jc w:val="left"/>
            </w:pPr>
            <w:r>
              <w:rPr>
                <w:rFonts w:ascii="Arial" w:cs="Arial" w:eastAsia="Arial" w:hAnsi="Arial"/>
                <w:b/>
                <w:bCs/>
                <w:i w:val="false"/>
                <w:iCs w:val="false"/>
                <w:color w:val="1A1A1A"/>
                <w:sz w:val="18"/>
                <w:szCs w:val="18"/>
              </w:rPr>
              <w:t xml:space="preserve">Does CFGI have any existing European pharma/biotech NetSuite oversight case studies?</w:t>
            </w:r>
          </w:p>
        </w:tc>
        <w:tc>
          <w:tcPr>
            <w:tcW w:type="dxa" w:w="6026"/>
            <w:tcBorders>
              <w:top w:val="single" w:color="C8CDD3" w:sz="1"/>
              <w:left w:val="single" w:color="C8CDD3" w:sz="1"/>
              <w:bottom w:val="single" w:color="C8CDD3" w:sz="1"/>
              <w:right w:val="single" w:color="C8CDD3" w:sz="1"/>
            </w:tcBorders>
            <w:shd w:fill="FFFFFF" w:val="clear"/>
            <w:tcMar>
              <w:top w:type="dxa" w:w="70"/>
              <w:left w:type="dxa" w:w="140"/>
              <w:bottom w:type="dxa" w:w="70"/>
              <w:right w:type="dxa" w:w="140"/>
            </w:tcMar>
          </w:tcPr>
          <w:p>
            <w:pPr>
              <w:spacing w:before="0" w:after="0" w:line="276"/>
              <w:jc w:val="left"/>
            </w:pPr>
            <w:r>
              <w:rPr>
                <w:rFonts w:ascii="Arial" w:cs="Arial" w:eastAsia="Arial" w:hAnsi="Arial"/>
                <w:b w:val="false"/>
                <w:bCs w:val="false"/>
                <w:i w:val="false"/>
                <w:iCs w:val="false"/>
                <w:color w:val="1A1A1A"/>
                <w:sz w:val="18"/>
                <w:szCs w:val="18"/>
              </w:rPr>
              <w:t xml:space="preserve">Validates that their NetSuite capability extends beyond US engagements.</w:t>
            </w:r>
          </w:p>
        </w:tc>
      </w:tr>
      <w:tr>
        <w:tc>
          <w:tcPr>
            <w:tcW w:type="dxa" w:w="3000"/>
            <w:tcBorders>
              <w:top w:val="single" w:color="C8CDD3" w:sz="1"/>
              <w:left w:val="single" w:color="C8CDD3" w:sz="1"/>
              <w:bottom w:val="single" w:color="C8CDD3" w:sz="1"/>
              <w:right w:val="single" w:color="C8CDD3" w:sz="1"/>
            </w:tcBorders>
            <w:shd w:fill="F5F6F8" w:val="clear"/>
            <w:tcMar>
              <w:top w:type="dxa" w:w="70"/>
              <w:left w:type="dxa" w:w="140"/>
              <w:bottom w:type="dxa" w:w="70"/>
              <w:right w:type="dxa" w:w="140"/>
            </w:tcMar>
          </w:tcPr>
          <w:p>
            <w:pPr>
              <w:spacing w:before="0" w:after="0" w:line="276"/>
              <w:jc w:val="left"/>
            </w:pPr>
            <w:r>
              <w:rPr>
                <w:rFonts w:ascii="Arial" w:cs="Arial" w:eastAsia="Arial" w:hAnsi="Arial"/>
                <w:b/>
                <w:bCs/>
                <w:i w:val="false"/>
                <w:iCs w:val="false"/>
                <w:color w:val="1A1A1A"/>
                <w:sz w:val="18"/>
                <w:szCs w:val="18"/>
              </w:rPr>
              <w:t xml:space="preserve">Does KPMG France have any NetSuite sub-contractor relationships?</w:t>
            </w:r>
          </w:p>
        </w:tc>
        <w:tc>
          <w:tcPr>
            <w:tcW w:type="dxa" w:w="6026"/>
            <w:tcBorders>
              <w:top w:val="single" w:color="C8CDD3" w:sz="1"/>
              <w:left w:val="single" w:color="C8CDD3" w:sz="1"/>
              <w:bottom w:val="single" w:color="C8CDD3" w:sz="1"/>
              <w:right w:val="single" w:color="C8CDD3" w:sz="1"/>
            </w:tcBorders>
            <w:shd w:fill="F5F6F8" w:val="clear"/>
            <w:tcMar>
              <w:top w:type="dxa" w:w="70"/>
              <w:left w:type="dxa" w:w="140"/>
              <w:bottom w:type="dxa" w:w="70"/>
              <w:right w:type="dxa" w:w="140"/>
            </w:tcMar>
          </w:tcPr>
          <w:p>
            <w:pPr>
              <w:spacing w:before="0" w:after="0" w:line="276"/>
              <w:jc w:val="left"/>
            </w:pPr>
            <w:r>
              <w:rPr>
                <w:rFonts w:ascii="Arial" w:cs="Arial" w:eastAsia="Arial" w:hAnsi="Arial"/>
                <w:b w:val="false"/>
                <w:bCs w:val="false"/>
                <w:i w:val="false"/>
                <w:iCs w:val="false"/>
                <w:color w:val="1A1A1A"/>
                <w:sz w:val="18"/>
                <w:szCs w:val="18"/>
              </w:rPr>
              <w:t xml:space="preserve">Could partially close the technical gap if KPMG can sub in a certified NS resource.</w:t>
            </w:r>
          </w:p>
        </w:tc>
      </w:tr>
      <w:tr>
        <w:tc>
          <w:tcPr>
            <w:tcW w:type="dxa" w:w="3000"/>
            <w:tcBorders>
              <w:top w:val="single" w:color="C8CDD3" w:sz="1"/>
              <w:left w:val="single" w:color="C8CDD3" w:sz="1"/>
              <w:bottom w:val="single" w:color="C8CDD3" w:sz="1"/>
              <w:right w:val="single" w:color="C8CDD3" w:sz="1"/>
            </w:tcBorders>
            <w:shd w:fill="FFFFFF" w:val="clear"/>
            <w:tcMar>
              <w:top w:type="dxa" w:w="70"/>
              <w:left w:type="dxa" w:w="140"/>
              <w:bottom w:type="dxa" w:w="70"/>
              <w:right w:type="dxa" w:w="140"/>
            </w:tcMar>
          </w:tcPr>
          <w:p>
            <w:pPr>
              <w:spacing w:before="0" w:after="0" w:line="276"/>
              <w:jc w:val="left"/>
            </w:pPr>
            <w:r>
              <w:rPr>
                <w:rFonts w:ascii="Arial" w:cs="Arial" w:eastAsia="Arial" w:hAnsi="Arial"/>
                <w:b/>
                <w:bCs/>
                <w:i w:val="false"/>
                <w:iCs w:val="false"/>
                <w:color w:val="1A1A1A"/>
                <w:sz w:val="18"/>
                <w:szCs w:val="18"/>
              </w:rPr>
              <w:t xml:space="preserve">What is KPMG's proposed pricing for this specific oversight scope?</w:t>
            </w:r>
          </w:p>
        </w:tc>
        <w:tc>
          <w:tcPr>
            <w:tcW w:type="dxa" w:w="6026"/>
            <w:tcBorders>
              <w:top w:val="single" w:color="C8CDD3" w:sz="1"/>
              <w:left w:val="single" w:color="C8CDD3" w:sz="1"/>
              <w:bottom w:val="single" w:color="C8CDD3" w:sz="1"/>
              <w:right w:val="single" w:color="C8CDD3" w:sz="1"/>
            </w:tcBorders>
            <w:shd w:fill="FFFFFF" w:val="clear"/>
            <w:tcMar>
              <w:top w:type="dxa" w:w="70"/>
              <w:left w:type="dxa" w:w="140"/>
              <w:bottom w:type="dxa" w:w="70"/>
              <w:right w:type="dxa" w:w="140"/>
            </w:tcMar>
          </w:tcPr>
          <w:p>
            <w:pPr>
              <w:spacing w:before="0" w:after="0" w:line="276"/>
              <w:jc w:val="left"/>
            </w:pPr>
            <w:r>
              <w:rPr>
                <w:rFonts w:ascii="Arial" w:cs="Arial" w:eastAsia="Arial" w:hAnsi="Arial"/>
                <w:b w:val="false"/>
                <w:bCs w:val="false"/>
                <w:i w:val="false"/>
                <w:iCs w:val="false"/>
                <w:color w:val="1A1A1A"/>
                <w:sz w:val="18"/>
                <w:szCs w:val="18"/>
              </w:rPr>
              <w:t xml:space="preserve">KPMG commercials are already €650K Y1 on controls. Adding oversight could exceed the €500K cap.</w:t>
            </w:r>
          </w:p>
        </w:tc>
      </w:tr>
      <w:tr>
        <w:tc>
          <w:tcPr>
            <w:tcW w:type="dxa" w:w="3000"/>
            <w:tcBorders>
              <w:top w:val="single" w:color="C8CDD3" w:sz="1"/>
              <w:left w:val="single" w:color="C8CDD3" w:sz="1"/>
              <w:bottom w:val="single" w:color="C8CDD3" w:sz="1"/>
              <w:right w:val="single" w:color="C8CDD3" w:sz="1"/>
            </w:tcBorders>
            <w:shd w:fill="F5F6F8" w:val="clear"/>
            <w:tcMar>
              <w:top w:type="dxa" w:w="70"/>
              <w:left w:type="dxa" w:w="140"/>
              <w:bottom w:type="dxa" w:w="70"/>
              <w:right w:type="dxa" w:w="140"/>
            </w:tcMar>
          </w:tcPr>
          <w:p>
            <w:pPr>
              <w:spacing w:before="0" w:after="0" w:line="276"/>
              <w:jc w:val="left"/>
            </w:pPr>
            <w:r>
              <w:rPr>
                <w:rFonts w:ascii="Arial" w:cs="Arial" w:eastAsia="Arial" w:hAnsi="Arial"/>
                <w:b/>
                <w:bCs/>
                <w:i w:val="false"/>
                <w:iCs w:val="false"/>
                <w:color w:val="1A1A1A"/>
                <w:sz w:val="18"/>
                <w:szCs w:val="18"/>
              </w:rPr>
              <w:t xml:space="preserve">Does the NetSuite SI have an existing relationship with either firm?</w:t>
            </w:r>
          </w:p>
        </w:tc>
        <w:tc>
          <w:tcPr>
            <w:tcW w:type="dxa" w:w="6026"/>
            <w:tcBorders>
              <w:top w:val="single" w:color="C8CDD3" w:sz="1"/>
              <w:left w:val="single" w:color="C8CDD3" w:sz="1"/>
              <w:bottom w:val="single" w:color="C8CDD3" w:sz="1"/>
              <w:right w:val="single" w:color="C8CDD3" w:sz="1"/>
            </w:tcBorders>
            <w:shd w:fill="F5F6F8" w:val="clear"/>
            <w:tcMar>
              <w:top w:type="dxa" w:w="70"/>
              <w:left w:type="dxa" w:w="140"/>
              <w:bottom w:type="dxa" w:w="70"/>
              <w:right w:type="dxa" w:w="140"/>
            </w:tcMar>
          </w:tcPr>
          <w:p>
            <w:pPr>
              <w:spacing w:before="0" w:after="0" w:line="276"/>
              <w:jc w:val="left"/>
            </w:pPr>
            <w:r>
              <w:rPr>
                <w:rFonts w:ascii="Arial" w:cs="Arial" w:eastAsia="Arial" w:hAnsi="Arial"/>
                <w:b w:val="false"/>
                <w:bCs w:val="false"/>
                <w:i w:val="false"/>
                <w:iCs w:val="false"/>
                <w:color w:val="1A1A1A"/>
                <w:sz w:val="18"/>
                <w:szCs w:val="18"/>
              </w:rPr>
              <w:t xml:space="preserve">Independence is critical. Any pre-existing SI relationship should disqualify or require disclosure.</w:t>
            </w:r>
          </w:p>
        </w:tc>
      </w:tr>
      <w:tr>
        <w:tc>
          <w:tcPr>
            <w:tcW w:type="dxa" w:w="3000"/>
            <w:tcBorders>
              <w:top w:val="single" w:color="C8CDD3" w:sz="1"/>
              <w:left w:val="single" w:color="C8CDD3" w:sz="1"/>
              <w:bottom w:val="single" w:color="C8CDD3" w:sz="1"/>
              <w:right w:val="single" w:color="C8CDD3" w:sz="1"/>
            </w:tcBorders>
            <w:shd w:fill="FFFFFF" w:val="clear"/>
            <w:tcMar>
              <w:top w:type="dxa" w:w="70"/>
              <w:left w:type="dxa" w:w="140"/>
              <w:bottom w:type="dxa" w:w="70"/>
              <w:right w:type="dxa" w:w="140"/>
            </w:tcMar>
          </w:tcPr>
          <w:p>
            <w:pPr>
              <w:spacing w:before="0" w:after="0" w:line="276"/>
              <w:jc w:val="left"/>
            </w:pPr>
            <w:r>
              <w:rPr>
                <w:rFonts w:ascii="Arial" w:cs="Arial" w:eastAsia="Arial" w:hAnsi="Arial"/>
                <w:b/>
                <w:bCs/>
                <w:i w:val="false"/>
                <w:iCs w:val="false"/>
                <w:color w:val="1A1A1A"/>
                <w:sz w:val="18"/>
                <w:szCs w:val="18"/>
              </w:rPr>
              <w:t xml:space="preserve">Can CFGI staff out of their Dublin or German offices to reduce France distance?</w:t>
            </w:r>
          </w:p>
        </w:tc>
        <w:tc>
          <w:tcPr>
            <w:tcW w:type="dxa" w:w="6026"/>
            <w:tcBorders>
              <w:top w:val="single" w:color="C8CDD3" w:sz="1"/>
              <w:left w:val="single" w:color="C8CDD3" w:sz="1"/>
              <w:bottom w:val="single" w:color="C8CDD3" w:sz="1"/>
              <w:right w:val="single" w:color="C8CDD3" w:sz="1"/>
            </w:tcBorders>
            <w:shd w:fill="FFFFFF" w:val="clear"/>
            <w:tcMar>
              <w:top w:type="dxa" w:w="70"/>
              <w:left w:type="dxa" w:w="140"/>
              <w:bottom w:type="dxa" w:w="70"/>
              <w:right w:type="dxa" w:w="140"/>
            </w:tcMar>
          </w:tcPr>
          <w:p>
            <w:pPr>
              <w:spacing w:before="0" w:after="0" w:line="276"/>
              <w:jc w:val="left"/>
            </w:pPr>
            <w:r>
              <w:rPr>
                <w:rFonts w:ascii="Arial" w:cs="Arial" w:eastAsia="Arial" w:hAnsi="Arial"/>
                <w:b w:val="false"/>
                <w:bCs w:val="false"/>
                <w:i w:val="false"/>
                <w:iCs w:val="false"/>
                <w:color w:val="1A1A1A"/>
                <w:sz w:val="18"/>
                <w:szCs w:val="18"/>
              </w:rPr>
              <w:t xml:space="preserve">Closer proximity reduces travel cost and improves responsiveness.</w:t>
            </w:r>
          </w:p>
        </w:tc>
      </w:tr>
    </w:tbl>
    <w:p>
      <w:pPr>
        <w:spacing w:before="0" w:after="300"/>
      </w:pPr>
      <w:r>
        <w:rPr>
          <w:rFonts w:ascii="Arial" w:cs="Arial" w:eastAsia="Arial" w:hAnsi="Arial"/>
          <w:b w:val="false"/>
          <w:bCs w:val="false"/>
          <w:i w:val="false"/>
          <w:iCs w:val="false"/>
          <w:color w:val="1A1A1A"/>
          <w:sz w:val="20"/>
          <w:szCs w:val="20"/>
        </w:rPr>
        <w:t xml:space="preserve"/>
      </w:r>
    </w:p>
    <w:p>
      <w:pPr>
        <w:pBdr>
          <w:top w:val="single" w:color="E8EAED" w:sz="2"/>
        </w:pBdr>
        <w:spacing w:before="120" w:after="0"/>
      </w:pPr>
      <w:r>
        <w:rPr>
          <w:rFonts w:ascii="Arial" w:cs="Arial" w:eastAsia="Arial" w:hAnsi="Arial"/>
          <w:b w:val="false"/>
          <w:bCs w:val="false"/>
          <w:i w:val="false"/>
          <w:iCs w:val="false"/>
          <w:color w:val="6C757D"/>
          <w:sz w:val="16"/>
          <w:szCs w:val="16"/>
        </w:rPr>
        <w:t xml:space="preserve">Prepared for internal decision-making. Pricing estimates are market-based ranges, not vendor quotes. Vendor capabilities reflect publicly available information as of March 2026. Verify all terms directly with each firm.</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EA8" w:sz="4"/>
      </w:pBdr>
      <w:tabs>
        <w:tab w:val="right" w:pos="9026"/>
      </w:tabs>
      <w:spacing w:before="80"/>
      <w:jc w:val="left"/>
    </w:pPr>
    <w:r>
      <w:rPr>
        <w:rFonts w:ascii="Arial" w:cs="Arial" w:eastAsia="Arial" w:hAnsi="Arial"/>
        <w:b w:val="false"/>
        <w:bCs w:val="false"/>
        <w:i w:val="false"/>
        <w:iCs w:val="false"/>
        <w:color w:val="6C757D"/>
        <w:sz w:val="16"/>
        <w:szCs w:val="16"/>
      </w:rPr>
      <w:t xml:space="preserve">Abivax ERP Program  |  March 2026</w:t>
    </w:r>
    <w:r>
      <w:rPr>
        <w:rFonts w:ascii="Arial" w:cs="Arial" w:eastAsia="Arial" w:hAnsi="Arial"/>
        <w:b w:val="false"/>
        <w:bCs w:val="false"/>
        <w:i w:val="false"/>
        <w:iCs w:val="false"/>
        <w:color w:val="1A1A1A"/>
        <w:sz w:val="16"/>
        <w:szCs w:val="16"/>
      </w:rPr>
      <w:t xml:space="preserve">	</w:t>
    </w:r>
    <w:r>
      <w:rPr>
        <w:rFonts w:ascii="Arial" w:cs="Arial" w:eastAsia="Arial" w:hAnsi="Arial"/>
        <w:b w:val="false"/>
        <w:bCs w:val="false"/>
        <w:i w:val="false"/>
        <w:iCs w:val="false"/>
        <w:color w:val="6C757D"/>
        <w:sz w:val="16"/>
        <w:szCs w:val="16"/>
      </w:rPr>
      <w:t xml:space="preserve">Page </w:t>
    </w:r>
    <w:r>
      <w:rPr>
        <w:rFonts w:ascii="Arial" w:cs="Arial" w:eastAsia="Arial" w:hAnsi="Arial"/>
        <w:color w:val="6C757D"/>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EA8" w:sz="4"/>
      </w:pBdr>
      <w:spacing w:after="0"/>
      <w:jc w:val="right"/>
    </w:pPr>
    <w:r>
      <w:rPr>
        <w:rFonts w:ascii="Arial" w:cs="Arial" w:eastAsia="Arial" w:hAnsi="Arial"/>
        <w:b w:val="false"/>
        <w:bCs w:val="false"/>
        <w:i w:val="false"/>
        <w:iCs w:val="false"/>
        <w:color w:val="6C757D"/>
        <w:sz w:val="16"/>
        <w:szCs w:val="16"/>
      </w:rPr>
      <w:t xml:space="preserve">CONFIDENTIAL  |  </w:t>
    </w:r>
    <w:r>
      <w:rPr>
        <w:rFonts w:ascii="Arial" w:cs="Arial" w:eastAsia="Arial" w:hAnsi="Arial"/>
        <w:b w:val="false"/>
        <w:bCs w:val="false"/>
        <w:i w:val="false"/>
        <w:iCs w:val="false"/>
        <w:color w:val="1F3864"/>
        <w:sz w:val="16"/>
        <w:szCs w:val="16"/>
      </w:rPr>
      <w:t xml:space="preserve">Vendor Comparison: CFGI vs KPMG — NetSuite Implementation Oversight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3864"/>
      <w:sz w:val="28"/>
      <w:szCs w:val="28"/>
    </w:rPr>
  </w:style>
  <w:style w:type="paragraph" w:styleId="Heading2">
    <w:name w:val="Heading 2"/>
    <w:basedOn w:val="Normal"/>
    <w:next w:val="Normal"/>
    <w:qFormat/>
    <w:pPr>
      <w:spacing w:before="240" w:after="120"/>
      <w:outlineLvl w:val="1"/>
    </w:pPr>
    <w:rPr>
      <w:rFonts w:ascii="Arial" w:cs="Arial" w:eastAsia="Arial" w:hAnsi="Arial"/>
      <w:b/>
      <w:bCs/>
      <w:color w:val="1F3864"/>
      <w:sz w:val="24"/>
      <w:szCs w:val="24"/>
    </w:rPr>
  </w:style>
  <w:style w:type="paragraph" w:styleId="Heading3">
    <w:name w:val="Heading 3"/>
    <w:basedOn w:val="Normal"/>
    <w:next w:val="Normal"/>
    <w:qFormat/>
    <w:pPr>
      <w:spacing w:before="180" w:after="100"/>
      <w:outlineLvl w:val="2"/>
    </w:pPr>
    <w:rPr>
      <w:rFonts w:ascii="Arial" w:cs="Arial" w:eastAsia="Arial" w:hAnsi="Arial"/>
      <w:b/>
      <w:bCs/>
      <w:color w:val="2E5EA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2026-03-18T09:15:26.764Z</dcterms:created>
  <dcterms:modified xsi:type="dcterms:W3CDTF">2026-03-18T09:15:26.764Z</dcterms:modified>
</cp:coreProperties>
</file>

<file path=docProps/custom.xml><?xml version="1.0" encoding="utf-8"?>
<Properties xmlns="http://schemas.openxmlformats.org/officeDocument/2006/custom-properties" xmlns:vt="http://schemas.openxmlformats.org/officeDocument/2006/docPropsVTypes"/>
</file>