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EA8" w:sz="6" w:space="8"/>
        </w:pBdr>
        <w:spacing w:before="0" w:after="160"/>
      </w:pPr>
      <w:r>
        <w:rPr>
          <w:rFonts w:ascii="Arial" w:cs="Arial" w:eastAsia="Arial" w:hAnsi="Arial"/>
          <w:b/>
          <w:bCs/>
          <w:i w:val="false"/>
          <w:iCs w:val="false"/>
          <w:color w:val="1F3864"/>
          <w:sz w:val="34"/>
          <w:szCs w:val="34"/>
        </w:rPr>
        <w:t xml:space="preserve">ERP Vendor Decision — Revised Analysis</w:t>
      </w:r>
    </w:p>
    <w:p>
      <w:pPr>
        <w:spacing w:before="0" w:after="60" w:line="276"/>
        <w:jc w:val="left"/>
      </w:pPr>
      <w:r>
        <w:rPr>
          <w:rFonts w:ascii="Arial" w:cs="Arial" w:eastAsia="Arial" w:hAnsi="Arial"/>
          <w:b w:val="false"/>
          <w:bCs w:val="false"/>
          <w:i w:val="false"/>
          <w:iCs w:val="false"/>
          <w:color w:val="6C757D"/>
          <w:sz w:val="18"/>
          <w:szCs w:val="18"/>
        </w:rPr>
        <w:t xml:space="preserve">V2  |  March 18, 2026  |  Decision required before board, March 19</w:t>
      </w:r>
    </w:p>
    <w:p>
      <w:pPr>
        <w:spacing w:before="0" w:after="280" w:line="276"/>
        <w:jc w:val="left"/>
      </w:pPr>
      <w:r>
        <w:rPr>
          <w:rFonts w:ascii="Arial" w:cs="Arial" w:eastAsia="Arial" w:hAnsi="Arial"/>
          <w:b w:val="false"/>
          <w:bCs w:val="false"/>
          <w:i/>
          <w:iCs/>
          <w:color w:val="8B3A00"/>
          <w:sz w:val="18"/>
          <w:szCs w:val="18"/>
        </w:rPr>
        <w:t xml:space="preserve">This version corrects factual errors in V1 and expands the analysis to reflect the actual decision structure.</w:t>
      </w:r>
    </w:p>
    <w:p>
      <w:pPr>
        <w:pStyle w:val="Heading1"/>
        <w:spacing w:before="300" w:after="140"/>
      </w:pPr>
      <w:r>
        <w:rPr>
          <w:rFonts w:ascii="Arial" w:cs="Arial" w:eastAsia="Arial" w:hAnsi="Arial"/>
          <w:b/>
          <w:bCs/>
          <w:color w:val="1F3864"/>
          <w:sz w:val="28"/>
          <w:szCs w:val="28"/>
        </w:rPr>
        <w:t xml:space="preserve">What Was Wrong in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8CDD3" w:sz="1"/>
              <w:left w:val="single" w:color="C8CDD3" w:sz="1"/>
              <w:bottom w:val="single" w:color="C8CDD3" w:sz="1"/>
              <w:right w:val="single" w:color="C8CDD3" w:sz="1"/>
            </w:tcBorders>
            <w:shd w:fill="8B1A1A"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V1 Said</w:t>
            </w:r>
          </w:p>
        </w:tc>
        <w:tc>
          <w:tcPr>
            <w:tcW w:type="dxa" w:w="5626"/>
            <w:tcBorders>
              <w:top w:val="single" w:color="C8CDD3" w:sz="1"/>
              <w:left w:val="single" w:color="C8CDD3" w:sz="1"/>
              <w:bottom w:val="single" w:color="C8CDD3" w:sz="1"/>
              <w:right w:val="single" w:color="C8CDD3" w:sz="1"/>
            </w:tcBorders>
            <w:shd w:fill="1A5C38"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Correction</w:t>
            </w:r>
          </w:p>
        </w:tc>
      </w:tr>
      <w:tr>
        <w:tc>
          <w:tcPr>
            <w:tcW w:type="dxa" w:w="3400"/>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KPMG owned the controls/SOX work</w:t>
            </w:r>
          </w:p>
        </w:tc>
        <w:tc>
          <w:tcPr>
            <w:tcW w:type="dxa" w:w="5626"/>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CFGI is the incumbent SOX advisor at Abivax — they document and track controls today. KPMG has no current advisory relationship.</w:t>
            </w:r>
          </w:p>
        </w:tc>
      </w:tr>
      <w:tr>
        <w:tc>
          <w:tcPr>
            <w:tcW w:type="dxa" w:w="3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KPMG had institutional knowledge of Abivax's governance</w:t>
            </w:r>
          </w:p>
        </w:tc>
        <w:tc>
          <w:tcPr>
            <w:tcW w:type="dxa" w:w="56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KPMG France ran the ERP selection RFP analysis (SAP vs NetSuite). They are a prospective vendor, not an incumbent.</w:t>
            </w:r>
          </w:p>
        </w:tc>
      </w:tr>
      <w:tr>
        <w:tc>
          <w:tcPr>
            <w:tcW w:type="dxa" w:w="3400"/>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This was a two-vendor comparison (CFGI vs KPMG)</w:t>
            </w:r>
          </w:p>
        </w:tc>
        <w:tc>
          <w:tcPr>
            <w:tcW w:type="dxa" w:w="5626"/>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There are three distinct decisions: (1) who is the SI/builder, (2) what support layer, (3) what phase-1 scope is actually needed.</w:t>
            </w:r>
          </w:p>
        </w:tc>
      </w:tr>
      <w:tr>
        <w:tc>
          <w:tcPr>
            <w:tcW w:type="dxa" w:w="3400"/>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CFGI's role was implementation oversight only</w:t>
            </w:r>
          </w:p>
        </w:tc>
        <w:tc>
          <w:tcPr>
            <w:tcW w:type="dxa" w:w="56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CFGI made two separate proposals: (A) replace NetSuite as the SI, US-based team (€390K); (B) local Paris PMO/change management via Walid Bouassida (€100–125K). These are independent.</w:t>
            </w:r>
          </w:p>
        </w:tc>
      </w:tr>
      <w:tr>
        <w:tc>
          <w:tcPr>
            <w:tcW w:type="dxa" w:w="3400"/>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KPMG controls integration was a key advantage</w:t>
            </w:r>
          </w:p>
        </w:tc>
        <w:tc>
          <w:tcPr>
            <w:tcW w:type="dxa" w:w="5626"/>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before="0" w:after="80" w:line="276"/>
              <w:jc w:val="left"/>
            </w:pPr>
            <w:r>
              <w:rPr>
                <w:rFonts w:ascii="Arial" w:cs="Arial" w:eastAsia="Arial" w:hAnsi="Arial"/>
                <w:b w:val="false"/>
                <w:bCs w:val="false"/>
                <w:i w:val="false"/>
                <w:iCs w:val="false"/>
                <w:color w:val="1A1A1A"/>
                <w:sz w:val="17"/>
                <w:szCs w:val="17"/>
              </w:rPr>
              <w:t xml:space="preserve">KPMG has no existing controls work to integrate. Their AMOA proposal starts from scratch.</w:t>
            </w:r>
          </w:p>
        </w:tc>
      </w:tr>
    </w:tbl>
    <w:p>
      <w:pPr>
        <w:spacing w:before="0" w:after="24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The Actual Decision Structure</w:t>
      </w:r>
    </w:p>
    <w:p>
      <w:pPr>
        <w:spacing w:before="0" w:after="120" w:line="276"/>
        <w:jc w:val="left"/>
      </w:pPr>
      <w:r>
        <w:rPr>
          <w:rFonts w:ascii="Arial" w:cs="Arial" w:eastAsia="Arial" w:hAnsi="Arial"/>
          <w:b w:val="false"/>
          <w:bCs w:val="false"/>
          <w:i w:val="false"/>
          <w:iCs w:val="false"/>
          <w:color w:val="1A1A1A"/>
          <w:sz w:val="19"/>
          <w:szCs w:val="19"/>
        </w:rPr>
        <w:t xml:space="preserve">The original framing of "CFGI vs KPMG" collapses two separate decisions into one. They need to be addressed independently.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8CDD3" w:sz="1"/>
              <w:left w:val="single" w:color="C8CDD3" w:sz="1"/>
              <w:bottom w:val="single" w:color="C8CDD3" w:sz="1"/>
              <w:right w:val="single" w:color="C8CDD3" w:sz="1"/>
            </w:tcBorders>
            <w:shd w:fill="2E5EA8"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2E5EA8"/>
                <w:sz w:val="20"/>
                <w:szCs w:val="20"/>
              </w:rPr>
              <w:t xml:space="preserve">D1</w:t>
            </w:r>
          </w:p>
        </w:tc>
        <w:tc>
          <w:tcPr>
            <w:tcW w:type="dxa" w:w="84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Who is the builder / SI?</w:t>
            </w:r>
            <w:r>
              <w:rPr>
                <w:rFonts w:ascii="Arial" w:cs="Arial" w:eastAsia="Arial" w:hAnsi="Arial"/>
                <w:sz w:val="19"/>
                <w:szCs w:val="19"/>
              </w:rPr>
              <w:t xml:space="preserve">  NetSuite direct (current plan) vs. CFGI replacing NetSuite as implementation partner.</w:t>
            </w:r>
          </w:p>
        </w:tc>
      </w:tr>
      <w:tr>
        <w:tc>
          <w:tcPr>
            <w:tcW w:type="dxa" w:w="600"/>
            <w:tcBorders>
              <w:top w:val="single" w:color="C8CDD3" w:sz="1"/>
              <w:left w:val="single" w:color="C8CDD3" w:sz="1"/>
              <w:bottom w:val="single" w:color="C8CDD3" w:sz="1"/>
              <w:right w:val="single" w:color="C8CDD3" w:sz="1"/>
            </w:tcBorders>
            <w:shd w:fill="2E5EA8"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2E5EA8"/>
                <w:sz w:val="20"/>
                <w:szCs w:val="20"/>
              </w:rPr>
              <w:t xml:space="preserve">D2</w:t>
            </w:r>
          </w:p>
        </w:tc>
        <w:tc>
          <w:tcPr>
            <w:tcW w:type="dxa" w:w="84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What support layer sits around the builder?</w:t>
            </w:r>
            <w:r>
              <w:rPr>
                <w:rFonts w:ascii="Arial" w:cs="Arial" w:eastAsia="Arial" w:hAnsi="Arial"/>
                <w:sz w:val="19"/>
                <w:szCs w:val="19"/>
              </w:rPr>
              <w:t xml:space="preserve">  KPMG AMOA (€370K) vs. CFGI Local PMO/Change via Walid (€100–125K) vs. nothing.</w:t>
            </w:r>
          </w:p>
        </w:tc>
      </w:tr>
      <w:tr>
        <w:tc>
          <w:tcPr>
            <w:tcW w:type="dxa" w:w="600"/>
            <w:tcBorders>
              <w:top w:val="single" w:color="C8CDD3" w:sz="1"/>
              <w:left w:val="single" w:color="C8CDD3" w:sz="1"/>
              <w:bottom w:val="single" w:color="C8CDD3" w:sz="1"/>
              <w:right w:val="single" w:color="C8CDD3" w:sz="1"/>
            </w:tcBorders>
            <w:shd w:fill="2E5EA8"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2E5EA8"/>
                <w:sz w:val="20"/>
                <w:szCs w:val="20"/>
              </w:rPr>
              <w:t xml:space="preserve">D3</w:t>
            </w:r>
          </w:p>
        </w:tc>
        <w:tc>
          <w:tcPr>
            <w:tcW w:type="dxa" w:w="84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What scope is actually required for Jan 1, 2027?</w:t>
            </w:r>
            <w:r>
              <w:rPr>
                <w:rFonts w:ascii="Arial" w:cs="Arial" w:eastAsia="Arial" w:hAnsi="Arial"/>
                <w:sz w:val="19"/>
                <w:szCs w:val="19"/>
              </w:rPr>
              <w:t xml:space="preserve">  NetSuite's SOW includes O2C and Inventory in Phase 1. CFGI argues these should be deferred. This question applies regardless of who the SI is.</w:t>
            </w:r>
          </w:p>
        </w:tc>
      </w:tr>
    </w:tbl>
    <w:p>
      <w:pPr>
        <w:spacing w:before="0" w:after="24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Decision 1 — Who Builds? (NetSuite SI vs CFGI as SI)</w:t>
      </w:r>
    </w:p>
    <w:p>
      <w:pPr>
        <w:spacing w:before="0" w:after="100" w:line="276"/>
        <w:jc w:val="left"/>
      </w:pPr>
      <w:r>
        <w:rPr>
          <w:rFonts w:ascii="Arial" w:cs="Arial" w:eastAsia="Arial" w:hAnsi="Arial"/>
          <w:b/>
          <w:bCs/>
          <w:i w:val="false"/>
          <w:iCs w:val="false"/>
          <w:color w:val="1A1A1A"/>
          <w:sz w:val="19"/>
          <w:szCs w:val="19"/>
        </w:rPr>
        <w:t xml:space="preserve">This is the highest-stakes and most time-sensitive decision. Board meeting is tomorrow.</w:t>
      </w:r>
    </w:p>
    <w:p>
      <w:pPr>
        <w:pStyle w:val="Heading2"/>
        <w:spacing w:before="240" w:after="100"/>
      </w:pPr>
      <w:r>
        <w:rPr>
          <w:rFonts w:ascii="Arial" w:cs="Arial" w:eastAsia="Arial" w:hAnsi="Arial"/>
          <w:b/>
          <w:bCs/>
          <w:color w:val="2E5EA8"/>
          <w:sz w:val="24"/>
          <w:szCs w:val="24"/>
        </w:rPr>
        <w:t xml:space="preserve">NetSuite as SI (current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DD3" w:sz="1"/>
              <w:left w:val="single" w:color="C8CDD3" w:sz="1"/>
              <w:bottom w:val="single" w:color="C8CDD3" w:sz="1"/>
              <w:right w:val="single" w:color="C8CDD3" w:sz="1"/>
            </w:tcBorders>
            <w:shd w:fill="1A5C38"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Strengths</w:t>
            </w:r>
          </w:p>
        </w:tc>
        <w:tc>
          <w:tcPr>
            <w:tcW w:type="dxa" w:w="4513"/>
            <w:tcBorders>
              <w:top w:val="single" w:color="C8CDD3" w:sz="1"/>
              <w:left w:val="single" w:color="C8CDD3" w:sz="1"/>
              <w:bottom w:val="single" w:color="C8CDD3" w:sz="1"/>
              <w:right w:val="single" w:color="C8CDD3" w:sz="1"/>
            </w:tcBorders>
            <w:shd w:fill="8B1A1A"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Watchouts</w:t>
            </w:r>
          </w:p>
        </w:tc>
      </w:tr>
      <w:tr>
        <w:tc>
          <w:tcPr>
            <w:tcW w:type="dxa" w:w="4513"/>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Continuity with board approval narrative — NetSuite was selected Feb 26, switching now is disruptive</w:t>
            </w:r>
          </w:p>
        </w:tc>
        <w:tc>
          <w:tcPr>
            <w:tcW w:type="dxa" w:w="4513"/>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SOW is written as a single phase including O2C and Inventory — scope not yet tightened to Phase-1 minimum</w:t>
            </w:r>
          </w:p>
        </w:tc>
      </w:tr>
      <w:tr>
        <w:tc>
          <w:tcPr>
            <w:tcW w:type="dxa" w:w="45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SuiteSuccess delivery model is documented and structured</w:t>
            </w:r>
          </w:p>
        </w:tc>
        <w:tc>
          <w:tcPr>
            <w:tcW w:type="dxa" w:w="45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RACI confirms Abivax carries significant data, PM, and sponsor responsibilities — not a hands-off engagement</w:t>
            </w:r>
          </w:p>
        </w:tc>
      </w:tr>
      <w:tr>
        <w:tc>
          <w:tcPr>
            <w:tcW w:type="dxa" w:w="4513"/>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References diligence underway — answers expected this week</w:t>
            </w:r>
          </w:p>
        </w:tc>
        <w:tc>
          <w:tcPr>
            <w:tcW w:type="dxa" w:w="4513"/>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Named delivery lead and France-side coverage not yet confirmed in the formal SOW</w:t>
            </w:r>
          </w:p>
        </w:tc>
      </w:tr>
      <w:tr>
        <w:tc>
          <w:tcPr>
            <w:tcW w:type="dxa" w:w="45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April kickoff timeline unchanged vs CFGI alternative</w:t>
            </w:r>
          </w:p>
        </w:tc>
        <w:tc>
          <w:tcPr>
            <w:tcW w:type="dxa" w:w="45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€388,700 implementation fee is fixed-bid but full-phase — Phase-1-only pricing not yet negotiated</w:t>
            </w:r>
          </w:p>
        </w:tc>
      </w:tr>
      <w:tr>
        <w:tc>
          <w:tcPr>
            <w:tcW w:type="dxa" w:w="4513"/>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Travel cap (€18K) agreed</w:t>
            </w:r>
          </w:p>
        </w:tc>
        <w:tc>
          <w:tcPr>
            <w:tcW w:type="dxa" w:w="4513"/>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If multi-GAAP / IFRS-US dual-book complexity is underestimated, this team has less client-side advocacy than an independent SI would</w:t>
            </w:r>
          </w:p>
        </w:tc>
      </w:tr>
    </w:tbl>
    <w:p>
      <w:pPr>
        <w:spacing w:before="0" w:after="140"/>
      </w:pPr>
      <w:r>
        <w:rPr>
          <w:rFonts w:ascii="Arial" w:cs="Arial" w:eastAsia="Arial" w:hAnsi="Arial"/>
          <w:b w:val="false"/>
          <w:bCs w:val="false"/>
          <w:i w:val="false"/>
          <w:iCs w:val="false"/>
          <w:color w:val="1A1A1A"/>
          <w:sz w:val="20"/>
          <w:szCs w:val="20"/>
        </w:rPr>
        <w:t xml:space="preserve"/>
      </w:r>
    </w:p>
    <w:p>
      <w:pPr>
        <w:pStyle w:val="Heading2"/>
        <w:spacing w:before="240" w:after="100"/>
      </w:pPr>
      <w:r>
        <w:rPr>
          <w:rFonts w:ascii="Arial" w:cs="Arial" w:eastAsia="Arial" w:hAnsi="Arial"/>
          <w:b/>
          <w:bCs/>
          <w:color w:val="2E5EA8"/>
          <w:sz w:val="24"/>
          <w:szCs w:val="24"/>
        </w:rPr>
        <w:t xml:space="preserve">CFGI as SI (replace NetSuite implementation team)</w:t>
      </w:r>
    </w:p>
    <w:p>
      <w:pPr>
        <w:spacing w:before="0" w:after="100" w:line="276"/>
        <w:jc w:val="left"/>
      </w:pPr>
      <w:r>
        <w:rPr>
          <w:rFonts w:ascii="Arial" w:cs="Arial" w:eastAsia="Arial" w:hAnsi="Arial"/>
          <w:b w:val="false"/>
          <w:bCs w:val="false"/>
          <w:i w:val="false"/>
          <w:iCs w:val="false"/>
          <w:color w:val="6C757D"/>
          <w:sz w:val="18"/>
          <w:szCs w:val="18"/>
        </w:rPr>
        <w:t xml:space="preserve">Phase 1: €273K, 39 weeks, April 2026 kickoff. Phase 2: €117K deferred. US-based delivery team. French on-site PM and SOX SDLC are explicitly excluded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DD3" w:sz="1"/>
              <w:left w:val="single" w:color="C8CDD3" w:sz="1"/>
              <w:bottom w:val="single" w:color="C8CDD3" w:sz="1"/>
              <w:right w:val="single" w:color="C8CDD3" w:sz="1"/>
            </w:tcBorders>
            <w:shd w:fill="1A5C38"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Strengths</w:t>
            </w:r>
          </w:p>
        </w:tc>
        <w:tc>
          <w:tcPr>
            <w:tcW w:type="dxa" w:w="4513"/>
            <w:tcBorders>
              <w:top w:val="single" w:color="C8CDD3" w:sz="1"/>
              <w:left w:val="single" w:color="C8CDD3" w:sz="1"/>
              <w:bottom w:val="single" w:color="C8CDD3" w:sz="1"/>
              <w:right w:val="single" w:color="C8CDD3" w:sz="1"/>
            </w:tcBorders>
            <w:shd w:fill="8B1A1A"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Watchouts</w:t>
            </w:r>
          </w:p>
        </w:tc>
      </w:tr>
      <w:tr>
        <w:tc>
          <w:tcPr>
            <w:tcW w:type="dxa" w:w="4513"/>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Phase-1 scope is tighter — O2C and Inventory deferred, better aligned to Jan 1, 2027 minimum</w:t>
            </w:r>
          </w:p>
        </w:tc>
        <w:tc>
          <w:tcPr>
            <w:tcW w:type="dxa" w:w="4513"/>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Switching SI after board approval of NetSuite is a significant governance and relationship disruption</w:t>
            </w:r>
          </w:p>
        </w:tc>
      </w:tr>
      <w:tr>
        <w:tc>
          <w:tcPr>
            <w:tcW w:type="dxa" w:w="45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CFGI has existing Abivax SOX relationship — less context ramp-up on controls landscape</w:t>
            </w:r>
          </w:p>
        </w:tc>
        <w:tc>
          <w:tcPr>
            <w:tcW w:type="dxa" w:w="45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April 2026 kickoff assumed — no schedule advantage over staying with NetSuite</w:t>
            </w:r>
          </w:p>
        </w:tc>
      </w:tr>
      <w:tr>
        <w:tc>
          <w:tcPr>
            <w:tcW w:type="dxa" w:w="4513"/>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Phase-1 pricing (€273K) is materially lower than NetSuite's full-phase fee (€388,700)</w:t>
            </w:r>
          </w:p>
        </w:tc>
        <w:tc>
          <w:tcPr>
            <w:tcW w:type="dxa" w:w="4513"/>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French on-site PM explicitly excluded — Abivax must source this separately or rely on Walid's PMO proposal</w:t>
            </w:r>
          </w:p>
        </w:tc>
      </w:tr>
      <w:tr>
        <w:tc>
          <w:tcPr>
            <w:tcW w:type="dxa" w:w="45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Independent challenger to the software vendor (not vendor's own SI)</w:t>
            </w:r>
          </w:p>
        </w:tc>
        <w:tc>
          <w:tcPr>
            <w:tcW w:type="dxa" w:w="45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SOX SDLC activities explicitly excluded — gap if controls-by-design is a Phase-1 requirement</w:t>
            </w:r>
          </w:p>
        </w:tc>
      </w:tr>
      <w:tr>
        <w:tc>
          <w:tcPr>
            <w:tcW w:type="dxa" w:w="4513"/>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US-based team: easier coordination for Mike as US-based project lead</w:t>
            </w:r>
          </w:p>
        </w:tc>
        <w:tc>
          <w:tcPr>
            <w:tcW w:type="dxa" w:w="4513"/>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CFGI is still an unknown quantity as an SI — their SOX advisory track record is not the same as full ERP implementation delivery</w:t>
            </w:r>
          </w:p>
        </w:tc>
      </w:tr>
      <w:tr>
        <w:tc>
          <w:tcPr>
            <w:tcW w:type="dxa" w:w="45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More US relationship capital for Mike's post-Abivax network</w:t>
            </w:r>
          </w:p>
        </w:tc>
        <w:tc>
          <w:tcPr>
            <w:tcW w:type="dxa" w:w="45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No validated CFGI NetSuite implementation references at comparable company size / complexity shared yet</w:t>
            </w:r>
          </w:p>
        </w:tc>
      </w:tr>
    </w:tbl>
    <w:p>
      <w:pPr>
        <w:spacing w:before="0" w:after="160"/>
      </w:pPr>
      <w:r>
        <w:rPr>
          <w:rFonts w:ascii="Arial" w:cs="Arial" w:eastAsia="Arial" w:hAnsi="Arial"/>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C00" w:sz="6"/>
              <w:left w:val="single" w:color="BF6C00" w:sz="18"/>
              <w:bottom w:val="single" w:color="BF6C00" w:sz="6"/>
              <w:right w:val="single" w:color="BF6C00" w:sz="6"/>
            </w:tcBorders>
            <w:shd w:fill="FFF3CD" w:val="clear"/>
            <w:tcMar>
              <w:top w:type="dxa" w:w="160"/>
              <w:left w:type="dxa" w:w="200"/>
              <w:bottom w:type="dxa" w:w="160"/>
              <w:right w:type="dxa" w:w="200"/>
            </w:tcMar>
          </w:tcPr>
          <w:p>
            <w:pPr>
              <w:spacing w:before="0" w:after="80" w:line="276"/>
              <w:jc w:val="left"/>
            </w:pPr>
            <w:r>
              <w:rPr>
                <w:rFonts w:ascii="Arial" w:cs="Arial" w:eastAsia="Arial" w:hAnsi="Arial"/>
                <w:b/>
                <w:bCs/>
                <w:i w:val="false"/>
                <w:iCs w:val="false"/>
                <w:color w:val="1F3864"/>
                <w:sz w:val="21"/>
                <w:szCs w:val="21"/>
              </w:rPr>
              <w:t xml:space="preserve">Honest read on Decision 1</w:t>
            </w:r>
          </w:p>
          <w:p>
            <w:pPr>
              <w:spacing w:before="0" w:after="80" w:line="276"/>
              <w:jc w:val="left"/>
            </w:pPr>
            <w:r>
              <w:rPr>
                <w:rFonts w:ascii="Arial" w:cs="Arial" w:eastAsia="Arial" w:hAnsi="Arial"/>
                <w:b w:val="false"/>
                <w:bCs w:val="false"/>
                <w:i w:val="false"/>
                <w:iCs w:val="false"/>
                <w:color w:val="1A1A1A"/>
                <w:sz w:val="19"/>
                <w:szCs w:val="19"/>
              </w:rPr>
              <w:t xml:space="preserve">Switching the SI now is a high-risk move for a modest financial gain at the program level. The CFGI Phase-1-only pricing is better, but the real value of the CFGI argument is not "switch to CFGI" — it is </w:t>
            </w:r>
            <w:r>
              <w:rPr>
                <w:rFonts w:ascii="Arial" w:cs="Arial" w:eastAsia="Arial" w:hAnsi="Arial"/>
                <w:b/>
                <w:bCs/>
                <w:i w:val="false"/>
                <w:iCs w:val="false"/>
                <w:color w:val="1A1A1A"/>
                <w:sz w:val="19"/>
                <w:szCs w:val="19"/>
              </w:rPr>
              <w:t xml:space="preserve">use CFGI's phasing logic to force NetSuite to re-price a Phase-1-only scope before signing</w:t>
            </w:r>
            <w:r>
              <w:rPr>
                <w:rFonts w:ascii="Arial" w:cs="Arial" w:eastAsia="Arial" w:hAnsi="Arial"/>
                <w:b w:val="false"/>
                <w:bCs w:val="false"/>
                <w:i w:val="false"/>
                <w:iCs w:val="false"/>
                <w:color w:val="1A1A1A"/>
                <w:sz w:val="19"/>
                <w:szCs w:val="19"/>
              </w:rPr>
              <w:t xml:space="preserve">. If NetSuite won't negotiate, the CFGI proposal becomes a more serious fallback. If they do, you get a tighter scope at lower cost with the vendor the board just approved.</w:t>
            </w:r>
          </w:p>
          <w:p>
            <w:pPr>
              <w:spacing w:before="0" w:after="80" w:line="276"/>
              <w:jc w:val="left"/>
            </w:pPr>
            <w:r>
              <w:rPr>
                <w:rFonts w:ascii="Arial" w:cs="Arial" w:eastAsia="Arial" w:hAnsi="Arial"/>
                <w:b w:val="false"/>
                <w:bCs w:val="false"/>
                <w:i/>
                <w:iCs/>
                <w:color w:val="8B3A00"/>
                <w:sz w:val="19"/>
                <w:szCs w:val="19"/>
              </w:rPr>
              <w:t xml:space="preserve">The timing issue is real: board meeting is tomorrow. If you present NetSuite and then switch to CFGI next week, that creates a credibility problem unless there is a strong documented reason (e.g., references came back negative, or NetSuite refused to phase the scope). Hold the CFGI SI option as a live negotiating lever — not yet as a committed path.</w:t>
            </w:r>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Decision 2 — Support Layer (KPMG AMOA vs CFGI Local PMO)</w:t>
      </w:r>
    </w:p>
    <w:p>
      <w:pPr>
        <w:spacing w:before="0" w:after="120" w:line="276"/>
        <w:jc w:val="left"/>
      </w:pPr>
      <w:r>
        <w:rPr>
          <w:rFonts w:ascii="Arial" w:cs="Arial" w:eastAsia="Arial" w:hAnsi="Arial"/>
          <w:b w:val="false"/>
          <w:bCs w:val="false"/>
          <w:i w:val="false"/>
          <w:iCs w:val="false"/>
          <w:color w:val="1A1A1A"/>
          <w:sz w:val="19"/>
          <w:szCs w:val="19"/>
        </w:rPr>
        <w:t xml:space="preserve">This decision is independent of Decision 1 — the support layer choice holds whether NetSuite or CFGI is the 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C8CDD3" w:sz="1"/>
              <w:left w:val="single" w:color="C8CDD3" w:sz="1"/>
              <w:bottom w:val="single" w:color="C8CDD3" w:sz="1"/>
              <w:right w:val="single" w:color="C8CDD3" w:sz="1"/>
            </w:tcBorders>
            <w:shd w:fill="1F3864"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Dimension</w:t>
            </w:r>
          </w:p>
        </w:tc>
        <w:tc>
          <w:tcPr>
            <w:tcW w:type="dxa" w:w="3313"/>
            <w:tcBorders>
              <w:top w:val="single" w:color="C8CDD3" w:sz="1"/>
              <w:left w:val="single" w:color="C8CDD3" w:sz="1"/>
              <w:bottom w:val="single" w:color="C8CDD3" w:sz="1"/>
              <w:right w:val="single" w:color="C8CDD3" w:sz="1"/>
            </w:tcBorders>
            <w:shd w:fill="3D3D3D"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KPMG AMOA</w:t>
            </w:r>
          </w:p>
        </w:tc>
        <w:tc>
          <w:tcPr>
            <w:tcW w:type="dxa" w:w="3313"/>
            <w:tcBorders>
              <w:top w:val="single" w:color="C8CDD3" w:sz="1"/>
              <w:left w:val="single" w:color="C8CDD3" w:sz="1"/>
              <w:bottom w:val="single" w:color="C8CDD3" w:sz="1"/>
              <w:right w:val="single" w:color="C8CDD3" w:sz="1"/>
            </w:tcBorders>
            <w:shd w:fill="1F4E79"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CFGI Local PMO / Change (Walid)</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Fee (excl. VAT/expenses)</w:t>
            </w:r>
          </w:p>
        </w:tc>
        <w:tc>
          <w:tcPr>
            <w:tcW w:type="dxa" w:w="33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€ 370,100  |  302 man-days</w:t>
            </w:r>
          </w:p>
        </w:tc>
        <w:tc>
          <w:tcPr>
            <w:tcW w:type="dxa" w:w="3313"/>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€ 100–125K  |  ~35 weeks T&amp;M</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Commercial structure</w:t>
            </w:r>
          </w:p>
        </w:tc>
        <w:tc>
          <w:tcPr>
            <w:tcW w:type="dxa" w:w="3313"/>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Fixed by workstream; 30% deposit then steering-cadence billing</w:t>
            </w:r>
          </w:p>
        </w:tc>
        <w:tc>
          <w:tcPr>
            <w:tcW w:type="dxa" w:w="3313"/>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Time and materials; discounted SOX rates</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France-side presence</w:t>
            </w:r>
          </w:p>
        </w:tc>
        <w:tc>
          <w:tcPr>
            <w:tcW w:type="dxa" w:w="33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Camille Girard / Toufik Madjoubi; 1-in-3 steering committees in person</w:t>
            </w:r>
          </w:p>
        </w:tc>
        <w:tc>
          <w:tcPr>
            <w:tcW w:type="dxa" w:w="3313"/>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Walid Bouassida as Paris-based local lead — daily proximity to finance team</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Controls / SoD assurance</w:t>
            </w:r>
          </w:p>
        </w:tc>
        <w:tc>
          <w:tcPr>
            <w:tcW w:type="dxa" w:w="3313"/>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Olivia Berry dedicated to controls and SoD by design — strongest element of the proposal</w:t>
            </w:r>
          </w:p>
        </w:tc>
        <w:tc>
          <w:tcPr>
            <w:tcW w:type="dxa" w:w="3313"/>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Not explicitly in scope; CFGI NetSuite experts on-demand only and billed separately</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Change management</w:t>
            </w:r>
          </w:p>
        </w:tc>
        <w:tc>
          <w:tcPr>
            <w:tcW w:type="dxa" w:w="33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Broad — persona labs, video, e-learning, comms scripts (€110K allocated)</w:t>
            </w:r>
          </w:p>
        </w:tc>
        <w:tc>
          <w:tcPr>
            <w:tcW w:type="dxa" w:w="3313"/>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Lighter — change interviews, strategy, comms plan support</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UAT support</w:t>
            </w:r>
          </w:p>
        </w:tc>
        <w:tc>
          <w:tcPr>
            <w:tcW w:type="dxa" w:w="3313"/>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UAT strategy, notebooks, datasets, anomaly management — structured deliverable</w:t>
            </w:r>
          </w:p>
        </w:tc>
        <w:tc>
          <w:tcPr>
            <w:tcW w:type="dxa" w:w="3313"/>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Not explicitly covered</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PMO / governance cadence</w:t>
            </w:r>
          </w:p>
        </w:tc>
        <w:tc>
          <w:tcPr>
            <w:tcW w:type="dxa" w:w="33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3-level governance stack; dashboards, steering packs, risk log</w:t>
            </w:r>
          </w:p>
        </w:tc>
        <w:tc>
          <w:tcPr>
            <w:tcW w:type="dxa" w:w="3313"/>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Flash-report format, steering support; lighter structure than KPMG</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NetSuite product knowledge</w:t>
            </w:r>
          </w:p>
        </w:tc>
        <w:tc>
          <w:tcPr>
            <w:tcW w:type="dxa" w:w="3313"/>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Low — this is the core gap; functional assistance is process-level not config-level</w:t>
            </w:r>
          </w:p>
        </w:tc>
        <w:tc>
          <w:tcPr>
            <w:tcW w:type="dxa" w:w="3313"/>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On-demand via Ken Schatz / CFGI NS experts; access is there but not embedded</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Existing Abivax context</w:t>
            </w:r>
          </w:p>
        </w:tc>
        <w:tc>
          <w:tcPr>
            <w:tcW w:type="dxa" w:w="33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RFP selection only — no ongoing relationship; cold start on implementation</w:t>
            </w:r>
          </w:p>
        </w:tc>
        <w:tc>
          <w:tcPr>
            <w:tcW w:type="dxa" w:w="3313"/>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Incumbent SOX advisor — Walid already knows the controls landscape and internal team</w:t>
            </w:r>
          </w:p>
        </w:tc>
      </w:tr>
      <w:tr>
        <w:tc>
          <w:tcPr>
            <w:tcW w:type="dxa" w:w="24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Mike's US coordination overhead</w:t>
            </w:r>
          </w:p>
        </w:tc>
        <w:tc>
          <w:tcPr>
            <w:tcW w:type="dxa" w:w="3313"/>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French-led team; most interaction will be remote; Camille owns governance cadence</w:t>
            </w:r>
          </w:p>
        </w:tc>
        <w:tc>
          <w:tcPr>
            <w:tcW w:type="dxa" w:w="3313"/>
            <w:tcBorders>
              <w:top w:val="single" w:color="C8CDD3" w:sz="1"/>
              <w:left w:val="single" w:color="C8CDD3" w:sz="1"/>
              <w:bottom w:val="single" w:color="C8CDD3" w:sz="1"/>
              <w:right w:val="single" w:color="C8CDD3" w:sz="1"/>
            </w:tcBorders>
            <w:shd w:fill="C5D9F0"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Walid in Paris; Mike can stay out of day-to-day, Walid holds the fort locally</w:t>
            </w:r>
          </w:p>
        </w:tc>
      </w:tr>
      <w:tr>
        <w:tc>
          <w:tcPr>
            <w:tcW w:type="dxa" w:w="24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Best use case</w:t>
            </w:r>
          </w:p>
        </w:tc>
        <w:tc>
          <w:tcPr>
            <w:tcW w:type="dxa" w:w="33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Controls assurance + change management + UAT challenge; strongest if KPMG stays narrow</w:t>
            </w:r>
          </w:p>
        </w:tc>
        <w:tc>
          <w:tcPr>
            <w:tcW w:type="dxa" w:w="3313"/>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Paris-side project coordination, governance flash reports, and change support around the SI</w:t>
            </w:r>
          </w:p>
        </w:tc>
      </w:tr>
    </w:tbl>
    <w:p>
      <w:pPr>
        <w:spacing w:before="0" w:after="160"/>
      </w:pPr>
      <w:r>
        <w:rPr>
          <w:rFonts w:ascii="Arial" w:cs="Arial" w:eastAsia="Arial" w:hAnsi="Arial"/>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EA8" w:sz="6"/>
              <w:left w:val="single" w:color="2E5EA8" w:sz="18"/>
              <w:bottom w:val="single" w:color="2E5EA8" w:sz="6"/>
              <w:right w:val="single" w:color="2E5EA8" w:sz="6"/>
            </w:tcBorders>
            <w:shd w:fill="D6E4F7" w:val="clear"/>
            <w:tcMar>
              <w:top w:type="dxa" w:w="160"/>
              <w:left w:type="dxa" w:w="200"/>
              <w:bottom w:type="dxa" w:w="160"/>
              <w:right w:type="dxa" w:w="200"/>
            </w:tcMar>
          </w:tcPr>
          <w:p>
            <w:pPr>
              <w:spacing w:before="0" w:after="80" w:line="276"/>
              <w:jc w:val="left"/>
            </w:pPr>
            <w:r>
              <w:rPr>
                <w:rFonts w:ascii="Arial" w:cs="Arial" w:eastAsia="Arial" w:hAnsi="Arial"/>
                <w:b/>
                <w:bCs/>
                <w:i w:val="false"/>
                <w:iCs w:val="false"/>
                <w:color w:val="1F3864"/>
                <w:sz w:val="21"/>
                <w:szCs w:val="21"/>
              </w:rPr>
              <w:t xml:space="preserve">Honest read on Decision 2</w:t>
            </w:r>
          </w:p>
          <w:p>
            <w:pPr>
              <w:spacing w:before="0" w:after="80" w:line="276"/>
              <w:jc w:val="left"/>
            </w:pPr>
            <w:r>
              <w:rPr>
                <w:rFonts w:ascii="Arial" w:cs="Arial" w:eastAsia="Arial" w:hAnsi="Arial"/>
                <w:b w:val="false"/>
                <w:bCs w:val="false"/>
                <w:i w:val="false"/>
                <w:iCs w:val="false"/>
                <w:color w:val="1A1A1A"/>
                <w:sz w:val="19"/>
                <w:szCs w:val="19"/>
              </w:rPr>
              <w:t xml:space="preserve">The €270K price gap between KPMG and CFGI Local PMO is hard to justify unless you specifically need Olivia Berry's controls/SoD-by-design work, which is KPMG's clearest value-add. The PMO overhead in KPMG's proposal (dashboards, steering packs, communications programs) is real bloat that will consume budget without adding go-live assurance.</w:t>
            </w:r>
          </w:p>
          <w:p>
            <w:pPr>
              <w:spacing w:before="0" w:after="80" w:line="276"/>
              <w:jc w:val="left"/>
            </w:pPr>
            <w:r>
              <w:rPr>
                <w:rFonts w:ascii="Arial" w:cs="Arial" w:eastAsia="Arial" w:hAnsi="Arial"/>
                <w:b/>
                <w:bCs/>
                <w:i w:val="false"/>
                <w:iCs w:val="false"/>
                <w:color w:val="1A1A1A"/>
                <w:sz w:val="19"/>
                <w:szCs w:val="19"/>
              </w:rPr>
              <w:t xml:space="preserve">The smarter play: </w:t>
            </w:r>
            <w:r>
              <w:rPr>
                <w:rFonts w:ascii="Arial" w:cs="Arial" w:eastAsia="Arial" w:hAnsi="Arial"/>
                <w:b w:val="false"/>
                <w:bCs w:val="false"/>
                <w:i w:val="false"/>
                <w:iCs w:val="false"/>
                <w:color w:val="1A1A1A"/>
                <w:sz w:val="19"/>
                <w:szCs w:val="19"/>
              </w:rPr>
              <w:t xml:space="preserve">use CFGI Local PMO (Walid) for day-to-day Paris-side coverage, and negotiate a narrowed KPMG scope — controls/SoD design review + UAT sign-off only — for roughly €80–100K instead of the full €370K AMOA package.</w:t>
            </w:r>
          </w:p>
          <w:p>
            <w:pPr>
              <w:spacing w:before="0" w:after="80" w:line="276"/>
              <w:jc w:val="left"/>
            </w:pPr>
            <w:r>
              <w:rPr>
                <w:rFonts w:ascii="Arial" w:cs="Arial" w:eastAsia="Arial" w:hAnsi="Arial"/>
                <w:b w:val="false"/>
                <w:bCs w:val="false"/>
                <w:i/>
                <w:iCs/>
                <w:color w:val="8B3A00"/>
                <w:sz w:val="19"/>
                <w:szCs w:val="19"/>
              </w:rPr>
              <w:t xml:space="preserve">That hybrid buys you Walid on the ground, Olivia Berry on controls, and keeps two-thirds of the budget for actual implementation.</w:t>
            </w:r>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Decision 3 — What Scope Is Actually Required for Jan 1, 2027?</w:t>
      </w:r>
    </w:p>
    <w:p>
      <w:pPr>
        <w:spacing w:before="0" w:after="120" w:line="276"/>
        <w:jc w:val="left"/>
      </w:pPr>
      <w:r>
        <w:rPr>
          <w:rFonts w:ascii="Arial" w:cs="Arial" w:eastAsia="Arial" w:hAnsi="Arial"/>
          <w:b w:val="false"/>
          <w:bCs w:val="false"/>
          <w:i w:val="false"/>
          <w:iCs w:val="false"/>
          <w:color w:val="1A1A1A"/>
          <w:sz w:val="19"/>
          <w:szCs w:val="19"/>
        </w:rPr>
        <w:t xml:space="preserve">This question is critical regardless of which vendors are chosen. The current NetSuite SOW V3 still scopes Order to Cash and Design to Build/Inventory in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C8CDD3" w:sz="1"/>
              <w:left w:val="single" w:color="C8CDD3" w:sz="1"/>
              <w:bottom w:val="single" w:color="C8CDD3" w:sz="1"/>
              <w:right w:val="single" w:color="C8CDD3" w:sz="1"/>
            </w:tcBorders>
            <w:shd w:fill="1F3864"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Module</w:t>
            </w:r>
          </w:p>
        </w:tc>
        <w:tc>
          <w:tcPr>
            <w:tcW w:type="dxa" w:w="3213"/>
            <w:tcBorders>
              <w:top w:val="single" w:color="C8CDD3" w:sz="1"/>
              <w:left w:val="single" w:color="C8CDD3" w:sz="1"/>
              <w:bottom w:val="single" w:color="C8CDD3" w:sz="1"/>
              <w:right w:val="single" w:color="C8CDD3" w:sz="1"/>
            </w:tcBorders>
            <w:shd w:fill="1A5C38"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Required for Jan 1, 2027?</w:t>
            </w:r>
          </w:p>
        </w:tc>
        <w:tc>
          <w:tcPr>
            <w:tcW w:type="dxa" w:w="3213"/>
            <w:tcBorders>
              <w:top w:val="single" w:color="C8CDD3" w:sz="1"/>
              <w:left w:val="single" w:color="C8CDD3" w:sz="1"/>
              <w:bottom w:val="single" w:color="C8CDD3" w:sz="1"/>
              <w:right w:val="single" w:color="C8CDD3" w:sz="1"/>
            </w:tcBorders>
            <w:shd w:fill="BF6C00"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Risk if deferred</w:t>
            </w:r>
          </w:p>
        </w:tc>
      </w:tr>
      <w:tr>
        <w:tc>
          <w:tcPr>
            <w:tcW w:type="dxa" w:w="2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Record to Report (R2R)</w:t>
            </w:r>
          </w:p>
        </w:tc>
        <w:tc>
          <w:tcPr>
            <w:tcW w:type="dxa" w:w="32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Yes — core financial close, IFRS/GAAP multi-book, bank rec explicitly in SOW</w:t>
            </w:r>
          </w:p>
        </w:tc>
        <w:tc>
          <w:tcPr>
            <w:tcW w:type="dxa" w:w="3213"/>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High — this is the foundation; cannot defer</w:t>
            </w:r>
          </w:p>
        </w:tc>
      </w:tr>
      <w:tr>
        <w:tc>
          <w:tcPr>
            <w:tcW w:type="dxa" w:w="26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Procure to Pay (P2P)</w:t>
            </w:r>
          </w:p>
        </w:tc>
        <w:tc>
          <w:tcPr>
            <w:tcW w:type="dxa" w:w="3213"/>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Yes — vendor payments and approval workflow are operational from day 1</w:t>
            </w:r>
          </w:p>
        </w:tc>
        <w:tc>
          <w:tcPr>
            <w:tcW w:type="dxa" w:w="3213"/>
            <w:tcBorders>
              <w:top w:val="single" w:color="C8CDD3" w:sz="1"/>
              <w:left w:val="single" w:color="C8CDD3" w:sz="1"/>
              <w:bottom w:val="single" w:color="C8CDD3" w:sz="1"/>
              <w:right w:val="single" w:color="C8CDD3" w:sz="1"/>
            </w:tcBorders>
            <w:shd w:fill="F5E5A0"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High — P2P change management is the most complex adoption item</w:t>
            </w:r>
          </w:p>
        </w:tc>
      </w:tr>
      <w:tr>
        <w:tc>
          <w:tcPr>
            <w:tcW w:type="dxa" w:w="2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Record to Report — Bank Rec</w:t>
            </w:r>
          </w:p>
        </w:tc>
        <w:tc>
          <w:tcPr>
            <w:tcW w:type="dxa" w:w="32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Yes — explicitly included in revised SOW V3</w:t>
            </w:r>
          </w:p>
        </w:tc>
        <w:tc>
          <w:tcPr>
            <w:tcW w:type="dxa" w:w="3213"/>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Medium — can be phased within R2R if needed</w:t>
            </w:r>
          </w:p>
        </w:tc>
      </w:tr>
      <w:tr>
        <w:tc>
          <w:tcPr>
            <w:tcW w:type="dxa" w:w="26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Order to Cash (O2C)</w:t>
            </w:r>
          </w:p>
        </w:tc>
        <w:tc>
          <w:tcPr>
            <w:tcW w:type="dxa" w:w="3213"/>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Likely deferrable — Abivax is pre-commercial in the US as of Jan 1, 2027</w:t>
            </w:r>
          </w:p>
        </w:tc>
        <w:tc>
          <w:tcPr>
            <w:tcW w:type="dxa" w:w="3213"/>
            <w:tcBorders>
              <w:top w:val="single" w:color="C8CDD3" w:sz="1"/>
              <w:left w:val="single" w:color="C8CDD3" w:sz="1"/>
              <w:bottom w:val="single" w:color="C8CDD3" w:sz="1"/>
              <w:right w:val="single" w:color="C8CDD3" w:sz="1"/>
            </w:tcBorders>
            <w:shd w:fill="F5E5A0"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Low — US commercial launch is Dec 2027; O2C must be live before that, not before Jan 1, 2027</w:t>
            </w:r>
          </w:p>
        </w:tc>
      </w:tr>
      <w:tr>
        <w:tc>
          <w:tcPr>
            <w:tcW w:type="dxa" w:w="2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Design to Build / Inventory</w:t>
            </w:r>
          </w:p>
        </w:tc>
        <w:tc>
          <w:tcPr>
            <w:tcW w:type="dxa" w:w="32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Deferrable — no manufacturing or distribution volume at Jan 1, 2027 scale</w:t>
            </w:r>
          </w:p>
        </w:tc>
        <w:tc>
          <w:tcPr>
            <w:tcW w:type="dxa" w:w="3213"/>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Low if deferred to Phase 2; timing must be confirmed with ops team</w:t>
            </w:r>
          </w:p>
        </w:tc>
      </w:tr>
      <w:tr>
        <w:tc>
          <w:tcPr>
            <w:tcW w:type="dxa" w:w="26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5 Integrations (CFGI scope)</w:t>
            </w:r>
          </w:p>
        </w:tc>
        <w:tc>
          <w:tcPr>
            <w:tcW w:type="dxa" w:w="3213"/>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Verify each — not all may be required on day 1</w:t>
            </w:r>
          </w:p>
        </w:tc>
        <w:tc>
          <w:tcPr>
            <w:tcW w:type="dxa" w:w="3213"/>
            <w:tcBorders>
              <w:top w:val="single" w:color="C8CDD3" w:sz="1"/>
              <w:left w:val="single" w:color="C8CDD3" w:sz="1"/>
              <w:bottom w:val="single" w:color="C8CDD3" w:sz="1"/>
              <w:right w:val="single" w:color="C8CDD3" w:sz="1"/>
            </w:tcBorders>
            <w:shd w:fill="F5E5A0"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Varies — integration failures are a common go-live killer; scope each individually</w:t>
            </w:r>
          </w:p>
        </w:tc>
      </w:tr>
      <w:tr>
        <w:tc>
          <w:tcPr>
            <w:tcW w:type="dxa" w:w="26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E-invoicing / Electronic Invoices</w:t>
            </w:r>
          </w:p>
        </w:tc>
        <w:tc>
          <w:tcPr>
            <w:tcW w:type="dxa" w:w="3213"/>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French regulatory requirement — must be scoped correctly</w:t>
            </w:r>
          </w:p>
        </w:tc>
        <w:tc>
          <w:tcPr>
            <w:tcW w:type="dxa" w:w="3213"/>
            <w:tcBorders>
              <w:top w:val="single" w:color="C8CDD3" w:sz="1"/>
              <w:left w:val="single" w:color="C8CDD3" w:sz="1"/>
              <w:bottom w:val="single" w:color="C8CDD3" w:sz="1"/>
              <w:right w:val="single" w:color="C8CDD3" w:sz="1"/>
            </w:tcBorders>
            <w:shd w:fill="FFF3CD"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High if missed — French mandatory e-invoicing framework is active</w:t>
            </w:r>
          </w:p>
        </w:tc>
      </w:tr>
      <w:tr>
        <w:tc>
          <w:tcPr>
            <w:tcW w:type="dxa" w:w="26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NSAW / Analytics</w:t>
            </w:r>
          </w:p>
        </w:tc>
        <w:tc>
          <w:tcPr>
            <w:tcW w:type="dxa" w:w="3213"/>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Deferrable post go-live</w:t>
            </w:r>
          </w:p>
        </w:tc>
        <w:tc>
          <w:tcPr>
            <w:tcW w:type="dxa" w:w="3213"/>
            <w:tcBorders>
              <w:top w:val="single" w:color="C8CDD3" w:sz="1"/>
              <w:left w:val="single" w:color="C8CDD3" w:sz="1"/>
              <w:bottom w:val="single" w:color="C8CDD3" w:sz="1"/>
              <w:right w:val="single" w:color="C8CDD3" w:sz="1"/>
            </w:tcBorders>
            <w:shd w:fill="F5E5A0" w:val="clear"/>
            <w:tcMar>
              <w:top w:type="dxa" w:w="90"/>
              <w:left w:type="dxa" w:w="140"/>
              <w:bottom w:type="dxa" w:w="90"/>
              <w:right w:type="dxa" w:w="140"/>
            </w:tcMar>
            <w:vAlign w:val="center"/>
          </w:tcPr>
          <w:p>
            <w:pPr>
              <w:spacing w:before="0" w:after="80" w:line="276"/>
              <w:jc w:val="left"/>
            </w:pPr>
            <w:r>
              <w:rPr>
                <w:rFonts w:ascii="Arial" w:cs="Arial" w:eastAsia="Arial" w:hAnsi="Arial"/>
                <w:b w:val="false"/>
                <w:bCs w:val="false"/>
                <w:i w:val="false"/>
                <w:iCs w:val="false"/>
                <w:color w:val="1A1A1A"/>
                <w:sz w:val="17"/>
                <w:szCs w:val="17"/>
              </w:rPr>
              <w:t xml:space="preserve">Low</w:t>
            </w:r>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Economics Summary — Three Options</w:t>
      </w:r>
    </w:p>
    <w:p>
      <w:pPr>
        <w:spacing w:before="0" w:after="120" w:line="276"/>
        <w:jc w:val="left"/>
      </w:pPr>
      <w:r>
        <w:rPr>
          <w:rFonts w:ascii="Arial" w:cs="Arial" w:eastAsia="Arial" w:hAnsi="Arial"/>
          <w:b w:val="false"/>
          <w:bCs w:val="false"/>
          <w:i/>
          <w:iCs/>
          <w:color w:val="6C757D"/>
          <w:sz w:val="17"/>
          <w:szCs w:val="17"/>
        </w:rPr>
        <w:t xml:space="preserve">All figures exclude VAT. Travel caps stated where confirmed. Optional add-ons (ACS, NSIP, NSAW) excluded from Year 1 core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56"/>
        <w:gridCol w:w="1956"/>
        <w:gridCol w:w="1914"/>
      </w:tblGrid>
      <w:tr>
        <w:trPr>
          <w:tblHeader/>
        </w:trPr>
        <w:tc>
          <w:tcPr>
            <w:tcW w:type="dxa" w:w="3200"/>
            <w:tcBorders>
              <w:top w:val="single" w:color="C8CDD3" w:sz="1"/>
              <w:left w:val="single" w:color="C8CDD3" w:sz="1"/>
              <w:bottom w:val="single" w:color="C8CDD3" w:sz="1"/>
              <w:right w:val="single" w:color="C8CDD3" w:sz="1"/>
            </w:tcBorders>
            <w:shd w:fill="1F3864"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
            </w:r>
          </w:p>
        </w:tc>
        <w:tc>
          <w:tcPr>
            <w:tcW w:type="dxa" w:w="1956"/>
            <w:tcBorders>
              <w:top w:val="single" w:color="C8CDD3" w:sz="1"/>
              <w:left w:val="single" w:color="C8CDD3" w:sz="1"/>
              <w:bottom w:val="single" w:color="C8CDD3" w:sz="1"/>
              <w:right w:val="single" w:color="C8CDD3" w:sz="1"/>
            </w:tcBorders>
            <w:shd w:fill="3D3D3D"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Option A
NetSuite SI
+ KPMG AMOA</w:t>
            </w:r>
          </w:p>
        </w:tc>
        <w:tc>
          <w:tcPr>
            <w:tcW w:type="dxa" w:w="1956"/>
            <w:tcBorders>
              <w:top w:val="single" w:color="C8CDD3" w:sz="1"/>
              <w:left w:val="single" w:color="C8CDD3" w:sz="1"/>
              <w:bottom w:val="single" w:color="C8CDD3" w:sz="1"/>
              <w:right w:val="single" w:color="C8CDD3" w:sz="1"/>
            </w:tcBorders>
            <w:shd w:fill="0B5E5E"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Option B
NetSuite SI
+ CFGI Local PMO</w:t>
            </w:r>
          </w:p>
        </w:tc>
        <w:tc>
          <w:tcPr>
            <w:tcW w:type="dxa" w:w="1914"/>
            <w:tcBorders>
              <w:top w:val="single" w:color="C8CDD3" w:sz="1"/>
              <w:left w:val="single" w:color="C8CDD3" w:sz="1"/>
              <w:bottom w:val="single" w:color="C8CDD3" w:sz="1"/>
              <w:right w:val="single" w:color="C8CDD3" w:sz="1"/>
            </w:tcBorders>
            <w:shd w:fill="1F4E79" w:val="clear"/>
            <w:tcMar>
              <w:top w:type="dxa" w:w="110"/>
              <w:left w:type="dxa" w:w="140"/>
              <w:bottom w:type="dxa" w:w="110"/>
              <w:right w:type="dxa" w:w="140"/>
            </w:tcMar>
            <w:vAlign w:val="center"/>
          </w:tcPr>
          <w:p>
            <w:pPr>
              <w:spacing w:before="0" w:after="80" w:line="276"/>
              <w:jc w:val="center"/>
            </w:pPr>
            <w:r>
              <w:rPr>
                <w:rFonts w:ascii="Arial" w:cs="Arial" w:eastAsia="Arial" w:hAnsi="Arial"/>
                <w:b/>
                <w:bCs/>
                <w:color w:val="FFFFFF"/>
                <w:sz w:val="18"/>
                <w:szCs w:val="18"/>
              </w:rPr>
              <w:t xml:space="preserve">Option C
Full CFGI
(SI + Local PMO)</w:t>
            </w:r>
          </w:p>
        </w:tc>
      </w:tr>
      <w:tr>
        <w:tc>
          <w:tcPr>
            <w:tcW w:type="dxa" w:w="3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NetSuite license (recurring/yr)</w:t>
            </w:r>
          </w:p>
        </w:tc>
        <w:tc>
          <w:tcPr>
            <w:tcW w:type="dxa" w:w="195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€ 148,589</w:t>
            </w:r>
          </w:p>
        </w:tc>
        <w:tc>
          <w:tcPr>
            <w:tcW w:type="dxa" w:w="195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€ 148,589</w:t>
            </w:r>
          </w:p>
        </w:tc>
        <w:tc>
          <w:tcPr>
            <w:tcW w:type="dxa" w:w="1914"/>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€ 148,589</w:t>
            </w:r>
          </w:p>
        </w:tc>
      </w:tr>
      <w:tr>
        <w:tc>
          <w:tcPr>
            <w:tcW w:type="dxa" w:w="3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SI / implementation services</w:t>
            </w:r>
          </w:p>
        </w:tc>
        <w:tc>
          <w:tcPr>
            <w:tcW w:type="dxa" w:w="195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€ 388,700</w:t>
            </w:r>
          </w:p>
        </w:tc>
        <w:tc>
          <w:tcPr>
            <w:tcW w:type="dxa" w:w="195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€ 388,700</w:t>
            </w:r>
          </w:p>
        </w:tc>
        <w:tc>
          <w:tcPr>
            <w:tcW w:type="dxa" w:w="1914"/>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€ 273,000 *</w:t>
            </w:r>
          </w:p>
        </w:tc>
      </w:tr>
      <w:tr>
        <w:tc>
          <w:tcPr>
            <w:tcW w:type="dxa" w:w="3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Support layer fees</w:t>
            </w:r>
          </w:p>
        </w:tc>
        <w:tc>
          <w:tcPr>
            <w:tcW w:type="dxa" w:w="195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€ 370,100</w:t>
            </w:r>
          </w:p>
        </w:tc>
        <w:tc>
          <w:tcPr>
            <w:tcW w:type="dxa" w:w="195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€ 100–125K</w:t>
            </w:r>
          </w:p>
        </w:tc>
        <w:tc>
          <w:tcPr>
            <w:tcW w:type="dxa" w:w="1914"/>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€ 100–125K</w:t>
            </w:r>
          </w:p>
        </w:tc>
      </w:tr>
      <w:tr>
        <w:tc>
          <w:tcPr>
            <w:tcW w:type="dxa" w:w="3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Travel (capped)</w:t>
            </w:r>
          </w:p>
        </w:tc>
        <w:tc>
          <w:tcPr>
            <w:tcW w:type="dxa" w:w="195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€ 18,000</w:t>
            </w:r>
          </w:p>
        </w:tc>
        <w:tc>
          <w:tcPr>
            <w:tcW w:type="dxa" w:w="195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€ 18,000</w:t>
            </w:r>
          </w:p>
        </w:tc>
        <w:tc>
          <w:tcPr>
            <w:tcW w:type="dxa" w:w="1914"/>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€ 18,000 +</w:t>
            </w:r>
          </w:p>
        </w:tc>
      </w:tr>
      <w:tr>
        <w:tc>
          <w:tcPr>
            <w:tcW w:type="dxa" w:w="3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Year 1 estimated total</w:t>
            </w:r>
          </w:p>
        </w:tc>
        <w:tc>
          <w:tcPr>
            <w:tcW w:type="dxa" w:w="1956"/>
            <w:tcBorders>
              <w:top w:val="single" w:color="C8CDD3" w:sz="1"/>
              <w:left w:val="single" w:color="C8CDD3" w:sz="1"/>
              <w:bottom w:val="single" w:color="C8CDD3" w:sz="1"/>
              <w:right w:val="single" w:color="C8CDD3" w:sz="1"/>
            </w:tcBorders>
            <w:shd w:fill="E8E8E8" w:val="clear"/>
            <w:tcMar>
              <w:top w:type="dxa" w:w="90"/>
              <w:left w:type="dxa" w:w="140"/>
              <w:bottom w:type="dxa" w:w="90"/>
              <w:right w:type="dxa" w:w="140"/>
            </w:tcMar>
            <w:vAlign w:val="center"/>
          </w:tcPr>
          <w:p>
            <w:pPr>
              <w:spacing w:before="0" w:after="80" w:line="276"/>
              <w:jc w:val="center"/>
            </w:pPr>
            <w:r>
              <w:rPr>
                <w:rFonts w:ascii="Arial" w:cs="Arial" w:eastAsia="Arial" w:hAnsi="Arial"/>
                <w:color w:val="8B1A1A"/>
                <w:sz w:val="18"/>
                <w:szCs w:val="18"/>
              </w:rPr>
              <w:t xml:space="preserve">€ 925–950K</w:t>
            </w:r>
          </w:p>
        </w:tc>
        <w:tc>
          <w:tcPr>
            <w:tcW w:type="dxa" w:w="1956"/>
            <w:tcBorders>
              <w:top w:val="single" w:color="C8CDD3" w:sz="1"/>
              <w:left w:val="single" w:color="C8CDD3" w:sz="1"/>
              <w:bottom w:val="single" w:color="C8CDD3" w:sz="1"/>
              <w:right w:val="single" w:color="C8CDD3" w:sz="1"/>
            </w:tcBorders>
            <w:shd w:fill="D0EDEC" w:val="clear"/>
            <w:tcMar>
              <w:top w:type="dxa" w:w="90"/>
              <w:left w:type="dxa" w:w="140"/>
              <w:bottom w:type="dxa" w:w="90"/>
              <w:right w:type="dxa" w:w="140"/>
            </w:tcMar>
            <w:vAlign w:val="center"/>
          </w:tcPr>
          <w:p>
            <w:pPr>
              <w:spacing w:before="0" w:after="80" w:line="276"/>
              <w:jc w:val="center"/>
            </w:pPr>
            <w:r>
              <w:rPr>
                <w:rFonts w:ascii="Arial" w:cs="Arial" w:eastAsia="Arial" w:hAnsi="Arial"/>
                <w:color w:val="0B5E5E"/>
                <w:sz w:val="18"/>
                <w:szCs w:val="18"/>
              </w:rPr>
              <w:t xml:space="preserve">€ 655–680K</w:t>
            </w:r>
          </w:p>
        </w:tc>
        <w:tc>
          <w:tcPr>
            <w:tcW w:type="dxa" w:w="1914"/>
            <w:tcBorders>
              <w:top w:val="single" w:color="C8CDD3" w:sz="1"/>
              <w:left w:val="single" w:color="C8CDD3" w:sz="1"/>
              <w:bottom w:val="single" w:color="C8CDD3" w:sz="1"/>
              <w:right w:val="single" w:color="C8CDD3" w:sz="1"/>
            </w:tcBorders>
            <w:shd w:fill="D6E4F7" w:val="clear"/>
            <w:tcMar>
              <w:top w:type="dxa" w:w="90"/>
              <w:left w:type="dxa" w:w="140"/>
              <w:bottom w:type="dxa" w:w="90"/>
              <w:right w:type="dxa" w:w="140"/>
            </w:tcMar>
            <w:vAlign w:val="center"/>
          </w:tcPr>
          <w:p>
            <w:pPr>
              <w:spacing w:before="0" w:after="80" w:line="276"/>
              <w:jc w:val="center"/>
            </w:pPr>
            <w:r>
              <w:rPr>
                <w:rFonts w:ascii="Arial" w:cs="Arial" w:eastAsia="Arial" w:hAnsi="Arial"/>
                <w:color w:val="2E5EA8"/>
                <w:sz w:val="18"/>
                <w:szCs w:val="18"/>
              </w:rPr>
              <w:t xml:space="preserve">€ 540–565K *</w:t>
            </w:r>
          </w:p>
        </w:tc>
      </w:tr>
      <w:tr>
        <w:tc>
          <w:tcPr>
            <w:tcW w:type="dxa" w:w="3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Delta vs Option A</w:t>
            </w:r>
          </w:p>
        </w:tc>
        <w:tc>
          <w:tcPr>
            <w:tcW w:type="dxa" w:w="1956"/>
            <w:tcBorders>
              <w:top w:val="single" w:color="C8CDD3" w:sz="1"/>
              <w:left w:val="single" w:color="C8CDD3" w:sz="1"/>
              <w:bottom w:val="single" w:color="C8CDD3" w:sz="1"/>
              <w:right w:val="single" w:color="C8CDD3" w:sz="1"/>
            </w:tcBorders>
            <w:shd w:fill="FDECEA" w:val="clear"/>
            <w:tcMar>
              <w:top w:type="dxa" w:w="90"/>
              <w:left w:type="dxa" w:w="140"/>
              <w:bottom w:type="dxa" w:w="90"/>
              <w:right w:type="dxa" w:w="140"/>
            </w:tcMar>
            <w:vAlign w:val="center"/>
          </w:tcPr>
          <w:p>
            <w:pPr>
              <w:spacing w:before="0" w:after="80" w:line="276"/>
              <w:jc w:val="center"/>
            </w:pPr>
            <w:r>
              <w:rPr>
                <w:rFonts w:ascii="Arial" w:cs="Arial" w:eastAsia="Arial" w:hAnsi="Arial"/>
                <w:color w:val="8B1A1A"/>
                <w:sz w:val="18"/>
                <w:szCs w:val="18"/>
              </w:rPr>
              <w:t xml:space="preserve">—</w:t>
            </w:r>
          </w:p>
        </w:tc>
        <w:tc>
          <w:tcPr>
            <w:tcW w:type="dxa" w:w="1956"/>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vAlign w:val="center"/>
          </w:tcPr>
          <w:p>
            <w:pPr>
              <w:spacing w:before="0" w:after="80" w:line="276"/>
              <w:jc w:val="center"/>
            </w:pPr>
            <w:r>
              <w:rPr>
                <w:rFonts w:ascii="Arial" w:cs="Arial" w:eastAsia="Arial" w:hAnsi="Arial"/>
                <w:color w:val="1A5C38"/>
                <w:sz w:val="18"/>
                <w:szCs w:val="18"/>
              </w:rPr>
              <w:t xml:space="preserve">−€ 270K</w:t>
            </w:r>
          </w:p>
        </w:tc>
        <w:tc>
          <w:tcPr>
            <w:tcW w:type="dxa" w:w="1914"/>
            <w:tcBorders>
              <w:top w:val="single" w:color="C8CDD3" w:sz="1"/>
              <w:left w:val="single" w:color="C8CDD3" w:sz="1"/>
              <w:bottom w:val="single" w:color="C8CDD3" w:sz="1"/>
              <w:right w:val="single" w:color="C8CDD3" w:sz="1"/>
            </w:tcBorders>
            <w:shd w:fill="D4EDDA" w:val="clear"/>
            <w:tcMar>
              <w:top w:type="dxa" w:w="90"/>
              <w:left w:type="dxa" w:w="140"/>
              <w:bottom w:type="dxa" w:w="90"/>
              <w:right w:type="dxa" w:w="140"/>
            </w:tcMar>
            <w:vAlign w:val="center"/>
          </w:tcPr>
          <w:p>
            <w:pPr>
              <w:spacing w:before="0" w:after="80" w:line="276"/>
              <w:jc w:val="center"/>
            </w:pPr>
            <w:r>
              <w:rPr>
                <w:rFonts w:ascii="Arial" w:cs="Arial" w:eastAsia="Arial" w:hAnsi="Arial"/>
                <w:color w:val="1A5C38"/>
                <w:sz w:val="18"/>
                <w:szCs w:val="18"/>
              </w:rPr>
              <w:t xml:space="preserve">−€ 385K</w:t>
            </w:r>
          </w:p>
        </w:tc>
      </w:tr>
      <w:tr>
        <w:tc>
          <w:tcPr>
            <w:tcW w:type="dxa" w:w="3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NetSuite technical challenge</w:t>
            </w:r>
          </w:p>
        </w:tc>
        <w:tc>
          <w:tcPr>
            <w:tcW w:type="dxa" w:w="195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Low (same vendor)</w:t>
            </w:r>
          </w:p>
        </w:tc>
        <w:tc>
          <w:tcPr>
            <w:tcW w:type="dxa" w:w="195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Low (same vendor)</w:t>
            </w:r>
          </w:p>
        </w:tc>
        <w:tc>
          <w:tcPr>
            <w:tcW w:type="dxa" w:w="1914"/>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High (independent SI)</w:t>
            </w:r>
          </w:p>
        </w:tc>
      </w:tr>
      <w:tr>
        <w:tc>
          <w:tcPr>
            <w:tcW w:type="dxa" w:w="3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Controls/UAT assurance depth</w:t>
            </w:r>
          </w:p>
        </w:tc>
        <w:tc>
          <w:tcPr>
            <w:tcW w:type="dxa" w:w="195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High (KPMG)</w:t>
            </w:r>
          </w:p>
        </w:tc>
        <w:tc>
          <w:tcPr>
            <w:tcW w:type="dxa" w:w="195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Low–Medium (CFGI PMO)</w:t>
            </w:r>
          </w:p>
        </w:tc>
        <w:tc>
          <w:tcPr>
            <w:tcW w:type="dxa" w:w="1914"/>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Medium (CFGI SOX team)</w:t>
            </w:r>
          </w:p>
        </w:tc>
      </w:tr>
      <w:tr>
        <w:tc>
          <w:tcPr>
            <w:tcW w:type="dxa" w:w="3200"/>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France-side coverage</w:t>
            </w:r>
          </w:p>
        </w:tc>
        <w:tc>
          <w:tcPr>
            <w:tcW w:type="dxa" w:w="195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Strong (KPMG Paris team)</w:t>
            </w:r>
          </w:p>
        </w:tc>
        <w:tc>
          <w:tcPr>
            <w:tcW w:type="dxa" w:w="195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Strong (Walid, Paris-based)</w:t>
            </w:r>
          </w:p>
        </w:tc>
        <w:tc>
          <w:tcPr>
            <w:tcW w:type="dxa" w:w="1914"/>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Strong (Walid, Paris-based)</w:t>
            </w:r>
          </w:p>
        </w:tc>
      </w:tr>
      <w:tr>
        <w:tc>
          <w:tcPr>
            <w:tcW w:type="dxa" w:w="3200"/>
            <w:tcBorders>
              <w:top w:val="single" w:color="C8CDD3" w:sz="1"/>
              <w:left w:val="single" w:color="C8CDD3" w:sz="1"/>
              <w:bottom w:val="single" w:color="C8CDD3" w:sz="1"/>
              <w:right w:val="single" w:color="C8CDD3" w:sz="1"/>
            </w:tcBorders>
            <w:shd w:fill="E8EAED" w:val="clear"/>
            <w:tcMar>
              <w:top w:type="dxa" w:w="90"/>
              <w:left w:type="dxa" w:w="140"/>
              <w:bottom w:type="dxa" w:w="90"/>
              <w:right w:type="dxa" w:w="140"/>
            </w:tcMar>
            <w:vAlign w:val="center"/>
          </w:tcPr>
          <w:p>
            <w:pPr>
              <w:spacing w:before="0" w:after="80" w:line="276"/>
              <w:jc w:val="left"/>
            </w:pPr>
            <w:r>
              <w:rPr>
                <w:rFonts w:ascii="Arial" w:cs="Arial" w:eastAsia="Arial" w:hAnsi="Arial"/>
                <w:b/>
                <w:bCs/>
                <w:color w:val="2C3E50"/>
                <w:sz w:val="18"/>
                <w:szCs w:val="18"/>
              </w:rPr>
              <w:t xml:space="preserve">Switch-cost / disruption risk</w:t>
            </w:r>
          </w:p>
        </w:tc>
        <w:tc>
          <w:tcPr>
            <w:tcW w:type="dxa" w:w="195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None</w:t>
            </w:r>
          </w:p>
        </w:tc>
        <w:tc>
          <w:tcPr>
            <w:tcW w:type="dxa" w:w="195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None</w:t>
            </w:r>
          </w:p>
        </w:tc>
        <w:tc>
          <w:tcPr>
            <w:tcW w:type="dxa" w:w="1914"/>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vAlign w:val="center"/>
          </w:tcPr>
          <w:p>
            <w:pPr>
              <w:spacing w:before="0" w:after="80" w:line="276"/>
              <w:jc w:val="center"/>
            </w:pPr>
            <w:r>
              <w:rPr>
                <w:rFonts w:ascii="Arial" w:cs="Arial" w:eastAsia="Arial" w:hAnsi="Arial"/>
                <w:color w:val="1A1A1A"/>
                <w:sz w:val="18"/>
                <w:szCs w:val="18"/>
              </w:rPr>
              <w:t xml:space="preserve">High — board week timing</w:t>
            </w:r>
          </w:p>
        </w:tc>
      </w:tr>
    </w:tbl>
    <w:p>
      <w:pPr>
        <w:spacing w:before="60" w:after="80" w:line="276"/>
        <w:jc w:val="left"/>
      </w:pPr>
      <w:r>
        <w:rPr>
          <w:rFonts w:ascii="Arial" w:cs="Arial" w:eastAsia="Arial" w:hAnsi="Arial"/>
          <w:b w:val="false"/>
          <w:bCs w:val="false"/>
          <w:i/>
          <w:iCs/>
          <w:color w:val="6C757D"/>
          <w:sz w:val="16"/>
          <w:szCs w:val="16"/>
        </w:rPr>
        <w:t xml:space="preserve">* Option C Phase 1 only. Phase 2 (O2C + Inventory + hypercare) adds €117K if and when required.</w:t>
      </w:r>
    </w:p>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6"/>
              <w:left w:val="single" w:color="1F3864" w:sz="18"/>
              <w:bottom w:val="single" w:color="1F3864" w:sz="6"/>
              <w:right w:val="single" w:color="1F3864" w:sz="6"/>
            </w:tcBorders>
            <w:shd w:fill="D6E4F7" w:val="clear"/>
            <w:tcMar>
              <w:top w:type="dxa" w:w="160"/>
              <w:left w:type="dxa" w:w="200"/>
              <w:bottom w:type="dxa" w:w="160"/>
              <w:right w:type="dxa" w:w="200"/>
            </w:tcMar>
          </w:tcPr>
          <w:p>
            <w:pPr>
              <w:spacing w:before="0" w:after="80" w:line="276"/>
              <w:jc w:val="left"/>
            </w:pPr>
            <w:r>
              <w:rPr>
                <w:rFonts w:ascii="Arial" w:cs="Arial" w:eastAsia="Arial" w:hAnsi="Arial"/>
                <w:b/>
                <w:bCs/>
                <w:i w:val="false"/>
                <w:iCs w:val="false"/>
                <w:color w:val="1F3864"/>
                <w:sz w:val="22"/>
                <w:szCs w:val="22"/>
              </w:rPr>
              <w:t xml:space="preserve">Near-term (before board, March 19): stay on NetSuite, negotiate scope</w:t>
            </w:r>
          </w:p>
          <w:p>
            <w:pPr>
              <w:spacing w:before="0" w:after="80" w:line="276"/>
              <w:jc w:val="left"/>
            </w:pPr>
            <w:r>
              <w:rPr>
                <w:rFonts w:ascii="Arial" w:cs="Arial" w:eastAsia="Arial" w:hAnsi="Arial"/>
                <w:b w:val="false"/>
                <w:bCs w:val="false"/>
                <w:i w:val="false"/>
                <w:iCs w:val="false"/>
                <w:color w:val="1A1A1A"/>
                <w:sz w:val="19"/>
                <w:szCs w:val="19"/>
              </w:rPr>
              <w:t xml:space="preserve">Do not switch the SI the night before the board readout. Present the current plan. Use the next 5–7 days to force a Phase-1-only scope negotiation with NetSuite — O2C and Inventory deferred to Phase 2, priced separately. If NetSuite won't move on phasing or pricing, the CFGI SI option becomes the live fallback and can be brought forward with a clear rationale.</w:t>
            </w:r>
          </w:p>
        </w:tc>
      </w:tr>
    </w:tbl>
    <w:p>
      <w:pPr>
        <w:spacing w:before="0" w:after="100"/>
      </w:pPr>
      <w:r>
        <w:rPr>
          <w:rFonts w:ascii="Arial" w:cs="Arial" w:eastAsia="Arial" w:hAnsi="Arial"/>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B5E5E" w:sz="6"/>
              <w:left w:val="single" w:color="0B5E5E" w:sz="18"/>
              <w:bottom w:val="single" w:color="0B5E5E" w:sz="6"/>
              <w:right w:val="single" w:color="0B5E5E" w:sz="6"/>
            </w:tcBorders>
            <w:shd w:fill="D0EDEC" w:val="clear"/>
            <w:tcMar>
              <w:top w:type="dxa" w:w="160"/>
              <w:left w:type="dxa" w:w="200"/>
              <w:bottom w:type="dxa" w:w="160"/>
              <w:right w:type="dxa" w:w="200"/>
            </w:tcMar>
          </w:tcPr>
          <w:p>
            <w:pPr>
              <w:spacing w:before="0" w:after="80" w:line="276"/>
              <w:jc w:val="left"/>
            </w:pPr>
            <w:r>
              <w:rPr>
                <w:rFonts w:ascii="Arial" w:cs="Arial" w:eastAsia="Arial" w:hAnsi="Arial"/>
                <w:b/>
                <w:bCs/>
                <w:i w:val="false"/>
                <w:iCs w:val="false"/>
                <w:color w:val="0B5E5E"/>
                <w:sz w:val="22"/>
                <w:szCs w:val="22"/>
              </w:rPr>
              <w:t xml:space="preserve">Support layer: CFGI Local PMO (Walid) as primary; KPMG narrowed to controls only</w:t>
            </w:r>
          </w:p>
          <w:p>
            <w:pPr>
              <w:spacing w:before="0" w:after="80" w:line="276"/>
              <w:jc w:val="left"/>
            </w:pPr>
            <w:r>
              <w:rPr>
                <w:rFonts w:ascii="Arial" w:cs="Arial" w:eastAsia="Arial" w:hAnsi="Arial"/>
                <w:b w:val="false"/>
                <w:bCs w:val="false"/>
                <w:i w:val="false"/>
                <w:iCs w:val="false"/>
                <w:color w:val="1A1A1A"/>
                <w:sz w:val="19"/>
                <w:szCs w:val="19"/>
              </w:rPr>
              <w:t xml:space="preserve">This is Option B with a partial KPMG carve-out. Commit to Walid Bouassida as the Paris-based PMO lead — he already knows the Abivax controls landscape through the existing SOX work, he speaks the language, and his proposal (€100–125K) is the most cost-effective local coverage available. Then go back to KPMG and negotiate a narrowed scope: Olivia Berry for controls/SoD-by-design review and UAT sign-off, scoped at €70–100K rather than the full AMOA package. Total support layer: ~€170–225K vs €370K for KPMG full.</w:t>
            </w:r>
          </w:p>
        </w:tc>
      </w:tr>
    </w:tbl>
    <w:p>
      <w:pPr>
        <w:spacing w:before="0" w:after="160"/>
      </w:pPr>
      <w:r>
        <w:rPr>
          <w:rFonts w:ascii="Arial" w:cs="Arial" w:eastAsia="Arial" w:hAnsi="Arial"/>
          <w:b w:val="false"/>
          <w:bCs w:val="false"/>
          <w:i w:val="false"/>
          <w:iCs w:val="false"/>
          <w:color w:val="1A1A1A"/>
          <w:sz w:val="20"/>
          <w:szCs w:val="20"/>
        </w:rPr>
        <w:t xml:space="preserve"/>
      </w:r>
    </w:p>
    <w:p>
      <w:pPr>
        <w:pStyle w:val="Heading2"/>
        <w:spacing w:before="240" w:after="100"/>
      </w:pPr>
      <w:r>
        <w:rPr>
          <w:rFonts w:ascii="Arial" w:cs="Arial" w:eastAsia="Arial" w:hAnsi="Arial"/>
          <w:b/>
          <w:bCs/>
          <w:color w:val="2E5EA8"/>
          <w:sz w:val="24"/>
          <w:szCs w:val="24"/>
        </w:rPr>
        <w:t xml:space="preserve">What Not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8CDD3" w:sz="1"/>
              <w:left w:val="single" w:color="C8CDD3" w:sz="1"/>
              <w:bottom w:val="single" w:color="C8CDD3" w:sz="1"/>
              <w:right w:val="single" w:color="C8CDD3" w:sz="1"/>
            </w:tcBorders>
            <w:shd w:fill="8B1A1A"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8B1A1A"/>
                <w:sz w:val="20"/>
                <w:szCs w:val="20"/>
              </w:rPr>
              <w:t xml:space="preserve">✗</w:t>
            </w:r>
          </w:p>
        </w:tc>
        <w:tc>
          <w:tcPr>
            <w:tcW w:type="dxa" w:w="84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Don't buy the full KPMG AMOA at €370K.</w:t>
            </w:r>
            <w:r>
              <w:rPr>
                <w:rFonts w:ascii="Arial" w:cs="Arial" w:eastAsia="Arial" w:hAnsi="Arial"/>
                <w:sz w:val="19"/>
                <w:szCs w:val="19"/>
              </w:rPr>
              <w:t xml:space="preserve">  The PMO dashboarding and change management program are scope that Walid already covers for €100–125K.</w:t>
            </w:r>
          </w:p>
        </w:tc>
      </w:tr>
      <w:tr>
        <w:tc>
          <w:tcPr>
            <w:tcW w:type="dxa" w:w="600"/>
            <w:tcBorders>
              <w:top w:val="single" w:color="C8CDD3" w:sz="1"/>
              <w:left w:val="single" w:color="C8CDD3" w:sz="1"/>
              <w:bottom w:val="single" w:color="C8CDD3" w:sz="1"/>
              <w:right w:val="single" w:color="C8CDD3" w:sz="1"/>
            </w:tcBorders>
            <w:shd w:fill="8B1A1A"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8B1A1A"/>
                <w:sz w:val="20"/>
                <w:szCs w:val="20"/>
              </w:rPr>
              <w:t xml:space="preserve">✗</w:t>
            </w:r>
          </w:p>
        </w:tc>
        <w:tc>
          <w:tcPr>
            <w:tcW w:type="dxa" w:w="84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Don't treat CFGI's SI pitch as neutral advice.</w:t>
            </w:r>
            <w:r>
              <w:rPr>
                <w:rFonts w:ascii="Arial" w:cs="Arial" w:eastAsia="Arial" w:hAnsi="Arial"/>
                <w:sz w:val="19"/>
                <w:szCs w:val="19"/>
              </w:rPr>
              <w:t xml:space="preserve">  Kenneth Schatz's phasing argument is correct — but it is also self-interested. Use the argument; don't let it drive a hasty SI switch.</w:t>
            </w:r>
          </w:p>
        </w:tc>
      </w:tr>
      <w:tr>
        <w:tc>
          <w:tcPr>
            <w:tcW w:type="dxa" w:w="600"/>
            <w:tcBorders>
              <w:top w:val="single" w:color="C8CDD3" w:sz="1"/>
              <w:left w:val="single" w:color="C8CDD3" w:sz="1"/>
              <w:bottom w:val="single" w:color="C8CDD3" w:sz="1"/>
              <w:right w:val="single" w:color="C8CDD3" w:sz="1"/>
            </w:tcBorders>
            <w:shd w:fill="8B1A1A"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8B1A1A"/>
                <w:sz w:val="20"/>
                <w:szCs w:val="20"/>
              </w:rPr>
              <w:t xml:space="preserve">✗</w:t>
            </w:r>
          </w:p>
        </w:tc>
        <w:tc>
          <w:tcPr>
            <w:tcW w:type="dxa" w:w="84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Don't let the support layer sit open past March 26.</w:t>
            </w:r>
            <w:r>
              <w:rPr>
                <w:rFonts w:ascii="Arial" w:cs="Arial" w:eastAsia="Arial" w:hAnsi="Arial"/>
                <w:sz w:val="19"/>
                <w:szCs w:val="19"/>
              </w:rPr>
              <w:t xml:space="preserve">  April mobilization starts immediately after the board. The support team needs to be named before kickoff, not selected afterward.</w:t>
            </w:r>
          </w:p>
        </w:tc>
      </w:tr>
      <w:tr>
        <w:tc>
          <w:tcPr>
            <w:tcW w:type="dxa" w:w="600"/>
            <w:tcBorders>
              <w:top w:val="single" w:color="C8CDD3" w:sz="1"/>
              <w:left w:val="single" w:color="C8CDD3" w:sz="1"/>
              <w:bottom w:val="single" w:color="C8CDD3" w:sz="1"/>
              <w:right w:val="single" w:color="C8CDD3" w:sz="1"/>
            </w:tcBorders>
            <w:shd w:fill="8B1A1A"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8B1A1A"/>
                <w:sz w:val="20"/>
                <w:szCs w:val="20"/>
              </w:rPr>
              <w:t xml:space="preserve">✗</w:t>
            </w:r>
          </w:p>
        </w:tc>
        <w:tc>
          <w:tcPr>
            <w:tcW w:type="dxa" w:w="84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Don't leave scope ambiguous with NetSuite.</w:t>
            </w:r>
            <w:r>
              <w:rPr>
                <w:rFonts w:ascii="Arial" w:cs="Arial" w:eastAsia="Arial" w:hAnsi="Arial"/>
                <w:sz w:val="19"/>
                <w:szCs w:val="19"/>
              </w:rPr>
              <w:t xml:space="preserve">  Sign a Phase-1-only SOW. O2C and Inventory commitments don't belong in the April 2026 contract.</w:t>
            </w:r>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Personal Positioning — Honest Assessment</w:t>
      </w:r>
    </w:p>
    <w:p>
      <w:pPr>
        <w:spacing w:before="0" w:after="120" w:line="276"/>
        <w:jc w:val="left"/>
      </w:pPr>
      <w:r>
        <w:rPr>
          <w:rFonts w:ascii="Arial" w:cs="Arial" w:eastAsia="Arial" w:hAnsi="Arial"/>
          <w:b w:val="false"/>
          <w:bCs w:val="false"/>
          <w:i/>
          <w:iCs/>
          <w:color w:val="6C757D"/>
          <w:sz w:val="19"/>
          <w:szCs w:val="19"/>
        </w:rPr>
        <w:t xml:space="preserve">You asked directly. Here is a direct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B0082" w:sz="6"/>
              <w:left w:val="single" w:color="4B0082" w:sz="18"/>
              <w:bottom w:val="single" w:color="4B0082" w:sz="6"/>
              <w:right w:val="single" w:color="4B0082" w:sz="6"/>
            </w:tcBorders>
            <w:shd w:fill="EDE7F6" w:val="clear"/>
            <w:tcMar>
              <w:top w:type="dxa" w:w="160"/>
              <w:left w:type="dxa" w:w="200"/>
              <w:bottom w:type="dxa" w:w="160"/>
              <w:right w:type="dxa" w:w="200"/>
            </w:tcMar>
          </w:tcPr>
          <w:p>
            <w:pPr>
              <w:spacing w:before="0" w:after="80" w:line="276"/>
              <w:jc w:val="left"/>
            </w:pPr>
            <w:r>
              <w:rPr>
                <w:rFonts w:ascii="Arial" w:cs="Arial" w:eastAsia="Arial" w:hAnsi="Arial"/>
                <w:b/>
                <w:bCs/>
                <w:i w:val="false"/>
                <w:iCs w:val="false"/>
                <w:color w:val="1F3864"/>
                <w:sz w:val="21"/>
                <w:szCs w:val="21"/>
              </w:rPr>
              <w:t xml:space="preserve">The CFGI relationship is more durable career capital than KPMG France</w:t>
            </w:r>
          </w:p>
          <w:p>
            <w:pPr>
              <w:spacing w:before="0" w:after="80" w:line="276"/>
              <w:jc w:val="left"/>
            </w:pPr>
            <w:r>
              <w:rPr>
                <w:rFonts w:ascii="Arial" w:cs="Arial" w:eastAsia="Arial" w:hAnsi="Arial"/>
                <w:b w:val="false"/>
                <w:bCs w:val="false"/>
                <w:i w:val="false"/>
                <w:iCs w:val="false"/>
                <w:color w:val="1A1A1A"/>
                <w:sz w:val="19"/>
                <w:szCs w:val="19"/>
              </w:rPr>
              <w:t xml:space="preserve">CFGI operates in the same professional circles you will move through regardless of what happens with Abivax. They cover life sciences IPO readiness, SOX advisory, and ERP implementation for exactly the kind of company Abivax is and the next company you are likely to work with. If Abivax sells or you move on after Jan 2027, the CFGI relationship is portable — Ken Schatz and that team will remember you as the person who brought them a live program.</w:t>
            </w:r>
          </w:p>
          <w:p>
            <w:pPr>
              <w:spacing w:before="0" w:after="80" w:line="276"/>
              <w:jc w:val="left"/>
            </w:pPr>
            <w:r>
              <w:rPr>
                <w:rFonts w:ascii="Arial" w:cs="Arial" w:eastAsia="Arial" w:hAnsi="Arial"/>
                <w:b w:val="false"/>
                <w:bCs w:val="false"/>
                <w:i w:val="false"/>
                <w:iCs w:val="false"/>
                <w:color w:val="1A1A1A"/>
                <w:sz w:val="19"/>
                <w:szCs w:val="19"/>
              </w:rPr>
              <w:t xml:space="preserve">KPMG France relationships do not travel well to a US career context. The people you would know are French-based practitioners in a Big 4 local structure. They are not the network that helps you find the next CFO advisory or Audit Committee engagement.</w:t>
            </w:r>
          </w:p>
          <w:p>
            <w:pPr>
              <w:spacing w:before="0" w:after="80" w:line="276"/>
              <w:jc w:val="left"/>
            </w:pPr>
            <w:r>
              <w:rPr>
                <w:rFonts w:ascii="Arial" w:cs="Arial" w:eastAsia="Arial" w:hAnsi="Arial"/>
                <w:b w:val="false"/>
                <w:bCs w:val="false"/>
                <w:i w:val="false"/>
                <w:iCs w:val="false"/>
                <w:color w:val="1A1A1A"/>
                <w:sz w:val="19"/>
                <w:szCs w:val="19"/>
              </w:rPr>
              <w:t xml:space="preserve">That said — don't let career positioning drive a bad program decision. If you back CFGI as SI and they underdeliver on the implementation, the program failure follows you more visibly than the relationship helps. The sequence that serves you best: </w:t>
            </w:r>
            <w:r>
              <w:rPr>
                <w:rFonts w:ascii="Arial" w:cs="Arial" w:eastAsia="Arial" w:hAnsi="Arial"/>
                <w:b/>
                <w:bCs/>
                <w:i w:val="false"/>
                <w:iCs w:val="false"/>
                <w:color w:val="1A1A1A"/>
                <w:sz w:val="19"/>
                <w:szCs w:val="19"/>
              </w:rPr>
              <w:t xml:space="preserve">keep CFGI close via the Walid PMO role and the existing SOX mandate, prove out their implementation capability through the negotiation and references process, and only hand them the SI work if the evidence supports it.</w:t>
            </w:r>
          </w:p>
          <w:p>
            <w:pPr>
              <w:spacing w:before="0" w:after="80" w:line="276"/>
              <w:jc w:val="left"/>
            </w:pPr>
            <w:r>
              <w:rPr>
                <w:rFonts w:ascii="Arial" w:cs="Arial" w:eastAsia="Arial" w:hAnsi="Arial"/>
                <w:b w:val="false"/>
                <w:bCs w:val="false"/>
                <w:i w:val="false"/>
                <w:iCs w:val="false"/>
                <w:color w:val="1A1A1A"/>
                <w:sz w:val="19"/>
                <w:szCs w:val="19"/>
              </w:rPr>
              <w:t xml:space="preserve">The French team relationships — KPMG or otherwise — give you very little leverage. You are right about that. The finance team in Paris will have friction regardless of who the vendors are; that is structural, not personal. What helps you in France is having someone (Walid) trusted by the local team who absorbs the friction before it reaches you. That is worth buying.</w:t>
            </w:r>
          </w:p>
        </w:tc>
      </w:tr>
    </w:tbl>
    <w:p>
      <w:pPr>
        <w:spacing w:before="0" w:after="260"/>
      </w:pPr>
      <w:r>
        <w:rPr>
          <w:rFonts w:ascii="Arial" w:cs="Arial" w:eastAsia="Arial" w:hAnsi="Arial"/>
          <w:b w:val="false"/>
          <w:bCs w:val="false"/>
          <w:i w:val="false"/>
          <w:iCs w:val="false"/>
          <w:color w:val="1A1A1A"/>
          <w:sz w:val="20"/>
          <w:szCs w:val="20"/>
        </w:rPr>
        <w:t xml:space="preserve"/>
      </w:r>
    </w:p>
    <w:p>
      <w:pPr>
        <w:pStyle w:val="Heading1"/>
        <w:spacing w:before="300" w:after="140"/>
      </w:pPr>
      <w:r>
        <w:rPr>
          <w:rFonts w:ascii="Arial" w:cs="Arial" w:eastAsia="Arial" w:hAnsi="Arial"/>
          <w:b/>
          <w:bCs/>
          <w:color w:val="1F3864"/>
          <w:sz w:val="28"/>
          <w:szCs w:val="28"/>
        </w:rPr>
        <w:t xml:space="preserve">Immediate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1F3864"/>
                <w:sz w:val="20"/>
                <w:szCs w:val="20"/>
              </w:rPr>
              <w:t xml:space="preserve">1</w:t>
            </w:r>
          </w:p>
        </w:tc>
        <w:tc>
          <w:tcPr>
            <w:tcW w:type="dxa" w:w="84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Board readout tomorrow (Mar 19):</w:t>
            </w:r>
            <w:r>
              <w:rPr>
                <w:rFonts w:ascii="Arial" w:cs="Arial" w:eastAsia="Arial" w:hAnsi="Arial"/>
                <w:sz w:val="19"/>
                <w:szCs w:val="19"/>
              </w:rPr>
              <w:t xml:space="preserve">  Present current plan. No SI switch language. Focus on phasing discipline and governance structure.</w:t>
            </w:r>
          </w:p>
        </w:tc>
      </w:tr>
      <w:tr>
        <w:tc>
          <w:tcPr>
            <w:tcW w:type="dxa" w:w="6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1F3864"/>
                <w:sz w:val="20"/>
                <w:szCs w:val="20"/>
              </w:rPr>
              <w:t xml:space="preserve">2</w:t>
            </w:r>
          </w:p>
        </w:tc>
        <w:tc>
          <w:tcPr>
            <w:tcW w:type="dxa" w:w="84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This week — NetSuite negotiation:</w:t>
            </w:r>
            <w:r>
              <w:rPr>
                <w:rFonts w:ascii="Arial" w:cs="Arial" w:eastAsia="Arial" w:hAnsi="Arial"/>
                <w:sz w:val="19"/>
                <w:szCs w:val="19"/>
              </w:rPr>
              <w:t xml:space="preserve">  Push for Phase-1-only SOW: R2R, P2P, 5 integrations, multi-book. O2C and Inventory to Phase 2. Get revised pricing.</w:t>
            </w:r>
          </w:p>
        </w:tc>
      </w:tr>
      <w:tr>
        <w:tc>
          <w:tcPr>
            <w:tcW w:type="dxa" w:w="6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1F3864"/>
                <w:sz w:val="20"/>
                <w:szCs w:val="20"/>
              </w:rPr>
              <w:t xml:space="preserve">3</w:t>
            </w:r>
          </w:p>
        </w:tc>
        <w:tc>
          <w:tcPr>
            <w:tcW w:type="dxa" w:w="84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This week — reference calls:</w:t>
            </w:r>
            <w:r>
              <w:rPr>
                <w:rFonts w:ascii="Arial" w:cs="Arial" w:eastAsia="Arial" w:hAnsi="Arial"/>
                <w:sz w:val="19"/>
                <w:szCs w:val="19"/>
              </w:rPr>
              <w:t xml:space="preserve">  Use the question bank from the repo. Confirm named delivery lead, France-side coverage, multi-GAAP experience, and whether the team stayed through go-live on comparable deals.</w:t>
            </w:r>
          </w:p>
        </w:tc>
      </w:tr>
      <w:tr>
        <w:tc>
          <w:tcPr>
            <w:tcW w:type="dxa" w:w="6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1F3864"/>
                <w:sz w:val="20"/>
                <w:szCs w:val="20"/>
              </w:rPr>
              <w:t xml:space="preserve">4</w:t>
            </w:r>
          </w:p>
        </w:tc>
        <w:tc>
          <w:tcPr>
            <w:tcW w:type="dxa" w:w="84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Before Mar 26 — support layer decision:</w:t>
            </w:r>
            <w:r>
              <w:rPr>
                <w:rFonts w:ascii="Arial" w:cs="Arial" w:eastAsia="Arial" w:hAnsi="Arial"/>
                <w:sz w:val="19"/>
                <w:szCs w:val="19"/>
              </w:rPr>
              <w:t xml:space="preserve">  Engage Walid Bouassida on the CFGI PMO proposal. Parallel: go back to KPMG and propose a narrowed controls-only scope (Olivia Berry, UAT sign-off). Get revised pricing from both.</w:t>
            </w:r>
          </w:p>
        </w:tc>
      </w:tr>
      <w:tr>
        <w:tc>
          <w:tcPr>
            <w:tcW w:type="dxa" w:w="6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1F3864"/>
                <w:sz w:val="20"/>
                <w:szCs w:val="20"/>
              </w:rPr>
              <w:t xml:space="preserve">5</w:t>
            </w:r>
          </w:p>
        </w:tc>
        <w:tc>
          <w:tcPr>
            <w:tcW w:type="dxa" w:w="8426"/>
            <w:tcBorders>
              <w:top w:val="single" w:color="C8CDD3" w:sz="1"/>
              <w:left w:val="single" w:color="C8CDD3" w:sz="1"/>
              <w:bottom w:val="single" w:color="C8CDD3" w:sz="1"/>
              <w:right w:val="single" w:color="C8CDD3" w:sz="1"/>
            </w:tcBorders>
            <w:shd w:fill="FFFFFF"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If NetSuite won't phase the scope by Mar 26:</w:t>
            </w:r>
            <w:r>
              <w:rPr>
                <w:rFonts w:ascii="Arial" w:cs="Arial" w:eastAsia="Arial" w:hAnsi="Arial"/>
                <w:sz w:val="19"/>
                <w:szCs w:val="19"/>
              </w:rPr>
              <w:t xml:space="preserve">  Activate CFGI SI option formally. Run the SI decision in parallel with April mobilization prep. Board chair notification may be required.</w:t>
            </w:r>
          </w:p>
        </w:tc>
      </w:tr>
      <w:tr>
        <w:tc>
          <w:tcPr>
            <w:tcW w:type="dxa" w:w="600"/>
            <w:tcBorders>
              <w:top w:val="single" w:color="C8CDD3" w:sz="1"/>
              <w:left w:val="single" w:color="C8CDD3" w:sz="1"/>
              <w:bottom w:val="single" w:color="C8CDD3" w:sz="1"/>
              <w:right w:val="single" w:color="C8CDD3" w:sz="1"/>
            </w:tcBorders>
            <w:shd w:fill="1F3864" w:val="clear"/>
            <w:tcMar>
              <w:top w:type="dxa" w:w="90"/>
              <w:left w:type="dxa" w:w="140"/>
              <w:bottom w:type="dxa" w:w="90"/>
              <w:right w:type="dxa" w:w="140"/>
            </w:tcMar>
            <w:vAlign w:val="center"/>
          </w:tcPr>
          <w:p>
            <w:pPr>
              <w:spacing w:before="0" w:after="80" w:line="276"/>
              <w:jc w:val="center"/>
            </w:pPr>
            <w:r>
              <w:rPr>
                <w:rFonts w:ascii="Arial" w:cs="Arial" w:eastAsia="Arial" w:hAnsi="Arial"/>
                <w:b/>
                <w:bCs/>
                <w:color w:val="1F3864"/>
                <w:sz w:val="20"/>
                <w:szCs w:val="20"/>
              </w:rPr>
              <w:t xml:space="preserve">6</w:t>
            </w:r>
          </w:p>
        </w:tc>
        <w:tc>
          <w:tcPr>
            <w:tcW w:type="dxa" w:w="8426"/>
            <w:tcBorders>
              <w:top w:val="single" w:color="C8CDD3" w:sz="1"/>
              <w:left w:val="single" w:color="C8CDD3" w:sz="1"/>
              <w:bottom w:val="single" w:color="C8CDD3" w:sz="1"/>
              <w:right w:val="single" w:color="C8CDD3" w:sz="1"/>
            </w:tcBorders>
            <w:shd w:fill="F5F6F8" w:val="clear"/>
            <w:tcMar>
              <w:top w:type="dxa" w:w="90"/>
              <w:left w:type="dxa" w:w="140"/>
              <w:bottom w:type="dxa" w:w="90"/>
              <w:right w:type="dxa" w:w="140"/>
            </w:tcMar>
          </w:tcPr>
          <w:p>
            <w:pPr>
              <w:spacing w:before="0" w:after="80" w:line="276"/>
              <w:jc w:val="left"/>
            </w:pPr>
            <w:r>
              <w:rPr>
                <w:rFonts w:ascii="Arial" w:cs="Arial" w:eastAsia="Arial" w:hAnsi="Arial"/>
                <w:b/>
                <w:bCs/>
                <w:sz w:val="19"/>
                <w:szCs w:val="19"/>
              </w:rPr>
              <w:t xml:space="preserve">April 2026 — mobilization:</w:t>
            </w:r>
            <w:r>
              <w:rPr>
                <w:rFonts w:ascii="Arial" w:cs="Arial" w:eastAsia="Arial" w:hAnsi="Arial"/>
                <w:sz w:val="19"/>
                <w:szCs w:val="19"/>
              </w:rPr>
              <w:t xml:space="preserve">  Named SI team leads confirmed in writing before kickoff. Walid and controls lead both on-boarded. RACI locked.</w:t>
            </w:r>
          </w:p>
        </w:tc>
      </w:tr>
    </w:tbl>
    <w:p>
      <w:pPr>
        <w:spacing w:before="0" w:after="300"/>
      </w:pPr>
      <w:r>
        <w:rPr>
          <w:rFonts w:ascii="Arial" w:cs="Arial" w:eastAsia="Arial" w:hAnsi="Arial"/>
          <w:b w:val="false"/>
          <w:bCs w:val="false"/>
          <w:i w:val="false"/>
          <w:iCs w:val="false"/>
          <w:color w:val="1A1A1A"/>
          <w:sz w:val="20"/>
          <w:szCs w:val="20"/>
        </w:rPr>
        <w:t xml:space="preserve"/>
      </w:r>
    </w:p>
    <w:p>
      <w:pPr>
        <w:pBdr>
          <w:top w:val="single" w:color="E8EAED" w:sz="2"/>
        </w:pBdr>
        <w:spacing w:before="120" w:after="0"/>
      </w:pPr>
      <w:r>
        <w:rPr>
          <w:rFonts w:ascii="Arial" w:cs="Arial" w:eastAsia="Arial" w:hAnsi="Arial"/>
          <w:b w:val="false"/>
          <w:bCs w:val="false"/>
          <w:i w:val="false"/>
          <w:iCs w:val="false"/>
          <w:color w:val="6C757D"/>
          <w:sz w:val="15"/>
          <w:szCs w:val="15"/>
        </w:rPr>
        <w:t xml:space="preserve">Prepared for internal decision-making. Source data from repo as of March 18, 2026 (consultant_reviews.json, vendor-assets READMEs, codex-handoff-vendor-comparison-2026-03-18.md). Commercial figures from vendor proposals; VAT not included. This document does not constitute legal or financial advice.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4"/>
      </w:pBdr>
      <w:tabs>
        <w:tab w:val="right" w:pos="9026"/>
      </w:tabs>
      <w:spacing w:before="80"/>
    </w:pPr>
    <w:r>
      <w:rPr>
        <w:rFonts w:ascii="Arial" w:cs="Arial" w:eastAsia="Arial" w:hAnsi="Arial"/>
        <w:b w:val="false"/>
        <w:bCs w:val="false"/>
        <w:i w:val="false"/>
        <w:iCs w:val="false"/>
        <w:color w:val="6C757D"/>
        <w:sz w:val="16"/>
        <w:szCs w:val="16"/>
      </w:rPr>
      <w:t xml:space="preserve">Abivax ERP Program  |  Mike Markman</w:t>
    </w:r>
    <w:r>
      <w:rPr>
        <w:rFonts w:ascii="Arial" w:cs="Arial" w:eastAsia="Arial" w:hAnsi="Arial"/>
        <w:b w:val="false"/>
        <w:bCs w:val="false"/>
        <w:i w:val="false"/>
        <w:iCs w:val="false"/>
        <w:color w:val="1A1A1A"/>
        <w:sz w:val="16"/>
        <w:szCs w:val="16"/>
      </w:rPr>
      <w:t xml:space="preserve">	</w:t>
    </w:r>
    <w:r>
      <w:rPr>
        <w:rFonts w:ascii="Arial" w:cs="Arial" w:eastAsia="Arial" w:hAnsi="Arial"/>
        <w:b w:val="false"/>
        <w:bCs w:val="false"/>
        <w:i w:val="false"/>
        <w:iCs w:val="false"/>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4"/>
      </w:pBdr>
      <w:spacing w:after="0"/>
      <w:jc w:val="right"/>
    </w:pPr>
    <w:r>
      <w:rPr>
        <w:rFonts w:ascii="Arial" w:cs="Arial" w:eastAsia="Arial" w:hAnsi="Arial"/>
        <w:b w:val="false"/>
        <w:bCs w:val="false"/>
        <w:i w:val="false"/>
        <w:iCs w:val="false"/>
        <w:color w:val="6C757D"/>
        <w:sz w:val="16"/>
        <w:szCs w:val="16"/>
      </w:rPr>
      <w:t xml:space="preserve">CONFIDENTIAL  |  ERP Vendor Decision — Revised Analysis (V2)  |  March 18,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EA8"/>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2026-03-18T09:39:48.196Z</dcterms:created>
  <dcterms:modified xsi:type="dcterms:W3CDTF">2026-03-18T09:39:48.196Z</dcterms:modified>
</cp:coreProperties>
</file>

<file path=docProps/custom.xml><?xml version="1.0" encoding="utf-8"?>
<Properties xmlns="http://schemas.openxmlformats.org/officeDocument/2006/custom-properties" xmlns:vt="http://schemas.openxmlformats.org/officeDocument/2006/docPropsVTypes"/>
</file>