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EA8" w:sz="6" w:space="8"/>
        </w:pBdr>
        <w:spacing w:before="0" w:after="160"/>
      </w:pPr>
      <w:r>
        <w:rPr>
          <w:rFonts w:ascii="Arial" w:cs="Arial" w:eastAsia="Arial" w:hAnsi="Arial"/>
          <w:b/>
          <w:bCs/>
          <w:i w:val="false"/>
          <w:iCs w:val="false"/>
          <w:color w:val="1F3864"/>
          <w:sz w:val="34"/>
          <w:szCs w:val="34"/>
        </w:rPr>
        <w:t xml:space="preserve">ERP Program — Delivery Model and Budget</w:t>
      </w:r>
    </w:p>
    <w:p>
      <w:pPr>
        <w:spacing w:before="0" w:after="60" w:line="276"/>
        <w:jc w:val="left"/>
      </w:pPr>
      <w:r>
        <w:rPr>
          <w:rFonts w:ascii="Arial" w:cs="Arial" w:eastAsia="Arial" w:hAnsi="Arial"/>
          <w:b/>
          <w:bCs/>
          <w:i w:val="false"/>
          <w:iCs w:val="false"/>
          <w:color w:val="2E5EA8"/>
          <w:sz w:val="20"/>
          <w:szCs w:val="20"/>
        </w:rPr>
        <w:t xml:space="preserve">Audit Committee Briefing  |  March 2026</w:t>
      </w:r>
    </w:p>
    <w:p>
      <w:pPr>
        <w:spacing w:before="0" w:after="280" w:line="276"/>
        <w:jc w:val="left"/>
      </w:pPr>
      <w:r>
        <w:rPr>
          <w:rFonts w:ascii="Arial" w:cs="Arial" w:eastAsia="Arial" w:hAnsi="Arial"/>
          <w:b w:val="false"/>
          <w:bCs w:val="false"/>
          <w:i w:val="false"/>
          <w:iCs w:val="false"/>
          <w:color w:val="6C757D"/>
          <w:sz w:val="17"/>
          <w:szCs w:val="17"/>
        </w:rPr>
        <w:t xml:space="preserve">Prepared by: Mike Markman, ERP Project Director  |  Sponsor: Didier Blondel, CFO</w:t>
      </w:r>
    </w:p>
    <w:p>
      <w:pPr>
        <w:pStyle w:val="Heading1"/>
        <w:spacing w:before="300" w:after="140"/>
      </w:pPr>
      <w:r>
        <w:rPr>
          <w:rFonts w:ascii="Arial" w:cs="Arial" w:eastAsia="Arial" w:hAnsi="Arial"/>
          <w:b/>
          <w:bCs/>
          <w:color w:val="1F3864"/>
          <w:sz w:val="28"/>
          <w:szCs w:val="28"/>
        </w:rPr>
        <w:t xml:space="preserve">Executive Summary</w:t>
      </w:r>
    </w:p>
    <w:p>
      <w:pPr>
        <w:spacing w:before="0" w:after="80" w:line="276"/>
        <w:jc w:val="left"/>
      </w:pPr>
      <w:r>
        <w:rPr>
          <w:rFonts w:ascii="Arial" w:cs="Arial" w:eastAsia="Arial" w:hAnsi="Arial"/>
          <w:b w:val="false"/>
          <w:bCs w:val="false"/>
          <w:i w:val="false"/>
          <w:iCs w:val="false"/>
          <w:color w:val="1A1A1A"/>
          <w:sz w:val="20"/>
          <w:szCs w:val="20"/>
        </w:rPr>
        <w:t xml:space="preserve">Abivax selected NetSuite (Oracle) as its ERP platform on February 26, 2026 following a structured RFP process. The program targets a January 1, 2027 go-live, with implementation scope focused on core financial operations — Record to Report, Procure to Pay, and multi-entity / multi-GAAP consolidation to support the company's French and US reporting requirements.</w:t>
      </w:r>
    </w:p>
    <w:p>
      <w:pPr>
        <w:spacing w:before="0" w:after="80" w:line="276"/>
        <w:jc w:val="left"/>
      </w:pPr>
      <w:r>
        <w:rPr>
          <w:rFonts w:ascii="Arial" w:cs="Arial" w:eastAsia="Arial" w:hAnsi="Arial"/>
          <w:b w:val="false"/>
          <w:bCs w:val="false"/>
          <w:i w:val="false"/>
          <w:iCs w:val="false"/>
          <w:color w:val="1A1A1A"/>
          <w:sz w:val="20"/>
          <w:szCs w:val="20"/>
        </w:rPr>
        <w:t xml:space="preserve">This briefing documents the final delivery model, the program support structure, and the approved budget including a management reserve. The model has been designed to protect the January 1, 2027 deadline, embed SOX controls into the solution design from the outset, and maintain clear accountability across the implementation team and Abivax's internal program leadership.</w:t>
      </w:r>
    </w:p>
    <w:p>
      <w:pPr>
        <w:spacing w:before="0" w:after="60"/>
      </w:pPr>
      <w:r>
        <w:rPr>
          <w:rFonts w:ascii="Arial" w:cs="Arial" w:eastAsia="Arial" w:hAnsi="Arial"/>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6"/>
              <w:left w:val="single" w:color="1F3864" w:sz="18"/>
              <w:bottom w:val="single" w:color="1F3864" w:sz="6"/>
              <w:right w:val="single" w:color="1F3864" w:sz="6"/>
            </w:tcBorders>
            <w:shd w:fill="D6E4F7" w:val="clear"/>
            <w:tcMar>
              <w:top w:type="dxa" w:w="160"/>
              <w:left w:type="dxa" w:w="200"/>
              <w:bottom w:type="dxa" w:w="160"/>
              <w:right w:type="dxa" w:w="200"/>
            </w:tcMar>
          </w:tcPr>
          <w:p>
            <w:pPr>
              <w:spacing w:before="0" w:after="80" w:line="276"/>
              <w:jc w:val="left"/>
            </w:pPr>
            <w:r>
              <w:rPr>
                <w:rFonts w:ascii="Arial" w:cs="Arial" w:eastAsia="Arial" w:hAnsi="Arial"/>
                <w:b/>
                <w:bCs/>
                <w:i w:val="false"/>
                <w:iCs w:val="false"/>
                <w:color w:val="1F3864"/>
                <w:sz w:val="20"/>
                <w:szCs w:val="20"/>
              </w:rPr>
              <w:t xml:space="preserve">Key decisions confirmed</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600"/>
              <w:gridCol w:w="6026"/>
            </w:tblGrid>
            <w:tr>
              <w:tc>
                <w:tcPr>
                  <w:tcW w:type="dxa" w:w="2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System selected</w:t>
                  </w:r>
                </w:p>
              </w:tc>
              <w:tc>
                <w:tcPr>
                  <w:tcW w:type="dxa" w:w="60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NetSuite (Oracle) — SuiteSuccess Financials Premium</w:t>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600"/>
              <w:gridCol w:w="6026"/>
            </w:tblGrid>
            <w:tr>
              <w:tc>
                <w:tcPr>
                  <w:tcW w:type="dxa" w:w="26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Implementation model</w:t>
                  </w:r>
                </w:p>
              </w:tc>
              <w:tc>
                <w:tcPr>
                  <w:tcW w:type="dxa" w:w="60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NetSuite Customer Success as SI, Paris-based European delivery team</w:t>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600"/>
              <w:gridCol w:w="6026"/>
            </w:tblGrid>
            <w:tr>
              <w:tc>
                <w:tcPr>
                  <w:tcW w:type="dxa" w:w="2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Program support</w:t>
                  </w:r>
                </w:p>
              </w:tc>
              <w:tc>
                <w:tcPr>
                  <w:tcW w:type="dxa" w:w="60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CFGI — integrated controls oversight, program governance, and change management</w:t>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600"/>
              <w:gridCol w:w="6026"/>
            </w:tblGrid>
            <w:tr>
              <w:tc>
                <w:tcPr>
                  <w:tcW w:type="dxa" w:w="26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Phase 1 scope</w:t>
                  </w:r>
                </w:p>
              </w:tc>
              <w:tc>
                <w:tcPr>
                  <w:tcW w:type="dxa" w:w="60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Record to Report, Procure to Pay, multi-entity, multi-GAAP (IFRS / French GAAP / US GAAP)</w:t>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600"/>
              <w:gridCol w:w="6026"/>
            </w:tblGrid>
            <w:tr>
              <w:tc>
                <w:tcPr>
                  <w:tcW w:type="dxa" w:w="2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Go-live target</w:t>
                  </w:r>
                </w:p>
              </w:tc>
              <w:tc>
                <w:tcPr>
                  <w:tcW w:type="dxa" w:w="60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January 1, 2027</w:t>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600"/>
              <w:gridCol w:w="6026"/>
            </w:tblGrid>
            <w:tr>
              <w:tc>
                <w:tcPr>
                  <w:tcW w:type="dxa" w:w="26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Total budget (with reserve)</w:t>
                  </w:r>
                </w:p>
              </w:tc>
              <w:tc>
                <w:tcPr>
                  <w:tcW w:type="dxa" w:w="60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€ 999,936 — see Section 5</w:t>
                  </w:r>
                </w:p>
              </w:tc>
            </w:tr>
          </w:tbl>
          <w:p/>
        </w:tc>
      </w:tr>
    </w:tbl>
    <w:p>
      <w:pPr>
        <w:spacing w:before="0" w:after="260"/>
      </w:pPr>
      <w:r>
        <w:rPr>
          <w:rFonts w:ascii="Arial" w:cs="Arial" w:eastAsia="Arial" w:hAnsi="Arial"/>
          <w:b w:val="false"/>
          <w:bCs w:val="false"/>
          <w:i w:val="false"/>
          <w:iCs w:val="false"/>
          <w:color w:val="1A1A1A"/>
          <w:sz w:val="20"/>
          <w:szCs w:val="20"/>
        </w:rPr>
        <w:t xml:space="preserve"/>
      </w:r>
    </w:p>
    <w:p>
      <w:pPr>
        <w:pStyle w:val="Heading1"/>
        <w:spacing w:before="300" w:after="140"/>
      </w:pPr>
      <w:r>
        <w:rPr>
          <w:rFonts w:ascii="Arial" w:cs="Arial" w:eastAsia="Arial" w:hAnsi="Arial"/>
          <w:b/>
          <w:bCs/>
          <w:color w:val="1F3864"/>
          <w:sz w:val="28"/>
          <w:szCs w:val="28"/>
        </w:rPr>
        <w:t xml:space="preserve">System Selection</w:t>
      </w:r>
    </w:p>
    <w:p>
      <w:pPr>
        <w:spacing w:before="0" w:after="80" w:line="276"/>
        <w:jc w:val="left"/>
      </w:pPr>
      <w:r>
        <w:rPr>
          <w:rFonts w:ascii="Arial" w:cs="Arial" w:eastAsia="Arial" w:hAnsi="Arial"/>
          <w:b w:val="false"/>
          <w:bCs w:val="false"/>
          <w:i w:val="false"/>
          <w:iCs w:val="false"/>
          <w:color w:val="1A1A1A"/>
          <w:sz w:val="20"/>
          <w:szCs w:val="20"/>
        </w:rPr>
        <w:t xml:space="preserve">NetSuite was selected over SAP following an RFP process managed with KPMG advisory support. The decision was based on total cost of ownership, fit with Abivax's current operational scale, implementation timeline, and the quality of the implementation model for a company of this size and complexity.</w:t>
      </w:r>
    </w:p>
    <w:p>
      <w:pPr>
        <w:spacing w:before="0" w:after="40" w:line="276"/>
        <w:jc w:val="left"/>
      </w:pPr>
      <w:r>
        <w:rPr>
          <w:rFonts w:ascii="Arial" w:cs="Arial" w:eastAsia="Arial" w:hAnsi="Arial"/>
          <w:b w:val="false"/>
          <w:bCs w:val="false"/>
          <w:i w:val="false"/>
          <w:iCs w:val="false"/>
          <w:color w:val="1A1A1A"/>
          <w:sz w:val="20"/>
          <w:szCs w:val="20"/>
        </w:rPr>
        <w:t xml:space="preserve">Key selection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Factor</w:t>
            </w:r>
          </w:p>
        </w:tc>
        <w:tc>
          <w:tcPr>
            <w:tcW w:type="dxa" w:w="6026"/>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NetSuite Outcome</w:t>
            </w:r>
          </w:p>
        </w:tc>
      </w:tr>
      <w:tr>
        <w:tc>
          <w:tcPr>
            <w:tcW w:type="dxa" w:w="3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Multi-GAAP reporting</w:t>
            </w:r>
          </w:p>
        </w:tc>
        <w:tc>
          <w:tcPr>
            <w:tcW w:type="dxa" w:w="60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Native multi-book support for IFRS, French GAAP, and US GAAP in a single system — critical for dual-footprint reporting</w:t>
            </w:r>
          </w:p>
        </w:tc>
      </w:tr>
      <w:tr>
        <w:tc>
          <w:tcPr>
            <w:tcW w:type="dxa" w:w="30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Multi-entity consolidation</w:t>
            </w:r>
          </w:p>
        </w:tc>
        <w:tc>
          <w:tcPr>
            <w:tcW w:type="dxa" w:w="60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OneWorld module supports Abivax parent and two subsidiaries (France, US) with automated intercompany eliminations</w:t>
            </w:r>
          </w:p>
        </w:tc>
      </w:tr>
      <w:tr>
        <w:tc>
          <w:tcPr>
            <w:tcW w:type="dxa" w:w="3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Implementation team</w:t>
            </w:r>
          </w:p>
        </w:tc>
        <w:tc>
          <w:tcPr>
            <w:tcW w:type="dxa" w:w="60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Paris-based European delivery team with multi-GAAP experience; on-site presence for milestones</w:t>
            </w:r>
          </w:p>
        </w:tc>
      </w:tr>
      <w:tr>
        <w:tc>
          <w:tcPr>
            <w:tcW w:type="dxa" w:w="30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SOX readiness</w:t>
            </w:r>
          </w:p>
        </w:tc>
        <w:tc>
          <w:tcPr>
            <w:tcW w:type="dxa" w:w="60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SuiteSuccess delivery model includes controls and SoD design as part of standard scope</w:t>
            </w:r>
          </w:p>
        </w:tc>
      </w:tr>
      <w:tr>
        <w:tc>
          <w:tcPr>
            <w:tcW w:type="dxa" w:w="3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Total cost vs SAP</w:t>
            </w:r>
          </w:p>
        </w:tc>
        <w:tc>
          <w:tcPr>
            <w:tcW w:type="dxa" w:w="60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Materially lower across Year 1 and 5-year horizon</w:t>
            </w:r>
          </w:p>
        </w:tc>
      </w:tr>
      <w:tr>
        <w:tc>
          <w:tcPr>
            <w:tcW w:type="dxa" w:w="30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Timeline to Jan 1, 2027</w:t>
            </w:r>
          </w:p>
        </w:tc>
        <w:tc>
          <w:tcPr>
            <w:tcW w:type="dxa" w:w="60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Confirmed achievable under SuiteSuccess model; April 2026 kickoff assumed</w:t>
            </w:r>
          </w:p>
        </w:tc>
      </w:tr>
    </w:tbl>
    <w:p>
      <w:pPr>
        <w:spacing w:before="0" w:after="260"/>
      </w:pPr>
      <w:r>
        <w:rPr>
          <w:rFonts w:ascii="Arial" w:cs="Arial" w:eastAsia="Arial" w:hAnsi="Arial"/>
          <w:b w:val="false"/>
          <w:bCs w:val="false"/>
          <w:i w:val="false"/>
          <w:iCs w:val="false"/>
          <w:color w:val="1A1A1A"/>
          <w:sz w:val="20"/>
          <w:szCs w:val="20"/>
        </w:rPr>
        <w:t xml:space="preserve"/>
      </w:r>
    </w:p>
    <w:p>
      <w:pPr>
        <w:pStyle w:val="Heading1"/>
        <w:spacing w:before="300" w:after="140"/>
      </w:pPr>
      <w:r>
        <w:rPr>
          <w:rFonts w:ascii="Arial" w:cs="Arial" w:eastAsia="Arial" w:hAnsi="Arial"/>
          <w:b/>
          <w:bCs/>
          <w:color w:val="1F3864"/>
          <w:sz w:val="28"/>
          <w:szCs w:val="28"/>
        </w:rPr>
        <w:t xml:space="preserve">Delivery Model</w:t>
      </w:r>
    </w:p>
    <w:p>
      <w:pPr>
        <w:spacing w:before="0" w:after="120" w:line="276"/>
        <w:jc w:val="left"/>
      </w:pPr>
      <w:r>
        <w:rPr>
          <w:rFonts w:ascii="Arial" w:cs="Arial" w:eastAsia="Arial" w:hAnsi="Arial"/>
          <w:b w:val="false"/>
          <w:bCs w:val="false"/>
          <w:i w:val="false"/>
          <w:iCs w:val="false"/>
          <w:color w:val="1A1A1A"/>
          <w:sz w:val="20"/>
          <w:szCs w:val="20"/>
        </w:rPr>
        <w:t xml:space="preserve">The program operates on a two-layer model: NetSuite as the system integrator responsible for configuration and delivery, and CFGI as an integrated program support partner responsible for controls oversight, governance, and change management.</w:t>
      </w:r>
    </w:p>
    <w:p>
      <w:pPr>
        <w:pStyle w:val="Heading2"/>
        <w:spacing w:before="220" w:after="100"/>
      </w:pPr>
      <w:r>
        <w:rPr>
          <w:rFonts w:ascii="Arial" w:cs="Arial" w:eastAsia="Arial" w:hAnsi="Arial"/>
          <w:b/>
          <w:bCs/>
          <w:color w:val="2E5EA8"/>
          <w:sz w:val="23"/>
          <w:szCs w:val="23"/>
        </w:rPr>
        <w:t xml:space="preserve">Layer 1 — NetSuite Implementation Team</w:t>
      </w:r>
    </w:p>
    <w:p>
      <w:pPr>
        <w:spacing w:before="0" w:after="100" w:line="276"/>
        <w:jc w:val="left"/>
      </w:pPr>
      <w:r>
        <w:rPr>
          <w:rFonts w:ascii="Arial" w:cs="Arial" w:eastAsia="Arial" w:hAnsi="Arial"/>
          <w:b w:val="false"/>
          <w:bCs w:val="false"/>
          <w:i w:val="false"/>
          <w:iCs w:val="false"/>
          <w:color w:val="1A1A1A"/>
          <w:sz w:val="20"/>
          <w:szCs w:val="20"/>
        </w:rPr>
        <w:t xml:space="preserve">NetSuite's European Customer Success team is the system integrator. The assigned team is Paris-based, providing on-site presence for design workshops, milestone reviews, and UAT.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rPr>
          <w:tblHeader/>
        </w:trPr>
        <w:tc>
          <w:tcPr>
            <w:tcW w:type="dxa" w:w="22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Name</w:t>
            </w:r>
          </w:p>
        </w:tc>
        <w:tc>
          <w:tcPr>
            <w:tcW w:type="dxa" w:w="20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Role</w:t>
            </w:r>
          </w:p>
        </w:tc>
        <w:tc>
          <w:tcPr>
            <w:tcW w:type="dxa" w:w="20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Location</w:t>
            </w:r>
          </w:p>
        </w:tc>
        <w:tc>
          <w:tcPr>
            <w:tcW w:type="dxa" w:w="2826"/>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Background</w:t>
            </w:r>
          </w:p>
        </w:tc>
      </w:tr>
      <w:tr>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Hafid Irbaiyne</w:t>
            </w:r>
          </w:p>
        </w:tc>
        <w:tc>
          <w:tcPr>
            <w:tcW w:type="dxa" w:w="20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Practice Manager France/MEA</w:t>
            </w:r>
          </w:p>
        </w:tc>
        <w:tc>
          <w:tcPr>
            <w:tcW w:type="dxa" w:w="20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Paris — on-site</w:t>
            </w:r>
          </w:p>
        </w:tc>
        <w:tc>
          <w:tcPr>
            <w:tcW w:type="dxa" w:w="28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18 years experience; ex-CFO; French CPA; 4 years NetSuite</w:t>
            </w:r>
          </w:p>
        </w:tc>
      </w:tr>
      <w:tr>
        <w:tc>
          <w:tcPr>
            <w:tcW w:type="dxa" w:w="2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Mazdak Sayyedelar</w:t>
            </w:r>
          </w:p>
        </w:tc>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Project Manager Europe</w:t>
            </w:r>
          </w:p>
        </w:tc>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Paris — on-site</w:t>
            </w:r>
          </w:p>
        </w:tc>
        <w:tc>
          <w:tcPr>
            <w:tcW w:type="dxa" w:w="28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7 years international IT project management; 6 years Oracle</w:t>
            </w:r>
          </w:p>
        </w:tc>
      </w:tr>
      <w:tr>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Ali Brahmi</w:t>
            </w:r>
          </w:p>
        </w:tc>
        <w:tc>
          <w:tcPr>
            <w:tcW w:type="dxa" w:w="20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Senior Functional Consultant</w:t>
            </w:r>
          </w:p>
        </w:tc>
        <w:tc>
          <w:tcPr>
            <w:tcW w:type="dxa" w:w="20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Paris — on-site</w:t>
            </w:r>
          </w:p>
        </w:tc>
        <w:tc>
          <w:tcPr>
            <w:tcW w:type="dxa" w:w="28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8 years ERP financial experience; 4+ years Oracle NetSuite</w:t>
            </w:r>
          </w:p>
        </w:tc>
      </w:tr>
      <w:tr>
        <w:tc>
          <w:tcPr>
            <w:tcW w:type="dxa" w:w="2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Sukeyna Ouled</w:t>
            </w:r>
          </w:p>
        </w:tc>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Technical / Dev Lead</w:t>
            </w:r>
          </w:p>
        </w:tc>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Remote (on-demand)</w:t>
            </w:r>
          </w:p>
        </w:tc>
        <w:tc>
          <w:tcPr>
            <w:tcW w:type="dxa" w:w="28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9+ years IT development; 7 years Oracle NetSuite</w:t>
            </w:r>
          </w:p>
        </w:tc>
      </w:tr>
      <w:tr>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Mathieu Lair</w:t>
            </w:r>
          </w:p>
        </w:tc>
        <w:tc>
          <w:tcPr>
            <w:tcW w:type="dxa" w:w="20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Trainer</w:t>
            </w:r>
          </w:p>
        </w:tc>
        <w:tc>
          <w:tcPr>
            <w:tcW w:type="dxa" w:w="20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Paris — on-site</w:t>
            </w:r>
          </w:p>
        </w:tc>
        <w:tc>
          <w:tcPr>
            <w:tcW w:type="dxa" w:w="28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10 years ERP experience</w:t>
            </w:r>
          </w:p>
        </w:tc>
      </w:tr>
    </w:tbl>
    <w:p>
      <w:pPr>
        <w:spacing w:before="0" w:after="160"/>
      </w:pPr>
      <w:r>
        <w:rPr>
          <w:rFonts w:ascii="Arial" w:cs="Arial" w:eastAsia="Arial" w:hAnsi="Arial"/>
          <w:b w:val="false"/>
          <w:bCs w:val="false"/>
          <w:i w:val="false"/>
          <w:iCs w:val="false"/>
          <w:color w:val="1A1A1A"/>
          <w:sz w:val="20"/>
          <w:szCs w:val="20"/>
        </w:rPr>
        <w:t xml:space="preserve"/>
      </w:r>
    </w:p>
    <w:p>
      <w:pPr>
        <w:pStyle w:val="Heading2"/>
        <w:spacing w:before="220" w:after="100"/>
      </w:pPr>
      <w:r>
        <w:rPr>
          <w:rFonts w:ascii="Arial" w:cs="Arial" w:eastAsia="Arial" w:hAnsi="Arial"/>
          <w:b/>
          <w:bCs/>
          <w:color w:val="2E5EA8"/>
          <w:sz w:val="23"/>
          <w:szCs w:val="23"/>
        </w:rPr>
        <w:t xml:space="preserve">Layer 2 — CFGI Integrated Program Support</w:t>
      </w:r>
    </w:p>
    <w:p>
      <w:pPr>
        <w:spacing w:before="0" w:after="100" w:line="276"/>
        <w:jc w:val="left"/>
      </w:pPr>
      <w:r>
        <w:rPr>
          <w:rFonts w:ascii="Arial" w:cs="Arial" w:eastAsia="Arial" w:hAnsi="Arial"/>
          <w:b w:val="false"/>
          <w:bCs w:val="false"/>
          <w:i w:val="false"/>
          <w:iCs w:val="false"/>
          <w:color w:val="1A1A1A"/>
          <w:sz w:val="20"/>
          <w:szCs w:val="20"/>
        </w:rPr>
        <w:t xml:space="preserve">CFGI serves as the independent program support partner across three workstreams. CFGI has been engaged on Abivax's SOX remediation program since September 2025 and brings direct knowledge of the company's control environment, process gaps, and finance team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8CDD3" w:sz="1"/>
              <w:left w:val="single" w:color="C8CDD3" w:sz="1"/>
              <w:bottom w:val="single" w:color="C8CDD3" w:sz="1"/>
              <w:right w:val="single" w:color="C8CDD3" w:sz="1"/>
            </w:tcBorders>
            <w:shd w:fill="2E5EA8"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Workstream</w:t>
            </w:r>
          </w:p>
        </w:tc>
        <w:tc>
          <w:tcPr>
            <w:tcW w:type="dxa" w:w="2400"/>
            <w:tcBorders>
              <w:top w:val="single" w:color="C8CDD3" w:sz="1"/>
              <w:left w:val="single" w:color="C8CDD3" w:sz="1"/>
              <w:bottom w:val="single" w:color="C8CDD3" w:sz="1"/>
              <w:right w:val="single" w:color="C8CDD3" w:sz="1"/>
            </w:tcBorders>
            <w:shd w:fill="2E5EA8"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CFGI Lead</w:t>
            </w:r>
          </w:p>
        </w:tc>
        <w:tc>
          <w:tcPr>
            <w:tcW w:type="dxa" w:w="4226"/>
            <w:tcBorders>
              <w:top w:val="single" w:color="C8CDD3" w:sz="1"/>
              <w:left w:val="single" w:color="C8CDD3" w:sz="1"/>
              <w:bottom w:val="single" w:color="C8CDD3" w:sz="1"/>
              <w:right w:val="single" w:color="C8CDD3" w:sz="1"/>
            </w:tcBorders>
            <w:shd w:fill="2E5EA8"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Scope</w:t>
            </w:r>
          </w:p>
        </w:tc>
      </w:tr>
      <w:tr>
        <w:tc>
          <w:tcPr>
            <w:tcW w:type="dxa" w:w="24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Technical and Controls Oversight</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Kenneth Schatz (MD)
Guy Morissette (Director)</w:t>
            </w:r>
          </w:p>
        </w:tc>
        <w:tc>
          <w:tcPr>
            <w:tcW w:type="dxa" w:w="42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Independent design checkpoint reviews at blueprint, build, and UAT stages. Controls-by-design deliverable at blueprint mapping ERP configuration to existing SOX remediation items. Go/no-go written assessment at cutover.</w:t>
            </w:r>
          </w:p>
        </w:tc>
      </w:tr>
      <w:tr>
        <w:tc>
          <w:tcPr>
            <w:tcW w:type="dxa" w:w="24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Program Governance</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Walid Bouassida (Director)
Youness Tyamaz (Consultant)</w:t>
            </w:r>
          </w:p>
        </w:tc>
        <w:tc>
          <w:tcPr>
            <w:tcW w:type="dxa" w:w="42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On-the-ground program coordination in Paris. Weekly flash report to program director. Steering committee facilitation and materials. Risk and issue escalation. Milestone tracking against January 1, 2027 deadline.</w:t>
            </w:r>
          </w:p>
        </w:tc>
      </w:tr>
      <w:tr>
        <w:tc>
          <w:tcPr>
            <w:tcW w:type="dxa" w:w="24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Change Management and Adoption</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Walid Bouassida
Youness Tyamaz</w:t>
            </w:r>
          </w:p>
        </w:tc>
        <w:tc>
          <w:tcPr>
            <w:tcW w:type="dxa" w:w="42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Stakeholder and adoption risk mapping at kickoff. Communication plan development and execution. Training coordination in French. Post-go-live adoption checks at 30 and 60 days.</w:t>
            </w:r>
          </w:p>
        </w:tc>
      </w:tr>
    </w:tbl>
    <w:p>
      <w:pPr>
        <w:spacing w:before="0" w:after="160"/>
      </w:pPr>
      <w:r>
        <w:rPr>
          <w:rFonts w:ascii="Arial" w:cs="Arial" w:eastAsia="Arial" w:hAnsi="Arial"/>
          <w:b w:val="false"/>
          <w:bCs w:val="false"/>
          <w:i w:val="false"/>
          <w:iCs w:val="false"/>
          <w:color w:val="1A1A1A"/>
          <w:sz w:val="20"/>
          <w:szCs w:val="20"/>
        </w:rPr>
        <w:t xml:space="preserve"/>
      </w:r>
    </w:p>
    <w:p>
      <w:pPr>
        <w:pStyle w:val="Heading2"/>
        <w:spacing w:before="220" w:after="100"/>
      </w:pPr>
      <w:r>
        <w:rPr>
          <w:rFonts w:ascii="Arial" w:cs="Arial" w:eastAsia="Arial" w:hAnsi="Arial"/>
          <w:b/>
          <w:bCs/>
          <w:color w:val="2E5EA8"/>
          <w:sz w:val="23"/>
          <w:szCs w:val="23"/>
        </w:rPr>
        <w:t xml:space="preserve">Abivax Internal Program Team</w:t>
      </w:r>
    </w:p>
    <w:p>
      <w:pPr>
        <w:spacing w:before="0" w:after="100" w:line="276"/>
        <w:jc w:val="left"/>
      </w:pPr>
      <w:r>
        <w:rPr>
          <w:rFonts w:ascii="Arial" w:cs="Arial" w:eastAsia="Arial" w:hAnsi="Arial"/>
          <w:b w:val="false"/>
          <w:bCs w:val="false"/>
          <w:i w:val="false"/>
          <w:iCs w:val="false"/>
          <w:color w:val="1A1A1A"/>
          <w:sz w:val="20"/>
          <w:szCs w:val="20"/>
        </w:rPr>
        <w:t xml:space="preserve">The following Abivax team members carry named responsibilities in the ERP program. Business process owners are accountable for requirements, design sign-off, data cleansing, and UAT in their respective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2826"/>
      </w:tblGrid>
      <w:tr>
        <w:trPr>
          <w:tblHeader/>
        </w:trPr>
        <w:tc>
          <w:tcPr>
            <w:tcW w:type="dxa" w:w="22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Name</w:t>
            </w:r>
          </w:p>
        </w:tc>
        <w:tc>
          <w:tcPr>
            <w:tcW w:type="dxa" w:w="24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Role</w:t>
            </w:r>
          </w:p>
        </w:tc>
        <w:tc>
          <w:tcPr>
            <w:tcW w:type="dxa" w:w="16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Location</w:t>
            </w:r>
          </w:p>
        </w:tc>
        <w:tc>
          <w:tcPr>
            <w:tcW w:type="dxa" w:w="2826"/>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ERP Responsibility</w:t>
            </w:r>
          </w:p>
        </w:tc>
      </w:tr>
      <w:tr>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Didier Blondel</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CFO / Executive Sponsor</w:t>
            </w:r>
          </w:p>
        </w:tc>
        <w:tc>
          <w:tcPr>
            <w:tcW w:type="dxa" w:w="16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6C757D"/>
                <w:sz w:val="17"/>
                <w:szCs w:val="17"/>
              </w:rPr>
              <w:t xml:space="preserve">Global</w:t>
            </w:r>
          </w:p>
        </w:tc>
        <w:tc>
          <w:tcPr>
            <w:tcW w:type="dxa" w:w="28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Program sponsor; final escalation; board and audit committee reporting</w:t>
            </w:r>
          </w:p>
        </w:tc>
      </w:tr>
      <w:tr>
        <w:tc>
          <w:tcPr>
            <w:tcW w:type="dxa" w:w="2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Mike Markman</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ERP Program Director</w:t>
            </w:r>
          </w:p>
        </w:tc>
        <w:tc>
          <w:tcPr>
            <w:tcW w:type="dxa" w:w="1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6C757D"/>
                <w:sz w:val="17"/>
                <w:szCs w:val="17"/>
              </w:rPr>
              <w:t xml:space="preserve">US / Global</w:t>
            </w:r>
          </w:p>
        </w:tc>
        <w:tc>
          <w:tcPr>
            <w:tcW w:type="dxa" w:w="28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Day-to-day program ownership; vendor management; scope and budget decisions</w:t>
            </w:r>
          </w:p>
        </w:tc>
      </w:tr>
      <w:tr>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Hema Keshava</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Finance Lead (FP&amp;A, Treasury, Tax)</w:t>
            </w:r>
          </w:p>
        </w:tc>
        <w:tc>
          <w:tcPr>
            <w:tcW w:type="dxa" w:w="16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6C757D"/>
                <w:sz w:val="17"/>
                <w:szCs w:val="17"/>
              </w:rPr>
              <w:t xml:space="preserve">US / Global</w:t>
            </w:r>
          </w:p>
        </w:tc>
        <w:tc>
          <w:tcPr>
            <w:tcW w:type="dxa" w:w="28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Finance scope decisions; reporting model; critical stakeholder for R2R and multi-GAAP design</w:t>
            </w:r>
          </w:p>
        </w:tc>
      </w:tr>
      <w:tr>
        <w:tc>
          <w:tcPr>
            <w:tcW w:type="dxa" w:w="2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Trinidad</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Accounting Manager / Consolidation Lead</w:t>
            </w:r>
          </w:p>
        </w:tc>
        <w:tc>
          <w:tcPr>
            <w:tcW w:type="dxa" w:w="1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6C757D"/>
                <w:sz w:val="17"/>
                <w:szCs w:val="17"/>
              </w:rPr>
              <w:t xml:space="preserve">France</w:t>
            </w:r>
          </w:p>
        </w:tc>
        <w:tc>
          <w:tcPr>
            <w:tcW w:type="dxa" w:w="28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French consolidation; chart of accounts; close process design; primary France accounting BPO</w:t>
            </w:r>
          </w:p>
        </w:tc>
      </w:tr>
      <w:tr>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Frederick</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FP&amp;A Lead</w:t>
            </w:r>
          </w:p>
        </w:tc>
        <w:tc>
          <w:tcPr>
            <w:tcW w:type="dxa" w:w="16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6C757D"/>
                <w:sz w:val="17"/>
                <w:szCs w:val="17"/>
              </w:rPr>
              <w:t xml:space="preserve">France</w:t>
            </w:r>
          </w:p>
        </w:tc>
        <w:tc>
          <w:tcPr>
            <w:tcW w:type="dxa" w:w="28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FP&amp;A and reporting model; cost center design; reporting extract requirements</w:t>
            </w:r>
          </w:p>
        </w:tc>
      </w:tr>
      <w:tr>
        <w:tc>
          <w:tcPr>
            <w:tcW w:type="dxa" w:w="2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Adrian Holbrook</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FP&amp;A / Reporting (reports to Frederick)</w:t>
            </w:r>
          </w:p>
        </w:tc>
        <w:tc>
          <w:tcPr>
            <w:tcW w:type="dxa" w:w="1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6C757D"/>
                <w:sz w:val="17"/>
                <w:szCs w:val="17"/>
              </w:rPr>
              <w:t xml:space="preserve">US / Global</w:t>
            </w:r>
          </w:p>
        </w:tc>
        <w:tc>
          <w:tcPr>
            <w:tcW w:type="dxa" w:w="28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Cost center design; data-access and export quality; US-side reporting bridge</w:t>
            </w:r>
          </w:p>
        </w:tc>
      </w:tr>
      <w:tr>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Juliette</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P2P Process Owner</w:t>
            </w:r>
          </w:p>
        </w:tc>
        <w:tc>
          <w:tcPr>
            <w:tcW w:type="dxa" w:w="16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6C757D"/>
                <w:sz w:val="17"/>
                <w:szCs w:val="17"/>
              </w:rPr>
              <w:t xml:space="preserve">France</w:t>
            </w:r>
          </w:p>
        </w:tc>
        <w:tc>
          <w:tcPr>
            <w:tcW w:type="dxa" w:w="28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France-side P2P BPO; invoice processing; workflow approval design; vendor master</w:t>
            </w:r>
          </w:p>
        </w:tc>
      </w:tr>
      <w:tr>
        <w:tc>
          <w:tcPr>
            <w:tcW w:type="dxa" w:w="2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Kimberly Gordon</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P2P Contractor</w:t>
            </w:r>
          </w:p>
        </w:tc>
        <w:tc>
          <w:tcPr>
            <w:tcW w:type="dxa" w:w="1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6C757D"/>
                <w:sz w:val="17"/>
                <w:szCs w:val="17"/>
              </w:rPr>
              <w:t xml:space="preserve">US</w:t>
            </w:r>
          </w:p>
        </w:tc>
        <w:tc>
          <w:tcPr>
            <w:tcW w:type="dxa" w:w="28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US-side P2P; AP coordination; Juliette counterpart for US workflows</w:t>
            </w:r>
          </w:p>
        </w:tc>
      </w:tr>
      <w:tr>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Philippe</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Finance Manager</w:t>
            </w:r>
          </w:p>
        </w:tc>
        <w:tc>
          <w:tcPr>
            <w:tcW w:type="dxa" w:w="16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6C757D"/>
                <w:sz w:val="17"/>
                <w:szCs w:val="17"/>
              </w:rPr>
              <w:t xml:space="preserve">France</w:t>
            </w:r>
          </w:p>
        </w:tc>
        <w:tc>
          <w:tcPr>
            <w:tcW w:type="dxa" w:w="28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P2P governance chain; Juliette's manager; escalation for France P2P design decisions</w:t>
            </w:r>
          </w:p>
        </w:tc>
      </w:tr>
      <w:tr>
        <w:tc>
          <w:tcPr>
            <w:tcW w:type="dxa" w:w="2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Matt Epley</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US Accounting / SEC &amp; Equity Reporting</w:t>
            </w:r>
          </w:p>
        </w:tc>
        <w:tc>
          <w:tcPr>
            <w:tcW w:type="dxa" w:w="1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6C757D"/>
                <w:sz w:val="17"/>
                <w:szCs w:val="17"/>
              </w:rPr>
              <w:t xml:space="preserve">US</w:t>
            </w:r>
          </w:p>
        </w:tc>
        <w:tc>
          <w:tcPr>
            <w:tcW w:type="dxa" w:w="28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SEC / NASDAQ reporting; equity (Certent); IFRS adjustments; US GAAP reporting outputs</w:t>
            </w:r>
          </w:p>
        </w:tc>
      </w:tr>
      <w:tr>
        <w:tc>
          <w:tcPr>
            <w:tcW w:type="dxa" w:w="2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Jade</w:t>
            </w:r>
          </w:p>
        </w:tc>
        <w:tc>
          <w:tcPr>
            <w:tcW w:type="dxa" w:w="2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IT Lead / ERP Integration</w:t>
            </w:r>
          </w:p>
        </w:tc>
        <w:tc>
          <w:tcPr>
            <w:tcW w:type="dxa" w:w="16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6C757D"/>
                <w:sz w:val="17"/>
                <w:szCs w:val="17"/>
              </w:rPr>
              <w:t xml:space="preserve">France</w:t>
            </w:r>
          </w:p>
        </w:tc>
        <w:tc>
          <w:tcPr>
            <w:tcW w:type="dxa" w:w="28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IT integration architecture; system access; controls and infrastructure decisions</w:t>
            </w:r>
          </w:p>
        </w:tc>
      </w:tr>
      <w:tr>
        <w:tc>
          <w:tcPr>
            <w:tcW w:type="dxa" w:w="2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Benjamin Talmant</w:t>
            </w:r>
          </w:p>
        </w:tc>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IT Project Manager</w:t>
            </w:r>
          </w:p>
        </w:tc>
        <w:tc>
          <w:tcPr>
            <w:tcW w:type="dxa" w:w="1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6C757D"/>
                <w:sz w:val="17"/>
                <w:szCs w:val="17"/>
              </w:rPr>
              <w:t xml:space="preserve">France</w:t>
            </w:r>
          </w:p>
        </w:tc>
        <w:tc>
          <w:tcPr>
            <w:tcW w:type="dxa" w:w="28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IT delivery coordination; integration workstream PM; IT capacity management</w:t>
            </w:r>
          </w:p>
        </w:tc>
      </w:tr>
    </w:tbl>
    <w:p>
      <w:pPr>
        <w:spacing w:before="0" w:after="260"/>
      </w:pPr>
      <w:r>
        <w:rPr>
          <w:rFonts w:ascii="Arial" w:cs="Arial" w:eastAsia="Arial" w:hAnsi="Arial"/>
          <w:b w:val="false"/>
          <w:bCs w:val="false"/>
          <w:i w:val="false"/>
          <w:iCs w:val="false"/>
          <w:color w:val="1A1A1A"/>
          <w:sz w:val="20"/>
          <w:szCs w:val="20"/>
        </w:rPr>
        <w:t xml:space="preserve"/>
      </w:r>
    </w:p>
    <w:p>
      <w:pPr>
        <w:pStyle w:val="Heading1"/>
        <w:spacing w:before="300" w:after="140"/>
      </w:pPr>
      <w:r>
        <w:rPr>
          <w:rFonts w:ascii="Arial" w:cs="Arial" w:eastAsia="Arial" w:hAnsi="Arial"/>
          <w:b/>
          <w:bCs/>
          <w:color w:val="1F3864"/>
          <w:sz w:val="28"/>
          <w:szCs w:val="28"/>
        </w:rPr>
        <w:t xml:space="preserve">SOX Integration and Controls</w:t>
      </w:r>
    </w:p>
    <w:p>
      <w:pPr>
        <w:spacing w:before="0" w:after="100" w:line="276"/>
        <w:jc w:val="left"/>
      </w:pPr>
      <w:r>
        <w:rPr>
          <w:rFonts w:ascii="Arial" w:cs="Arial" w:eastAsia="Arial" w:hAnsi="Arial"/>
          <w:b w:val="false"/>
          <w:bCs w:val="false"/>
          <w:i w:val="false"/>
          <w:iCs w:val="false"/>
          <w:color w:val="1A1A1A"/>
          <w:sz w:val="20"/>
          <w:szCs w:val="20"/>
        </w:rPr>
        <w:t xml:space="preserve">SOX readiness is a first-order program requirement, not a post-go-live audit item. The delivery model has been structured to ensure controls are embedded in the ERP design from the outset.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0764" w:sz="6"/>
              <w:left w:val="single" w:color="3B0764" w:sz="18"/>
              <w:bottom w:val="single" w:color="3B0764" w:sz="6"/>
              <w:right w:val="single" w:color="3B0764" w:sz="6"/>
            </w:tcBorders>
            <w:shd w:fill="EDE9FE" w:val="clear"/>
            <w:tcMar>
              <w:top w:type="dxa" w:w="160"/>
              <w:left w:type="dxa" w:w="200"/>
              <w:bottom w:type="dxa" w:w="160"/>
              <w:right w:type="dxa" w:w="200"/>
            </w:tcMar>
          </w:tcPr>
          <w:p>
            <w:pPr>
              <w:spacing w:before="0" w:after="80" w:line="276"/>
              <w:jc w:val="left"/>
            </w:pPr>
            <w:r>
              <w:rPr>
                <w:rFonts w:ascii="Arial" w:cs="Arial" w:eastAsia="Arial" w:hAnsi="Arial"/>
                <w:b/>
                <w:bCs/>
                <w:i w:val="false"/>
                <w:iCs w:val="false"/>
                <w:color w:val="1F3864"/>
                <w:sz w:val="20"/>
                <w:szCs w:val="20"/>
              </w:rPr>
              <w:t xml:space="preserve">Controls-by-design approach</w:t>
            </w:r>
          </w:p>
          <w:p>
            <w:pPr>
              <w:spacing w:before="0" w:after="80" w:line="276"/>
              <w:jc w:val="left"/>
            </w:pPr>
            <w:r>
              <w:rPr>
                <w:rFonts w:ascii="Arial" w:cs="Arial" w:eastAsia="Arial" w:hAnsi="Arial"/>
                <w:b w:val="false"/>
                <w:bCs w:val="false"/>
                <w:i w:val="false"/>
                <w:iCs w:val="false"/>
                <w:color w:val="1A1A1A"/>
                <w:sz w:val="19"/>
                <w:szCs w:val="19"/>
              </w:rPr>
              <w:t xml:space="preserve">CFGI holds Abivax's existing SOX remediation program and has documented the company's current control gaps, process deficiencies, and remediation progress since September 2025. This knowledge is directly incorporated into the ERP implementation through a controls-by-design deliverable at the blueprint stage — mapping each ERP configuration decision to the relevant SOX control requirement before the system is built. This approach eliminates the risk of discovering controls gaps late in the program when remediation is costly and disruptive.</w:t>
            </w:r>
          </w:p>
        </w:tc>
      </w:tr>
    </w:tbl>
    <w:p>
      <w:pPr>
        <w:spacing w:before="0" w:after="140"/>
      </w:pPr>
      <w:r>
        <w:rPr>
          <w:rFonts w:ascii="Arial" w:cs="Arial" w:eastAsia="Arial" w:hAnsi="Arial"/>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8CDD3" w:sz="1"/>
              <w:left w:val="single" w:color="C8CDD3" w:sz="1"/>
              <w:bottom w:val="single" w:color="C8CDD3" w:sz="1"/>
              <w:right w:val="single" w:color="C8CDD3" w:sz="1"/>
            </w:tcBorders>
            <w:shd w:fill="3B07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SOX Requirement</w:t>
            </w:r>
          </w:p>
        </w:tc>
        <w:tc>
          <w:tcPr>
            <w:tcW w:type="dxa" w:w="5826"/>
            <w:tcBorders>
              <w:top w:val="single" w:color="C8CDD3" w:sz="1"/>
              <w:left w:val="single" w:color="C8CDD3" w:sz="1"/>
              <w:bottom w:val="single" w:color="C8CDD3" w:sz="1"/>
              <w:right w:val="single" w:color="C8CDD3" w:sz="1"/>
            </w:tcBorders>
            <w:shd w:fill="3B07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Program Response</w:t>
            </w:r>
          </w:p>
        </w:tc>
      </w:tr>
      <w:tr>
        <w:tc>
          <w:tcPr>
            <w:tcW w:type="dxa" w:w="3200"/>
            <w:tcBorders>
              <w:top w:val="single" w:color="C8CDD3" w:sz="1"/>
              <w:left w:val="single" w:color="C8CDD3" w:sz="1"/>
              <w:bottom w:val="single" w:color="C8CDD3" w:sz="1"/>
              <w:right w:val="single" w:color="C8CDD3" w:sz="1"/>
            </w:tcBorders>
            <w:shd w:fill="EDE9FE"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Controls-by-design at blueprint</w:t>
            </w:r>
          </w:p>
        </w:tc>
        <w:tc>
          <w:tcPr>
            <w:tcW w:type="dxa" w:w="58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CFGI deliverable mapping ERP configuration to SOX control register — produced before build begins</w:t>
            </w:r>
          </w:p>
        </w:tc>
      </w:tr>
      <w:tr>
        <w:tc>
          <w:tcPr>
            <w:tcW w:type="dxa" w:w="3200"/>
            <w:tcBorders>
              <w:top w:val="single" w:color="C8CDD3" w:sz="1"/>
              <w:left w:val="single" w:color="C8CDD3" w:sz="1"/>
              <w:bottom w:val="single" w:color="C8CDD3" w:sz="1"/>
              <w:right w:val="single" w:color="C8CDD3" w:sz="1"/>
            </w:tcBorders>
            <w:shd w:fill="E4D9F5"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Segregation of duties (SoD)</w:t>
            </w:r>
          </w:p>
        </w:tc>
        <w:tc>
          <w:tcPr>
            <w:tcW w:type="dxa" w:w="58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SoD-compliant user access and role design reviewed by CFGI at blueprint and validated at UAT</w:t>
            </w:r>
          </w:p>
        </w:tc>
      </w:tr>
      <w:tr>
        <w:tc>
          <w:tcPr>
            <w:tcW w:type="dxa" w:w="3200"/>
            <w:tcBorders>
              <w:top w:val="single" w:color="C8CDD3" w:sz="1"/>
              <w:left w:val="single" w:color="C8CDD3" w:sz="1"/>
              <w:bottom w:val="single" w:color="C8CDD3" w:sz="1"/>
              <w:right w:val="single" w:color="C8CDD3" w:sz="1"/>
            </w:tcBorders>
            <w:shd w:fill="EDE9FE"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ITGC / SDLC controls</w:t>
            </w:r>
          </w:p>
        </w:tc>
        <w:tc>
          <w:tcPr>
            <w:tcW w:type="dxa" w:w="58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NetSuite SuiteSuccess delivery model includes system development lifecycle controls as standard scope</w:t>
            </w:r>
          </w:p>
        </w:tc>
      </w:tr>
      <w:tr>
        <w:tc>
          <w:tcPr>
            <w:tcW w:type="dxa" w:w="3200"/>
            <w:tcBorders>
              <w:top w:val="single" w:color="C8CDD3" w:sz="1"/>
              <w:left w:val="single" w:color="C8CDD3" w:sz="1"/>
              <w:bottom w:val="single" w:color="C8CDD3" w:sz="1"/>
              <w:right w:val="single" w:color="C8CDD3" w:sz="1"/>
            </w:tcBorders>
            <w:shd w:fill="E4D9F5"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Audit trail and data integrity</w:t>
            </w:r>
          </w:p>
        </w:tc>
        <w:tc>
          <w:tcPr>
            <w:tcW w:type="dxa" w:w="58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NetSuite native audit logging; CFGI reviews configuration against audit requirements</w:t>
            </w:r>
          </w:p>
        </w:tc>
      </w:tr>
      <w:tr>
        <w:tc>
          <w:tcPr>
            <w:tcW w:type="dxa" w:w="3200"/>
            <w:tcBorders>
              <w:top w:val="single" w:color="C8CDD3" w:sz="1"/>
              <w:left w:val="single" w:color="C8CDD3" w:sz="1"/>
              <w:bottom w:val="single" w:color="C8CDD3" w:sz="1"/>
              <w:right w:val="single" w:color="C8CDD3" w:sz="1"/>
            </w:tcBorders>
            <w:shd w:fill="EDE9FE"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Go-live readiness</w:t>
            </w:r>
          </w:p>
        </w:tc>
        <w:tc>
          <w:tcPr>
            <w:tcW w:type="dxa" w:w="58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CFGI provides written go/no-go assessment against SOX readiness criteria before cutover is approved</w:t>
            </w:r>
          </w:p>
        </w:tc>
      </w:tr>
      <w:tr>
        <w:tc>
          <w:tcPr>
            <w:tcW w:type="dxa" w:w="3200"/>
            <w:tcBorders>
              <w:top w:val="single" w:color="C8CDD3" w:sz="1"/>
              <w:left w:val="single" w:color="C8CDD3" w:sz="1"/>
              <w:bottom w:val="single" w:color="C8CDD3" w:sz="1"/>
              <w:right w:val="single" w:color="C8CDD3" w:sz="1"/>
            </w:tcBorders>
            <w:shd w:fill="E4D9F5"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Post-go-live validation</w:t>
            </w:r>
          </w:p>
        </w:tc>
        <w:tc>
          <w:tcPr>
            <w:tcW w:type="dxa" w:w="58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8"/>
                <w:szCs w:val="18"/>
              </w:rPr>
              <w:t xml:space="preserve">CFGI adoption checks at 30 and 60 days include confirmation that controls are operating as designed</w:t>
            </w:r>
          </w:p>
        </w:tc>
      </w:tr>
    </w:tbl>
    <w:p>
      <w:pPr>
        <w:spacing w:before="0" w:after="260"/>
      </w:pPr>
      <w:r>
        <w:rPr>
          <w:rFonts w:ascii="Arial" w:cs="Arial" w:eastAsia="Arial" w:hAnsi="Arial"/>
          <w:b w:val="false"/>
          <w:bCs w:val="false"/>
          <w:i w:val="false"/>
          <w:iCs w:val="false"/>
          <w:color w:val="1A1A1A"/>
          <w:sz w:val="20"/>
          <w:szCs w:val="20"/>
        </w:rPr>
        <w:t xml:space="preserve"/>
      </w:r>
    </w:p>
    <w:p>
      <w:pPr>
        <w:pStyle w:val="Heading1"/>
        <w:spacing w:before="300" w:after="140"/>
      </w:pPr>
      <w:r>
        <w:rPr>
          <w:rFonts w:ascii="Arial" w:cs="Arial" w:eastAsia="Arial" w:hAnsi="Arial"/>
          <w:b/>
          <w:bCs/>
          <w:color w:val="1F3864"/>
          <w:sz w:val="28"/>
          <w:szCs w:val="28"/>
        </w:rPr>
        <w:t xml:space="preserve">Implementation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Phase</w:t>
            </w:r>
          </w:p>
        </w:tc>
        <w:tc>
          <w:tcPr>
            <w:tcW w:type="dxa" w:w="20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Timing</w:t>
            </w:r>
          </w:p>
        </w:tc>
        <w:tc>
          <w:tcPr>
            <w:tcW w:type="dxa" w:w="5226"/>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Key Activities</w:t>
            </w:r>
          </w:p>
        </w:tc>
      </w:tr>
      <w:tr>
        <w:tc>
          <w:tcPr>
            <w:tcW w:type="dxa" w:w="18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Mobilization</w:t>
            </w:r>
          </w:p>
        </w:tc>
        <w:tc>
          <w:tcPr>
            <w:tcW w:type="dxa" w:w="20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6C757D"/>
                <w:sz w:val="18"/>
                <w:szCs w:val="18"/>
              </w:rPr>
              <w:t xml:space="preserve">April 2026</w:t>
            </w:r>
          </w:p>
        </w:tc>
        <w:tc>
          <w:tcPr>
            <w:tcW w:type="dxa" w:w="52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Contracts signed; team onboarded; project governance established; kickoff</w:t>
            </w:r>
          </w:p>
        </w:tc>
      </w:tr>
      <w:tr>
        <w:tc>
          <w:tcPr>
            <w:tcW w:type="dxa" w:w="18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Blueprint</w:t>
            </w:r>
          </w:p>
        </w:tc>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6C757D"/>
                <w:sz w:val="18"/>
                <w:szCs w:val="18"/>
              </w:rPr>
              <w:t xml:space="preserve">April – May 2026</w:t>
            </w:r>
          </w:p>
        </w:tc>
        <w:tc>
          <w:tcPr>
            <w:tcW w:type="dxa" w:w="52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Business process design; system configuration decisions; controls-by-design deliverable; data migration planning</w:t>
            </w:r>
          </w:p>
        </w:tc>
      </w:tr>
      <w:tr>
        <w:tc>
          <w:tcPr>
            <w:tcW w:type="dxa" w:w="18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Build</w:t>
            </w:r>
          </w:p>
        </w:tc>
        <w:tc>
          <w:tcPr>
            <w:tcW w:type="dxa" w:w="20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6C757D"/>
                <w:sz w:val="18"/>
                <w:szCs w:val="18"/>
              </w:rPr>
              <w:t xml:space="preserve">June – Aug 2026</w:t>
            </w:r>
          </w:p>
        </w:tc>
        <w:tc>
          <w:tcPr>
            <w:tcW w:type="dxa" w:w="52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System configuration; integration development; data preparation and mock loads; change plan execution begins</w:t>
            </w:r>
          </w:p>
        </w:tc>
      </w:tr>
      <w:tr>
        <w:tc>
          <w:tcPr>
            <w:tcW w:type="dxa" w:w="18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UAT</w:t>
            </w:r>
          </w:p>
        </w:tc>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6C757D"/>
                <w:sz w:val="18"/>
                <w:szCs w:val="18"/>
              </w:rPr>
              <w:t xml:space="preserve">Aug – Oct 2026</w:t>
            </w:r>
          </w:p>
        </w:tc>
        <w:tc>
          <w:tcPr>
            <w:tcW w:type="dxa" w:w="52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User acceptance testing; defect resolution; SoD validation; cutover planning</w:t>
            </w:r>
          </w:p>
        </w:tc>
      </w:tr>
      <w:tr>
        <w:tc>
          <w:tcPr>
            <w:tcW w:type="dxa" w:w="18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Cutover / Deploy</w:t>
            </w:r>
          </w:p>
        </w:tc>
        <w:tc>
          <w:tcPr>
            <w:tcW w:type="dxa" w:w="20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6C757D"/>
                <w:sz w:val="18"/>
                <w:szCs w:val="18"/>
              </w:rPr>
              <w:t xml:space="preserve">Oct – Dec 2026</w:t>
            </w:r>
          </w:p>
        </w:tc>
        <w:tc>
          <w:tcPr>
            <w:tcW w:type="dxa" w:w="52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Final data migration; parallel run; go/no-go assessment; production cutover</w:t>
            </w:r>
          </w:p>
        </w:tc>
      </w:tr>
      <w:tr>
        <w:tc>
          <w:tcPr>
            <w:tcW w:type="dxa" w:w="18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Go-Live</w:t>
            </w:r>
          </w:p>
        </w:tc>
        <w:tc>
          <w:tcPr>
            <w:tcW w:type="dxa" w:w="20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6C757D"/>
                <w:sz w:val="18"/>
                <w:szCs w:val="18"/>
              </w:rPr>
              <w:t xml:space="preserve">January 1, 2027</w:t>
            </w:r>
          </w:p>
        </w:tc>
        <w:tc>
          <w:tcPr>
            <w:tcW w:type="dxa" w:w="52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Production go-live; hypercare support; post-go-live adoption checks</w:t>
            </w:r>
          </w:p>
        </w:tc>
      </w:tr>
      <w:tr>
        <w:tc>
          <w:tcPr>
            <w:tcW w:type="dxa" w:w="18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Phase 2 (TBD)</w:t>
            </w:r>
          </w:p>
        </w:tc>
        <w:tc>
          <w:tcPr>
            <w:tcW w:type="dxa" w:w="20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6C757D"/>
                <w:sz w:val="18"/>
                <w:szCs w:val="18"/>
              </w:rPr>
              <w:t xml:space="preserve">2027</w:t>
            </w:r>
          </w:p>
        </w:tc>
        <w:tc>
          <w:tcPr>
            <w:tcW w:type="dxa" w:w="52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Order to Cash, Inventory Management — scoped and contracted separately</w:t>
            </w:r>
          </w:p>
        </w:tc>
      </w:tr>
    </w:tbl>
    <w:p>
      <w:pPr>
        <w:spacing w:before="0" w:after="260"/>
      </w:pPr>
      <w:r>
        <w:rPr>
          <w:rFonts w:ascii="Arial" w:cs="Arial" w:eastAsia="Arial" w:hAnsi="Arial"/>
          <w:b w:val="false"/>
          <w:bCs w:val="false"/>
          <w:i w:val="false"/>
          <w:iCs w:val="false"/>
          <w:color w:val="1A1A1A"/>
          <w:sz w:val="20"/>
          <w:szCs w:val="20"/>
        </w:rPr>
        <w:t xml:space="preserve"/>
      </w:r>
    </w:p>
    <w:p>
      <w:pPr>
        <w:pStyle w:val="Heading1"/>
        <w:spacing w:before="300" w:after="140"/>
      </w:pPr>
      <w:r>
        <w:rPr>
          <w:rFonts w:ascii="Arial" w:cs="Arial" w:eastAsia="Arial" w:hAnsi="Arial"/>
          <w:b/>
          <w:bCs/>
          <w:color w:val="1F3864"/>
          <w:sz w:val="28"/>
          <w:szCs w:val="28"/>
        </w:rPr>
        <w:t xml:space="preserve">Program Budget</w:t>
      </w:r>
    </w:p>
    <w:p>
      <w:pPr>
        <w:spacing w:before="0" w:after="120" w:line="276"/>
        <w:jc w:val="left"/>
      </w:pPr>
      <w:r>
        <w:rPr>
          <w:rFonts w:ascii="Arial" w:cs="Arial" w:eastAsia="Arial" w:hAnsi="Arial"/>
          <w:b w:val="false"/>
          <w:bCs w:val="false"/>
          <w:i/>
          <w:iCs/>
          <w:color w:val="6C757D"/>
          <w:sz w:val="18"/>
          <w:szCs w:val="18"/>
        </w:rPr>
        <w:t xml:space="preserve">All figures in EUR, excluding VAT. Budget presented at the program level across three categories: NetSuite implementation and licensing, CFGI program support, and a management 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626"/>
      </w:tblGrid>
      <w:tr>
        <w:trPr>
          <w:tblHeader/>
        </w:trPr>
        <w:tc>
          <w:tcPr>
            <w:tcW w:type="dxa" w:w="38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Budget Line</w:t>
            </w:r>
          </w:p>
        </w:tc>
        <w:tc>
          <w:tcPr>
            <w:tcW w:type="dxa" w:w="18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Amount (EUR)</w:t>
            </w:r>
          </w:p>
        </w:tc>
        <w:tc>
          <w:tcPr>
            <w:tcW w:type="dxa" w:w="18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Type</w:t>
            </w:r>
          </w:p>
        </w:tc>
        <w:tc>
          <w:tcPr>
            <w:tcW w:type="dxa" w:w="1626"/>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Notes</w:t>
            </w:r>
          </w:p>
        </w:tc>
      </w:tr>
      <w:tr>
        <w:tc>
          <w:tcPr>
            <w:tcW w:type="dxa" w:w="3800"/>
            <w:gridSpan w:val="4"/>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FFFFFF"/>
                <w:sz w:val="18"/>
                <w:szCs w:val="18"/>
              </w:rPr>
              <w:t xml:space="preserve">NetSuite — System and Implementation</w:t>
            </w:r>
          </w:p>
        </w:tc>
      </w:tr>
      <w:tr>
        <w:tc>
          <w:tcPr>
            <w:tcW w:type="dxa" w:w="3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8"/>
                <w:szCs w:val="18"/>
              </w:rPr>
              <w:t xml:space="preserve">NetSuite recurring license (Year 1)</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before="0" w:after="80" w:line="276"/>
              <w:jc w:val="right"/>
            </w:pPr>
            <w:r>
              <w:rPr>
                <w:rFonts w:ascii="Arial" w:cs="Arial" w:eastAsia="Arial" w:hAnsi="Arial"/>
                <w:b w:val="false"/>
                <w:bCs w:val="false"/>
                <w:i w:val="false"/>
                <w:iCs w:val="false"/>
                <w:color w:val="1A1A1A"/>
                <w:sz w:val="18"/>
                <w:szCs w:val="18"/>
              </w:rPr>
              <w:t xml:space="preserve">€ 148,589</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before="0" w:after="80" w:line="276"/>
              <w:jc w:val="center"/>
            </w:pPr>
            <w:r>
              <w:rPr>
                <w:rFonts w:ascii="Arial" w:cs="Arial" w:eastAsia="Arial" w:hAnsi="Arial"/>
                <w:b w:val="false"/>
                <w:bCs w:val="false"/>
                <w:i w:val="false"/>
                <w:iCs w:val="false"/>
                <w:color w:val="6C757D"/>
                <w:sz w:val="17"/>
                <w:szCs w:val="17"/>
              </w:rPr>
              <w:t xml:space="preserve">Annual recurring</w:t>
            </w:r>
          </w:p>
        </w:tc>
        <w:tc>
          <w:tcPr>
            <w:tcW w:type="dxa" w:w="16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Base platform, multi-entity, multi-book; after negotiated discount</w:t>
            </w:r>
          </w:p>
        </w:tc>
      </w:tr>
      <w:tr>
        <w:tc>
          <w:tcPr>
            <w:tcW w:type="dxa" w:w="3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8"/>
                <w:szCs w:val="18"/>
              </w:rPr>
              <w:t xml:space="preserve">Implementation services (fixed bid)</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right"/>
            </w:pPr>
            <w:r>
              <w:rPr>
                <w:rFonts w:ascii="Arial" w:cs="Arial" w:eastAsia="Arial" w:hAnsi="Arial"/>
                <w:b w:val="false"/>
                <w:bCs w:val="false"/>
                <w:i w:val="false"/>
                <w:iCs w:val="false"/>
                <w:color w:val="1A1A1A"/>
                <w:sz w:val="18"/>
                <w:szCs w:val="18"/>
              </w:rPr>
              <w:t xml:space="preserve">€ 388,700</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center"/>
            </w:pPr>
            <w:r>
              <w:rPr>
                <w:rFonts w:ascii="Arial" w:cs="Arial" w:eastAsia="Arial" w:hAnsi="Arial"/>
                <w:b w:val="false"/>
                <w:bCs w:val="false"/>
                <w:i w:val="false"/>
                <w:iCs w:val="false"/>
                <w:color w:val="6C757D"/>
                <w:sz w:val="17"/>
                <w:szCs w:val="17"/>
              </w:rPr>
              <w:t xml:space="preserve">Fixed fee</w:t>
            </w:r>
          </w:p>
        </w:tc>
        <w:tc>
          <w:tcPr>
            <w:tcW w:type="dxa" w:w="16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V3 SOW dated 17 Mar 2026; Phase 1 focus: R2R, P2P, multi-GAAP; O2C and Inventory included in base SOW but not activated Phase 1</w:t>
            </w:r>
          </w:p>
        </w:tc>
      </w:tr>
      <w:tr>
        <w:tc>
          <w:tcPr>
            <w:tcW w:type="dxa" w:w="3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8"/>
                <w:szCs w:val="18"/>
              </w:rPr>
              <w:t xml:space="preserve">Training</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before="0" w:after="80" w:line="276"/>
              <w:jc w:val="right"/>
            </w:pPr>
            <w:r>
              <w:rPr>
                <w:rFonts w:ascii="Arial" w:cs="Arial" w:eastAsia="Arial" w:hAnsi="Arial"/>
                <w:b w:val="false"/>
                <w:bCs w:val="false"/>
                <w:i w:val="false"/>
                <w:iCs w:val="false"/>
                <w:color w:val="1A1A1A"/>
                <w:sz w:val="18"/>
                <w:szCs w:val="18"/>
              </w:rPr>
              <w:t xml:space="preserve">€ 7,647</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before="0" w:after="80" w:line="276"/>
              <w:jc w:val="center"/>
            </w:pPr>
            <w:r>
              <w:rPr>
                <w:rFonts w:ascii="Arial" w:cs="Arial" w:eastAsia="Arial" w:hAnsi="Arial"/>
                <w:b w:val="false"/>
                <w:bCs w:val="false"/>
                <w:i w:val="false"/>
                <w:iCs w:val="false"/>
                <w:color w:val="6C757D"/>
                <w:sz w:val="17"/>
                <w:szCs w:val="17"/>
              </w:rPr>
              <w:t xml:space="preserve">Fixed fee</w:t>
            </w:r>
          </w:p>
        </w:tc>
        <w:tc>
          <w:tcPr>
            <w:tcW w:type="dxa" w:w="16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Tailored training package; after negotiated discount</w:t>
            </w:r>
          </w:p>
        </w:tc>
      </w:tr>
      <w:tr>
        <w:tc>
          <w:tcPr>
            <w:tcW w:type="dxa" w:w="3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8"/>
                <w:szCs w:val="18"/>
              </w:rPr>
              <w:t xml:space="preserve">Travel (capped)</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right"/>
            </w:pPr>
            <w:r>
              <w:rPr>
                <w:rFonts w:ascii="Arial" w:cs="Arial" w:eastAsia="Arial" w:hAnsi="Arial"/>
                <w:b w:val="false"/>
                <w:bCs w:val="false"/>
                <w:i w:val="false"/>
                <w:iCs w:val="false"/>
                <w:color w:val="1A1A1A"/>
                <w:sz w:val="18"/>
                <w:szCs w:val="18"/>
              </w:rPr>
              <w:t xml:space="preserve">€ 18,000</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center"/>
            </w:pPr>
            <w:r>
              <w:rPr>
                <w:rFonts w:ascii="Arial" w:cs="Arial" w:eastAsia="Arial" w:hAnsi="Arial"/>
                <w:b w:val="false"/>
                <w:bCs w:val="false"/>
                <w:i w:val="false"/>
                <w:iCs w:val="false"/>
                <w:color w:val="6C757D"/>
                <w:sz w:val="17"/>
                <w:szCs w:val="17"/>
              </w:rPr>
              <w:t xml:space="preserve">Capped T&amp;M</w:t>
            </w:r>
          </w:p>
        </w:tc>
        <w:tc>
          <w:tcPr>
            <w:tcW w:type="dxa" w:w="16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Paris-based team travel; hard cap agreed</w:t>
            </w:r>
          </w:p>
        </w:tc>
      </w:tr>
      <w:tr>
        <w:tc>
          <w:tcPr>
            <w:tcW w:type="dxa" w:w="3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1A1A1A"/>
                <w:sz w:val="18"/>
                <w:szCs w:val="18"/>
              </w:rPr>
              <w:t xml:space="preserve">NetSuite subtotal</w:t>
            </w:r>
          </w:p>
        </w:tc>
        <w:tc>
          <w:tcPr>
            <w:tcW w:type="dxa" w:w="1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before="0" w:after="80" w:line="276"/>
              <w:jc w:val="right"/>
            </w:pPr>
            <w:r>
              <w:rPr>
                <w:rFonts w:ascii="Arial" w:cs="Arial" w:eastAsia="Arial" w:hAnsi="Arial"/>
                <w:b/>
                <w:bCs/>
                <w:i w:val="false"/>
                <w:iCs w:val="false"/>
                <w:color w:val="1F3864"/>
                <w:sz w:val="18"/>
                <w:szCs w:val="18"/>
              </w:rPr>
              <w:t xml:space="preserve">€ 562,936</w:t>
            </w:r>
          </w:p>
        </w:tc>
        <w:tc>
          <w:tcPr>
            <w:tcW w:type="dxa" w:w="1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before="0" w:after="80" w:line="276"/>
              <w:jc w:val="center"/>
            </w:pPr>
            <w:r>
              <w:rPr>
                <w:rFonts w:ascii="Arial" w:cs="Arial" w:eastAsia="Arial" w:hAnsi="Arial"/>
                <w:b w:val="false"/>
                <w:bCs w:val="false"/>
                <w:i w:val="false"/>
                <w:iCs w:val="false"/>
                <w:color w:val="6C757D"/>
                <w:sz w:val="17"/>
                <w:szCs w:val="17"/>
              </w:rPr>
              <w:t xml:space="preserve"/>
            </w:r>
          </w:p>
        </w:tc>
        <w:tc>
          <w:tcPr>
            <w:tcW w:type="dxa" w:w="1626"/>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
            </w:r>
          </w:p>
        </w:tc>
      </w:tr>
      <w:tr>
        <w:tc>
          <w:tcPr>
            <w:tcW w:type="dxa" w:w="3800"/>
            <w:gridSpan w:val="4"/>
            <w:tcBorders>
              <w:top w:val="single" w:color="C8CDD3" w:sz="1"/>
              <w:left w:val="single" w:color="C8CDD3" w:sz="1"/>
              <w:bottom w:val="single" w:color="C8CDD3" w:sz="1"/>
              <w:right w:val="single" w:color="C8CDD3" w:sz="1"/>
            </w:tcBorders>
            <w:shd w:fill="2E5EA8"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FFFFFF"/>
                <w:sz w:val="18"/>
                <w:szCs w:val="18"/>
              </w:rPr>
              <w:t xml:space="preserve">CFGI — Integrated Program Support</w:t>
            </w:r>
          </w:p>
        </w:tc>
      </w:tr>
      <w:tr>
        <w:tc>
          <w:tcPr>
            <w:tcW w:type="dxa" w:w="38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8"/>
                <w:szCs w:val="18"/>
              </w:rPr>
              <w:t xml:space="preserve">Technical and controls oversight</w:t>
            </w:r>
          </w:p>
        </w:tc>
        <w:tc>
          <w:tcPr>
            <w:tcW w:type="dxa" w:w="18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before="0" w:after="80" w:line="276"/>
              <w:jc w:val="right"/>
            </w:pPr>
            <w:r>
              <w:rPr>
                <w:rFonts w:ascii="Arial" w:cs="Arial" w:eastAsia="Arial" w:hAnsi="Arial"/>
                <w:b w:val="false"/>
                <w:bCs w:val="false"/>
                <w:i w:val="false"/>
                <w:iCs w:val="false"/>
                <w:color w:val="1A1A1A"/>
                <w:sz w:val="18"/>
                <w:szCs w:val="18"/>
              </w:rPr>
              <w:t xml:space="preserve">€ 70,000</w:t>
            </w:r>
          </w:p>
        </w:tc>
        <w:tc>
          <w:tcPr>
            <w:tcW w:type="dxa" w:w="18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before="0" w:after="80" w:line="276"/>
              <w:jc w:val="center"/>
            </w:pPr>
            <w:r>
              <w:rPr>
                <w:rFonts w:ascii="Arial" w:cs="Arial" w:eastAsia="Arial" w:hAnsi="Arial"/>
                <w:b w:val="false"/>
                <w:bCs w:val="false"/>
                <w:i w:val="false"/>
                <w:iCs w:val="false"/>
                <w:color w:val="6C757D"/>
                <w:sz w:val="17"/>
                <w:szCs w:val="17"/>
              </w:rPr>
              <w:t xml:space="preserve">Fixed fee</w:t>
            </w:r>
          </w:p>
        </w:tc>
        <w:tc>
          <w:tcPr>
            <w:tcW w:type="dxa" w:w="1626"/>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Design checkpoint reviews; controls-by-design deliverable; go/no-go assessment</w:t>
            </w:r>
          </w:p>
        </w:tc>
      </w:tr>
      <w:tr>
        <w:tc>
          <w:tcPr>
            <w:tcW w:type="dxa" w:w="3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8"/>
                <w:szCs w:val="18"/>
              </w:rPr>
              <w:t xml:space="preserve">Program governance (Walid / Youness)</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right"/>
            </w:pPr>
            <w:r>
              <w:rPr>
                <w:rFonts w:ascii="Arial" w:cs="Arial" w:eastAsia="Arial" w:hAnsi="Arial"/>
                <w:b w:val="false"/>
                <w:bCs w:val="false"/>
                <w:i w:val="false"/>
                <w:iCs w:val="false"/>
                <w:color w:val="1A1A1A"/>
                <w:sz w:val="18"/>
                <w:szCs w:val="18"/>
              </w:rPr>
              <w:t xml:space="preserve">€ 110,000</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center"/>
            </w:pPr>
            <w:r>
              <w:rPr>
                <w:rFonts w:ascii="Arial" w:cs="Arial" w:eastAsia="Arial" w:hAnsi="Arial"/>
                <w:b w:val="false"/>
                <w:bCs w:val="false"/>
                <w:i w:val="false"/>
                <w:iCs w:val="false"/>
                <w:color w:val="6C757D"/>
                <w:sz w:val="17"/>
                <w:szCs w:val="17"/>
              </w:rPr>
              <w:t xml:space="preserve">T&amp;M (capped)</w:t>
            </w:r>
          </w:p>
        </w:tc>
        <w:tc>
          <w:tcPr>
            <w:tcW w:type="dxa" w:w="16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Paris-based PMO; flash reporting; steering committee facilitation; 35 weeks</w:t>
            </w:r>
          </w:p>
        </w:tc>
      </w:tr>
      <w:tr>
        <w:tc>
          <w:tcPr>
            <w:tcW w:type="dxa" w:w="38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8"/>
                <w:szCs w:val="18"/>
              </w:rPr>
              <w:t xml:space="preserve">Change management and adoption</w:t>
            </w:r>
          </w:p>
        </w:tc>
        <w:tc>
          <w:tcPr>
            <w:tcW w:type="dxa" w:w="18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before="0" w:after="80" w:line="276"/>
              <w:jc w:val="right"/>
            </w:pPr>
            <w:r>
              <w:rPr>
                <w:rFonts w:ascii="Arial" w:cs="Arial" w:eastAsia="Arial" w:hAnsi="Arial"/>
                <w:b w:val="false"/>
                <w:bCs w:val="false"/>
                <w:i w:val="false"/>
                <w:iCs w:val="false"/>
                <w:color w:val="1A1A1A"/>
                <w:sz w:val="18"/>
                <w:szCs w:val="18"/>
              </w:rPr>
              <w:t xml:space="preserve">€ 40,000</w:t>
            </w:r>
          </w:p>
        </w:tc>
        <w:tc>
          <w:tcPr>
            <w:tcW w:type="dxa" w:w="18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before="0" w:after="80" w:line="276"/>
              <w:jc w:val="center"/>
            </w:pPr>
            <w:r>
              <w:rPr>
                <w:rFonts w:ascii="Arial" w:cs="Arial" w:eastAsia="Arial" w:hAnsi="Arial"/>
                <w:b w:val="false"/>
                <w:bCs w:val="false"/>
                <w:i w:val="false"/>
                <w:iCs w:val="false"/>
                <w:color w:val="6C757D"/>
                <w:sz w:val="17"/>
                <w:szCs w:val="17"/>
              </w:rPr>
              <w:t xml:space="preserve">T&amp;M (capped)</w:t>
            </w:r>
          </w:p>
        </w:tc>
        <w:tc>
          <w:tcPr>
            <w:tcW w:type="dxa" w:w="1626"/>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Stakeholder mapping; comms plan; training coordination; adoption checks</w:t>
            </w:r>
          </w:p>
        </w:tc>
      </w:tr>
      <w:tr>
        <w:tc>
          <w:tcPr>
            <w:tcW w:type="dxa" w:w="3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1A1A1A"/>
                <w:sz w:val="18"/>
                <w:szCs w:val="18"/>
              </w:rPr>
              <w:t xml:space="preserve">CFGI subtotal</w:t>
            </w:r>
          </w:p>
        </w:tc>
        <w:tc>
          <w:tcPr>
            <w:tcW w:type="dxa" w:w="1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before="0" w:after="80" w:line="276"/>
              <w:jc w:val="right"/>
            </w:pPr>
            <w:r>
              <w:rPr>
                <w:rFonts w:ascii="Arial" w:cs="Arial" w:eastAsia="Arial" w:hAnsi="Arial"/>
                <w:b/>
                <w:bCs/>
                <w:i w:val="false"/>
                <w:iCs w:val="false"/>
                <w:color w:val="2E5EA8"/>
                <w:sz w:val="18"/>
                <w:szCs w:val="18"/>
              </w:rPr>
              <w:t xml:space="preserve">€ 220,000</w:t>
            </w:r>
          </w:p>
        </w:tc>
        <w:tc>
          <w:tcPr>
            <w:tcW w:type="dxa" w:w="1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before="0" w:after="80" w:line="276"/>
              <w:jc w:val="center"/>
            </w:pPr>
            <w:r>
              <w:rPr>
                <w:rFonts w:ascii="Arial" w:cs="Arial" w:eastAsia="Arial" w:hAnsi="Arial"/>
                <w:b w:val="false"/>
                <w:bCs w:val="false"/>
                <w:i w:val="false"/>
                <w:iCs w:val="false"/>
                <w:color w:val="6C757D"/>
                <w:sz w:val="17"/>
                <w:szCs w:val="17"/>
              </w:rPr>
              <w:t xml:space="preserve"/>
            </w:r>
          </w:p>
        </w:tc>
        <w:tc>
          <w:tcPr>
            <w:tcW w:type="dxa" w:w="1626"/>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
            </w:r>
          </w:p>
        </w:tc>
      </w:tr>
      <w:tr>
        <w:tc>
          <w:tcPr>
            <w:tcW w:type="dxa" w:w="3800"/>
            <w:gridSpan w:val="4"/>
            <w:tcBorders>
              <w:top w:val="single" w:color="C8CDD3" w:sz="1"/>
              <w:left w:val="single" w:color="C8CDD3" w:sz="1"/>
              <w:bottom w:val="single" w:color="C8CDD3" w:sz="1"/>
              <w:right w:val="single" w:color="C8CDD3" w:sz="1"/>
            </w:tcBorders>
            <w:shd w:fill="0B5E5E"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FFFFFF"/>
                <w:sz w:val="18"/>
                <w:szCs w:val="18"/>
              </w:rPr>
              <w:t xml:space="preserve">Management Reserve — Finance Team Capacity</w:t>
            </w:r>
          </w:p>
        </w:tc>
      </w:tr>
      <w:tr>
        <w:tc>
          <w:tcPr>
            <w:tcW w:type="dxa" w:w="3800"/>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8"/>
                <w:szCs w:val="18"/>
              </w:rPr>
              <w:t xml:space="preserve">Interim / fractional finance resource support</w:t>
            </w:r>
          </w:p>
        </w:tc>
        <w:tc>
          <w:tcPr>
            <w:tcW w:type="dxa" w:w="1800"/>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before="0" w:after="80" w:line="276"/>
              <w:jc w:val="right"/>
            </w:pPr>
            <w:r>
              <w:rPr>
                <w:rFonts w:ascii="Arial" w:cs="Arial" w:eastAsia="Arial" w:hAnsi="Arial"/>
                <w:b w:val="false"/>
                <w:bCs w:val="false"/>
                <w:i w:val="false"/>
                <w:iCs w:val="false"/>
                <w:color w:val="1A1A1A"/>
                <w:sz w:val="18"/>
                <w:szCs w:val="18"/>
              </w:rPr>
              <w:t xml:space="preserve">€ 85,000</w:t>
            </w:r>
          </w:p>
        </w:tc>
        <w:tc>
          <w:tcPr>
            <w:tcW w:type="dxa" w:w="1800"/>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before="0" w:after="80" w:line="276"/>
              <w:jc w:val="center"/>
            </w:pPr>
            <w:r>
              <w:rPr>
                <w:rFonts w:ascii="Arial" w:cs="Arial" w:eastAsia="Arial" w:hAnsi="Arial"/>
                <w:b w:val="false"/>
                <w:bCs w:val="false"/>
                <w:i w:val="false"/>
                <w:iCs w:val="false"/>
                <w:color w:val="6C757D"/>
                <w:sz w:val="17"/>
                <w:szCs w:val="17"/>
              </w:rPr>
              <w:t xml:space="preserve">T&amp;M (reserve)</w:t>
            </w:r>
          </w:p>
        </w:tc>
        <w:tc>
          <w:tcPr>
            <w:tcW w:type="dxa" w:w="1626"/>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Backstop capacity for finance team during peak phases; covers interim or advisory resources as needed</w:t>
            </w:r>
          </w:p>
        </w:tc>
      </w:tr>
      <w:tr>
        <w:tc>
          <w:tcPr>
            <w:tcW w:type="dxa" w:w="3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8"/>
                <w:szCs w:val="18"/>
              </w:rPr>
              <w:t xml:space="preserve">Training, readiness, and user enablement</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right"/>
            </w:pPr>
            <w:r>
              <w:rPr>
                <w:rFonts w:ascii="Arial" w:cs="Arial" w:eastAsia="Arial" w:hAnsi="Arial"/>
                <w:b w:val="false"/>
                <w:bCs w:val="false"/>
                <w:i w:val="false"/>
                <w:iCs w:val="false"/>
                <w:color w:val="1A1A1A"/>
                <w:sz w:val="18"/>
                <w:szCs w:val="18"/>
              </w:rPr>
              <w:t xml:space="preserve">€ 37,000</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center"/>
            </w:pPr>
            <w:r>
              <w:rPr>
                <w:rFonts w:ascii="Arial" w:cs="Arial" w:eastAsia="Arial" w:hAnsi="Arial"/>
                <w:b w:val="false"/>
                <w:bCs w:val="false"/>
                <w:i w:val="false"/>
                <w:iCs w:val="false"/>
                <w:color w:val="6C757D"/>
                <w:sz w:val="17"/>
                <w:szCs w:val="17"/>
              </w:rPr>
              <w:t xml:space="preserve">Reserve</w:t>
            </w:r>
          </w:p>
        </w:tc>
        <w:tc>
          <w:tcPr>
            <w:tcW w:type="dxa" w:w="16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Supplemental training, system admin ramp-up, or third-party enablement tools beyond base NetSuite package</w:t>
            </w:r>
          </w:p>
        </w:tc>
      </w:tr>
      <w:tr>
        <w:tc>
          <w:tcPr>
            <w:tcW w:type="dxa" w:w="3800"/>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8"/>
                <w:szCs w:val="18"/>
              </w:rPr>
              <w:t xml:space="preserve">Data migration and cutover preparation</w:t>
            </w:r>
          </w:p>
        </w:tc>
        <w:tc>
          <w:tcPr>
            <w:tcW w:type="dxa" w:w="1800"/>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before="0" w:after="80" w:line="276"/>
              <w:jc w:val="right"/>
            </w:pPr>
            <w:r>
              <w:rPr>
                <w:rFonts w:ascii="Arial" w:cs="Arial" w:eastAsia="Arial" w:hAnsi="Arial"/>
                <w:b w:val="false"/>
                <w:bCs w:val="false"/>
                <w:i w:val="false"/>
                <w:iCs w:val="false"/>
                <w:color w:val="1A1A1A"/>
                <w:sz w:val="18"/>
                <w:szCs w:val="18"/>
              </w:rPr>
              <w:t xml:space="preserve">€ 35,000</w:t>
            </w:r>
          </w:p>
        </w:tc>
        <w:tc>
          <w:tcPr>
            <w:tcW w:type="dxa" w:w="1800"/>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before="0" w:after="80" w:line="276"/>
              <w:jc w:val="center"/>
            </w:pPr>
            <w:r>
              <w:rPr>
                <w:rFonts w:ascii="Arial" w:cs="Arial" w:eastAsia="Arial" w:hAnsi="Arial"/>
                <w:b w:val="false"/>
                <w:bCs w:val="false"/>
                <w:i w:val="false"/>
                <w:iCs w:val="false"/>
                <w:color w:val="6C757D"/>
                <w:sz w:val="17"/>
                <w:szCs w:val="17"/>
              </w:rPr>
              <w:t xml:space="preserve">Reserve</w:t>
            </w:r>
          </w:p>
        </w:tc>
        <w:tc>
          <w:tcPr>
            <w:tcW w:type="dxa" w:w="1626"/>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Third-party support for data cleansing, mock loads, or cutover coordination if internal capacity is insufficient</w:t>
            </w:r>
          </w:p>
        </w:tc>
      </w:tr>
      <w:tr>
        <w:tc>
          <w:tcPr>
            <w:tcW w:type="dxa" w:w="3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8"/>
                <w:szCs w:val="18"/>
              </w:rPr>
              <w:t xml:space="preserve">Contingency and scope buffer</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right"/>
            </w:pPr>
            <w:r>
              <w:rPr>
                <w:rFonts w:ascii="Arial" w:cs="Arial" w:eastAsia="Arial" w:hAnsi="Arial"/>
                <w:b w:val="false"/>
                <w:bCs w:val="false"/>
                <w:i w:val="false"/>
                <w:iCs w:val="false"/>
                <w:color w:val="1A1A1A"/>
                <w:sz w:val="18"/>
                <w:szCs w:val="18"/>
              </w:rPr>
              <w:t xml:space="preserve">€ 60,000</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center"/>
            </w:pPr>
            <w:r>
              <w:rPr>
                <w:rFonts w:ascii="Arial" w:cs="Arial" w:eastAsia="Arial" w:hAnsi="Arial"/>
                <w:b w:val="false"/>
                <w:bCs w:val="false"/>
                <w:i w:val="false"/>
                <w:iCs w:val="false"/>
                <w:color w:val="6C757D"/>
                <w:sz w:val="17"/>
                <w:szCs w:val="17"/>
              </w:rPr>
              <w:t xml:space="preserve">Reserve</w:t>
            </w:r>
          </w:p>
        </w:tc>
        <w:tc>
          <w:tcPr>
            <w:tcW w:type="dxa" w:w="16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Held for unforeseen scope, regulatory adjustments (e.g., French e-invoicing confirmation), or integration complexity</w:t>
            </w:r>
          </w:p>
        </w:tc>
      </w:tr>
      <w:tr>
        <w:tc>
          <w:tcPr>
            <w:tcW w:type="dxa" w:w="3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1A1A1A"/>
                <w:sz w:val="18"/>
                <w:szCs w:val="18"/>
              </w:rPr>
              <w:t xml:space="preserve">Reserve subtotal</w:t>
            </w:r>
          </w:p>
        </w:tc>
        <w:tc>
          <w:tcPr>
            <w:tcW w:type="dxa" w:w="1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before="0" w:after="80" w:line="276"/>
              <w:jc w:val="right"/>
            </w:pPr>
            <w:r>
              <w:rPr>
                <w:rFonts w:ascii="Arial" w:cs="Arial" w:eastAsia="Arial" w:hAnsi="Arial"/>
                <w:b/>
                <w:bCs/>
                <w:i w:val="false"/>
                <w:iCs w:val="false"/>
                <w:color w:val="0B5E5E"/>
                <w:sz w:val="18"/>
                <w:szCs w:val="18"/>
              </w:rPr>
              <w:t xml:space="preserve">€ 217,000</w:t>
            </w:r>
          </w:p>
        </w:tc>
        <w:tc>
          <w:tcPr>
            <w:tcW w:type="dxa" w:w="18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before="0" w:after="80" w:line="276"/>
              <w:jc w:val="center"/>
            </w:pPr>
            <w:r>
              <w:rPr>
                <w:rFonts w:ascii="Arial" w:cs="Arial" w:eastAsia="Arial" w:hAnsi="Arial"/>
                <w:b w:val="false"/>
                <w:bCs w:val="false"/>
                <w:i w:val="false"/>
                <w:iCs w:val="false"/>
                <w:color w:val="6C757D"/>
                <w:sz w:val="17"/>
                <w:szCs w:val="17"/>
              </w:rPr>
              <w:t xml:space="preserve"/>
            </w:r>
          </w:p>
        </w:tc>
        <w:tc>
          <w:tcPr>
            <w:tcW w:type="dxa" w:w="1626"/>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
            </w:r>
          </w:p>
        </w:tc>
      </w:tr>
      <w:tr>
        <w:tc>
          <w:tcPr>
            <w:tcW w:type="dxa" w:w="38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tcPr>
          <w:p>
            <w:pPr>
              <w:spacing w:before="0" w:after="80" w:line="276"/>
              <w:jc w:val="left"/>
            </w:pPr>
            <w:r>
              <w:rPr>
                <w:rFonts w:ascii="Arial" w:cs="Arial" w:eastAsia="Arial" w:hAnsi="Arial"/>
                <w:b/>
                <w:bCs/>
                <w:i w:val="false"/>
                <w:iCs w:val="false"/>
                <w:color w:val="FFFFFF"/>
                <w:sz w:val="20"/>
                <w:szCs w:val="20"/>
              </w:rPr>
              <w:t xml:space="preserve">TOTAL PROGRAM BUDGET (YEAR 1)</w:t>
            </w:r>
          </w:p>
        </w:tc>
        <w:tc>
          <w:tcPr>
            <w:tcW w:type="dxa" w:w="18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tcPr>
          <w:p>
            <w:pPr>
              <w:spacing w:before="0" w:after="80" w:line="276"/>
              <w:jc w:val="right"/>
            </w:pPr>
            <w:r>
              <w:rPr>
                <w:rFonts w:ascii="Arial" w:cs="Arial" w:eastAsia="Arial" w:hAnsi="Arial"/>
                <w:b/>
                <w:bCs/>
                <w:i w:val="false"/>
                <w:iCs w:val="false"/>
                <w:color w:val="FFFFFF"/>
                <w:sz w:val="20"/>
                <w:szCs w:val="20"/>
              </w:rPr>
              <w:t xml:space="preserve">€ 999,936</w:t>
            </w:r>
          </w:p>
        </w:tc>
        <w:tc>
          <w:tcPr>
            <w:tcW w:type="dxa" w:w="18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tcPr>
          <w:p>
            <w:pPr>
              <w:spacing w:before="0" w:after="80" w:line="276"/>
              <w:jc w:val="left"/>
            </w:pPr>
            <w:r>
              <w:rPr>
                <w:rFonts w:ascii="Arial" w:cs="Arial" w:eastAsia="Arial" w:hAnsi="Arial"/>
                <w:b w:val="false"/>
                <w:bCs w:val="false"/>
                <w:i w:val="false"/>
                <w:iCs w:val="false"/>
                <w:color w:val="1A1A1A"/>
                <w:sz w:val="20"/>
                <w:szCs w:val="20"/>
              </w:rPr>
              <w:t xml:space="preserve"/>
            </w:r>
          </w:p>
        </w:tc>
        <w:tc>
          <w:tcPr>
            <w:tcW w:type="dxa" w:w="1626"/>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tcPr>
          <w:p>
            <w:pPr>
              <w:spacing w:before="0" w:after="80" w:line="276"/>
              <w:jc w:val="left"/>
            </w:pPr>
            <w:r>
              <w:rPr>
                <w:rFonts w:ascii="Arial" w:cs="Arial" w:eastAsia="Arial" w:hAnsi="Arial"/>
                <w:b w:val="false"/>
                <w:bCs w:val="false"/>
                <w:i w:val="false"/>
                <w:iCs w:val="false"/>
                <w:color w:val="D6E4F7"/>
                <w:sz w:val="17"/>
                <w:szCs w:val="17"/>
              </w:rPr>
              <w:t xml:space="preserve">Excl. VAT. Phase 2 (O2C, Inventory) scoped and contracted separately in 2027.</w:t>
            </w:r>
          </w:p>
        </w:tc>
      </w:tr>
    </w:tbl>
    <w:p>
      <w:pPr>
        <w:spacing w:before="0" w:after="100"/>
      </w:pPr>
      <w:r>
        <w:rPr>
          <w:rFonts w:ascii="Arial" w:cs="Arial" w:eastAsia="Arial" w:hAnsi="Arial"/>
          <w:b w:val="false"/>
          <w:bCs w:val="false"/>
          <w:i w:val="false"/>
          <w:iCs w:val="false"/>
          <w:color w:val="1A1A1A"/>
          <w:sz w:val="20"/>
          <w:szCs w:val="20"/>
        </w:rPr>
        <w:t xml:space="preserve"/>
      </w:r>
    </w:p>
    <w:p>
      <w:pPr>
        <w:spacing w:before="0" w:after="80" w:line="276"/>
        <w:jc w:val="left"/>
      </w:pPr>
      <w:r>
        <w:rPr>
          <w:rFonts w:ascii="Arial" w:cs="Arial" w:eastAsia="Arial" w:hAnsi="Arial"/>
          <w:b w:val="false"/>
          <w:bCs w:val="false"/>
          <w:i/>
          <w:iCs/>
          <w:color w:val="6C757D"/>
          <w:sz w:val="16"/>
          <w:szCs w:val="16"/>
        </w:rPr>
        <w:t xml:space="preserve">Notes: (1) NetSuite implementation fee is the fixed bid from V3 SOW dated March 17, 2026 (€388,700). Phase 1 activates R2R, P2P, and multi-GAAP; O2C and Inventory are included in the base SOW but will not be activated in Phase 1. (2) CFGI support fees are subject to contract; figures reflect the target range communicated to CFGI. (3) Management reserve is held by the program director and requires written approval to release.</w:t>
      </w:r>
    </w:p>
    <w:p>
      <w:pPr>
        <w:spacing w:before="0" w:after="260"/>
      </w:pPr>
      <w:r>
        <w:rPr>
          <w:rFonts w:ascii="Arial" w:cs="Arial" w:eastAsia="Arial" w:hAnsi="Arial"/>
          <w:b w:val="false"/>
          <w:bCs w:val="false"/>
          <w:i w:val="false"/>
          <w:iCs w:val="false"/>
          <w:color w:val="1A1A1A"/>
          <w:sz w:val="20"/>
          <w:szCs w:val="20"/>
        </w:rPr>
        <w:t xml:space="preserve"/>
      </w:r>
    </w:p>
    <w:p>
      <w:pPr>
        <w:pStyle w:val="Heading1"/>
        <w:spacing w:before="300" w:after="140"/>
      </w:pPr>
      <w:r>
        <w:rPr>
          <w:rFonts w:ascii="Arial" w:cs="Arial" w:eastAsia="Arial" w:hAnsi="Arial"/>
          <w:b/>
          <w:bCs/>
          <w:color w:val="1F3864"/>
          <w:sz w:val="28"/>
          <w:szCs w:val="28"/>
        </w:rPr>
        <w:t xml:space="preserve">Key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226"/>
      </w:tblGrid>
      <w:tr>
        <w:trPr>
          <w:tblHeader/>
        </w:trPr>
        <w:tc>
          <w:tcPr>
            <w:tcW w:type="dxa" w:w="28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Risk</w:t>
            </w:r>
          </w:p>
        </w:tc>
        <w:tc>
          <w:tcPr>
            <w:tcW w:type="dxa" w:w="10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Level</w:t>
            </w:r>
          </w:p>
        </w:tc>
        <w:tc>
          <w:tcPr>
            <w:tcW w:type="dxa" w:w="5226"/>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Mitigation</w:t>
            </w:r>
          </w:p>
        </w:tc>
      </w:tr>
      <w:tr>
        <w:tc>
          <w:tcPr>
            <w:tcW w:type="dxa" w:w="2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Multi-GAAP configuration complexity causes late rework</w:t>
            </w:r>
          </w:p>
        </w:tc>
        <w:tc>
          <w:tcPr>
            <w:tcW w:type="dxa" w:w="1000"/>
            <w:tcBorders>
              <w:top w:val="single" w:color="C8CDD3" w:sz="1"/>
              <w:left w:val="single" w:color="C8CDD3" w:sz="1"/>
              <w:bottom w:val="single" w:color="C8CDD3" w:sz="1"/>
              <w:right w:val="single" w:color="C8CDD3" w:sz="1"/>
            </w:tcBorders>
            <w:shd w:fill="FFF3CD"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BF6C00"/>
                <w:sz w:val="18"/>
                <w:szCs w:val="18"/>
              </w:rPr>
              <w:t xml:space="preserve">Medium</w:t>
            </w:r>
          </w:p>
        </w:tc>
        <w:tc>
          <w:tcPr>
            <w:tcW w:type="dxa" w:w="52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Hafid Irbaiyne (ex-CFO, French CPA) leads design; CFGI controls-by-design review at blueprint stage</w:t>
            </w:r>
          </w:p>
        </w:tc>
      </w:tr>
      <w:tr>
        <w:tc>
          <w:tcPr>
            <w:tcW w:type="dxa" w:w="2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Finance team capacity constrained during peak implementation</w:t>
            </w:r>
          </w:p>
        </w:tc>
        <w:tc>
          <w:tcPr>
            <w:tcW w:type="dxa" w:w="1000"/>
            <w:tcBorders>
              <w:top w:val="single" w:color="C8CDD3" w:sz="1"/>
              <w:left w:val="single" w:color="C8CDD3" w:sz="1"/>
              <w:bottom w:val="single" w:color="C8CDD3" w:sz="1"/>
              <w:right w:val="single" w:color="C8CDD3" w:sz="1"/>
            </w:tcBorders>
            <w:shd w:fill="FFF3CD"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BF6C00"/>
                <w:sz w:val="18"/>
                <w:szCs w:val="18"/>
              </w:rPr>
              <w:t xml:space="preserve">Medium</w:t>
            </w:r>
          </w:p>
        </w:tc>
        <w:tc>
          <w:tcPr>
            <w:tcW w:type="dxa" w:w="52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€ 85K reserve allocated for interim / fractional support; Walid manages workload visibility on the ground</w:t>
            </w:r>
          </w:p>
        </w:tc>
      </w:tr>
      <w:tr>
        <w:tc>
          <w:tcPr>
            <w:tcW w:type="dxa" w:w="2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French e-invoicing regulatory scope underestimated</w:t>
            </w:r>
          </w:p>
        </w:tc>
        <w:tc>
          <w:tcPr>
            <w:tcW w:type="dxa" w:w="1000"/>
            <w:tcBorders>
              <w:top w:val="single" w:color="C8CDD3" w:sz="1"/>
              <w:left w:val="single" w:color="C8CDD3" w:sz="1"/>
              <w:bottom w:val="single" w:color="C8CDD3" w:sz="1"/>
              <w:right w:val="single" w:color="C8CDD3" w:sz="1"/>
            </w:tcBorders>
            <w:shd w:fill="FFF3CD"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BF6C00"/>
                <w:sz w:val="18"/>
                <w:szCs w:val="18"/>
              </w:rPr>
              <w:t xml:space="preserve">Medium</w:t>
            </w:r>
          </w:p>
        </w:tc>
        <w:tc>
          <w:tcPr>
            <w:tcW w:type="dxa" w:w="52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Confirm coverage in final NetSuite SOW before signing; reserve budget available if additional scope required</w:t>
            </w:r>
          </w:p>
        </w:tc>
      </w:tr>
      <w:tr>
        <w:tc>
          <w:tcPr>
            <w:tcW w:type="dxa" w:w="2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Data migration quality issues delay UAT</w:t>
            </w:r>
          </w:p>
        </w:tc>
        <w:tc>
          <w:tcPr>
            <w:tcW w:type="dxa" w:w="1000"/>
            <w:tcBorders>
              <w:top w:val="single" w:color="C8CDD3" w:sz="1"/>
              <w:left w:val="single" w:color="C8CDD3" w:sz="1"/>
              <w:bottom w:val="single" w:color="C8CDD3" w:sz="1"/>
              <w:right w:val="single" w:color="C8CDD3" w:sz="1"/>
            </w:tcBorders>
            <w:shd w:fill="FFF3CD"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BF6C00"/>
                <w:sz w:val="18"/>
                <w:szCs w:val="18"/>
              </w:rPr>
              <w:t xml:space="preserve">Medium</w:t>
            </w:r>
          </w:p>
        </w:tc>
        <w:tc>
          <w:tcPr>
            <w:tcW w:type="dxa" w:w="52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RACI confirmed: Abivax owns data cleansing (R). Reserve budget available to support third-party data preparation assistance if needed</w:t>
            </w:r>
          </w:p>
        </w:tc>
      </w:tr>
      <w:tr>
        <w:tc>
          <w:tcPr>
            <w:tcW w:type="dxa" w:w="2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NetSuite delivery lead changes post-signing</w:t>
            </w:r>
          </w:p>
        </w:tc>
        <w:tc>
          <w:tcPr>
            <w:tcW w:type="dxa" w:w="1000"/>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1A5C38"/>
                <w:sz w:val="18"/>
                <w:szCs w:val="18"/>
              </w:rPr>
              <w:t xml:space="preserve">Low–Medium</w:t>
            </w:r>
          </w:p>
        </w:tc>
        <w:tc>
          <w:tcPr>
            <w:tcW w:type="dxa" w:w="52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Named team confirmed in contract; escalation path to Hafid as practice sponsor; CFGI present at all milestones as independent checkpoint</w:t>
            </w:r>
          </w:p>
        </w:tc>
      </w:tr>
      <w:tr>
        <w:tc>
          <w:tcPr>
            <w:tcW w:type="dxa" w:w="2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Program deprioritized due to corporate event</w:t>
            </w:r>
          </w:p>
        </w:tc>
        <w:tc>
          <w:tcPr>
            <w:tcW w:type="dxa" w:w="1000"/>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1A5C38"/>
                <w:sz w:val="18"/>
                <w:szCs w:val="18"/>
              </w:rPr>
              <w:t xml:space="preserve">Low</w:t>
            </w:r>
          </w:p>
        </w:tc>
        <w:tc>
          <w:tcPr>
            <w:tcW w:type="dxa" w:w="52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Phase 1 scope is deliberately narrow to minimize sunk cost exposure; CFGI and NetSuite contracts structured with clear pause/exit provisions</w:t>
            </w:r>
          </w:p>
        </w:tc>
      </w:tr>
    </w:tbl>
    <w:p>
      <w:pPr>
        <w:spacing w:before="0" w:after="260"/>
      </w:pPr>
      <w:r>
        <w:rPr>
          <w:rFonts w:ascii="Arial" w:cs="Arial" w:eastAsia="Arial" w:hAnsi="Arial"/>
          <w:b w:val="false"/>
          <w:bCs w:val="false"/>
          <w:i w:val="false"/>
          <w:iCs w:val="false"/>
          <w:color w:val="1A1A1A"/>
          <w:sz w:val="20"/>
          <w:szCs w:val="20"/>
        </w:rPr>
        <w:t xml:space="preserve"/>
      </w:r>
    </w:p>
    <w:p>
      <w:pPr>
        <w:pStyle w:val="Heading1"/>
        <w:spacing w:before="300" w:after="140"/>
      </w:pPr>
      <w:r>
        <w:rPr>
          <w:rFonts w:ascii="Arial" w:cs="Arial" w:eastAsia="Arial" w:hAnsi="Arial"/>
          <w:b/>
          <w:bCs/>
          <w:color w:val="1F3864"/>
          <w:sz w:val="28"/>
          <w:szCs w:val="28"/>
        </w:rPr>
        <w:t xml:space="preserve">Governance and Oversight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Forum</w:t>
            </w:r>
          </w:p>
        </w:tc>
        <w:tc>
          <w:tcPr>
            <w:tcW w:type="dxa" w:w="1800"/>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Cadence</w:t>
            </w:r>
          </w:p>
        </w:tc>
        <w:tc>
          <w:tcPr>
            <w:tcW w:type="dxa" w:w="5226"/>
            <w:tcBorders>
              <w:top w:val="single" w:color="C8CDD3" w:sz="1"/>
              <w:left w:val="single" w:color="C8CDD3" w:sz="1"/>
              <w:bottom w:val="single" w:color="C8CDD3" w:sz="1"/>
              <w:right w:val="single" w:color="C8CDD3" w:sz="1"/>
            </w:tcBorders>
            <w:shd w:fill="1F3864" w:val="clear"/>
            <w:tcMar>
              <w:top w:type="dxa" w:w="120"/>
              <w:left w:type="dxa" w:w="140"/>
              <w:bottom w:type="dxa" w:w="120"/>
              <w:right w:type="dxa" w:w="140"/>
            </w:tcMar>
            <w:vAlign w:val="center"/>
          </w:tcPr>
          <w:p>
            <w:pPr>
              <w:spacing w:before="0" w:after="80" w:line="276"/>
              <w:jc w:val="center"/>
            </w:pPr>
            <w:r>
              <w:rPr>
                <w:rFonts w:ascii="Arial" w:cs="Arial" w:eastAsia="Arial" w:hAnsi="Arial"/>
                <w:b/>
                <w:bCs/>
                <w:color w:val="FFFFFF"/>
                <w:sz w:val="18"/>
                <w:szCs w:val="18"/>
              </w:rPr>
              <w:t xml:space="preserve">Attendees and Purpose</w:t>
            </w:r>
          </w:p>
        </w:tc>
      </w:tr>
      <w:tr>
        <w:tc>
          <w:tcPr>
            <w:tcW w:type="dxa" w:w="20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Steering Committee</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6C757D"/>
                <w:sz w:val="18"/>
                <w:szCs w:val="18"/>
              </w:rPr>
              <w:t xml:space="preserve">Every 4–6 weeks</w:t>
            </w:r>
          </w:p>
        </w:tc>
        <w:tc>
          <w:tcPr>
            <w:tcW w:type="dxa" w:w="52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CFO (Didier Blondel), ERP Project Director (Mike Markman), NetSuite Practice Manager (Hafid), CFGI Program Lead (Walid). Program status, risk escalation, scope and budget decisions.</w:t>
            </w:r>
          </w:p>
        </w:tc>
      </w:tr>
      <w:tr>
        <w:tc>
          <w:tcPr>
            <w:tcW w:type="dxa" w:w="20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Program Flash Report</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6C757D"/>
                <w:sz w:val="18"/>
                <w:szCs w:val="18"/>
              </w:rPr>
              <w:t xml:space="preserve">Weekly</w:t>
            </w:r>
          </w:p>
        </w:tc>
        <w:tc>
          <w:tcPr>
            <w:tcW w:type="dxa" w:w="52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Prepared by Walid / CFGI; delivered to Mike Markman. Status, milestones, open risks, decisions needed. Two-page maximum.</w:t>
            </w:r>
          </w:p>
        </w:tc>
      </w:tr>
      <w:tr>
        <w:tc>
          <w:tcPr>
            <w:tcW w:type="dxa" w:w="20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Design Authority</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6C757D"/>
                <w:sz w:val="18"/>
                <w:szCs w:val="18"/>
              </w:rPr>
              <w:t xml:space="preserve">As needed during blueprint and build</w:t>
            </w:r>
          </w:p>
        </w:tc>
        <w:tc>
          <w:tcPr>
            <w:tcW w:type="dxa" w:w="52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NetSuite functional team, CFGI controls lead, Abivax BPOs. Configuration and design decisions; scope change management.</w:t>
            </w:r>
          </w:p>
        </w:tc>
      </w:tr>
      <w:tr>
        <w:tc>
          <w:tcPr>
            <w:tcW w:type="dxa" w:w="2000"/>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Audit Committee Update</w:t>
            </w:r>
          </w:p>
        </w:tc>
        <w:tc>
          <w:tcPr>
            <w:tcW w:type="dxa" w:w="18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6C757D"/>
                <w:sz w:val="18"/>
                <w:szCs w:val="18"/>
              </w:rPr>
              <w:t xml:space="preserve">Quarterly / as required</w:t>
            </w:r>
          </w:p>
        </w:tc>
        <w:tc>
          <w:tcPr>
            <w:tcW w:type="dxa" w:w="52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Audit Committee, CFO (Didier Blondel), ERP Project Director. SOX integration status, controls-by-design progress, go-live readiness.</w:t>
            </w:r>
          </w:p>
        </w:tc>
      </w:tr>
      <w:tr>
        <w:tc>
          <w:tcPr>
            <w:tcW w:type="dxa" w:w="2000"/>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Go / No-Go Review</w:t>
            </w:r>
          </w:p>
        </w:tc>
        <w:tc>
          <w:tcPr>
            <w:tcW w:type="dxa" w:w="18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b w:val="false"/>
                <w:bCs w:val="false"/>
                <w:i w:val="false"/>
                <w:iCs w:val="false"/>
                <w:color w:val="6C757D"/>
                <w:sz w:val="18"/>
                <w:szCs w:val="18"/>
              </w:rPr>
              <w:t xml:space="preserve">Pre-cutover (December 2026)</w:t>
            </w:r>
          </w:p>
        </w:tc>
        <w:tc>
          <w:tcPr>
            <w:tcW w:type="dxa" w:w="52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CFO (Didier Blondel), ERP Project Director, NetSuite PM, CFGI. Written readiness assessment against SOX and operational criteria before production cutover is approved.</w:t>
            </w:r>
          </w:p>
        </w:tc>
      </w:tr>
    </w:tbl>
    <w:p>
      <w:pPr>
        <w:spacing w:before="0" w:after="300"/>
      </w:pPr>
      <w:r>
        <w:rPr>
          <w:rFonts w:ascii="Arial" w:cs="Arial" w:eastAsia="Arial" w:hAnsi="Arial"/>
          <w:b w:val="false"/>
          <w:bCs w:val="false"/>
          <w:i w:val="false"/>
          <w:iCs w:val="false"/>
          <w:color w:val="1A1A1A"/>
          <w:sz w:val="20"/>
          <w:szCs w:val="20"/>
        </w:rPr>
        <w:t xml:space="preserve"/>
      </w:r>
    </w:p>
    <w:p>
      <w:pPr>
        <w:pBdr>
          <w:top w:val="single" w:color="E8EAED" w:sz="2"/>
        </w:pBdr>
        <w:spacing w:before="120" w:after="0"/>
      </w:pPr>
      <w:r>
        <w:rPr>
          <w:rFonts w:ascii="Arial" w:cs="Arial" w:eastAsia="Arial" w:hAnsi="Arial"/>
          <w:b w:val="false"/>
          <w:bCs w:val="false"/>
          <w:i w:val="false"/>
          <w:iCs w:val="false"/>
          <w:color w:val="6C757D"/>
          <w:sz w:val="15"/>
          <w:szCs w:val="15"/>
        </w:rPr>
        <w:t xml:space="preserve">Prepared for Audit Committee use. Budget figures are estimates pending final contract execution; confirmed figures will be updated prior to board approval. All vendor engagements subject to legal review and execution of formal contracts.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4"/>
      </w:pBdr>
      <w:tabs>
        <w:tab w:val="right" w:pos="9026"/>
      </w:tabs>
      <w:spacing w:before="80"/>
    </w:pPr>
    <w:r>
      <w:rPr>
        <w:rFonts w:ascii="Arial" w:cs="Arial" w:eastAsia="Arial" w:hAnsi="Arial"/>
        <w:b w:val="false"/>
        <w:bCs w:val="false"/>
        <w:i w:val="false"/>
        <w:iCs w:val="false"/>
        <w:color w:val="6C757D"/>
        <w:sz w:val="16"/>
        <w:szCs w:val="16"/>
      </w:rPr>
      <w:t xml:space="preserve">Abivax  |  Prepared by Mike Markman, ERP Project Director</w:t>
    </w:r>
    <w:r>
      <w:rPr>
        <w:rFonts w:ascii="Arial" w:cs="Arial" w:eastAsia="Arial" w:hAnsi="Arial"/>
        <w:b w:val="false"/>
        <w:bCs w:val="false"/>
        <w:i w:val="false"/>
        <w:iCs w:val="false"/>
        <w:color w:val="1A1A1A"/>
        <w:sz w:val="16"/>
        <w:szCs w:val="16"/>
      </w:rPr>
      <w:t xml:space="preserve">	</w:t>
    </w:r>
    <w:r>
      <w:rPr>
        <w:rFonts w:ascii="Arial" w:cs="Arial" w:eastAsia="Arial" w:hAnsi="Arial"/>
        <w:b w:val="false"/>
        <w:bCs w:val="false"/>
        <w:i w:val="false"/>
        <w:iCs w:val="false"/>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4"/>
      </w:pBdr>
      <w:spacing w:after="0"/>
      <w:jc w:val="right"/>
    </w:pPr>
    <w:r>
      <w:rPr>
        <w:rFonts w:ascii="Arial" w:cs="Arial" w:eastAsia="Arial" w:hAnsi="Arial"/>
        <w:b w:val="false"/>
        <w:bCs w:val="false"/>
        <w:i w:val="false"/>
        <w:iCs w:val="false"/>
        <w:color w:val="6C757D"/>
        <w:sz w:val="16"/>
        <w:szCs w:val="16"/>
      </w:rPr>
      <w:t xml:space="preserve">CONFIDENTIAL  |  ERP Program — Audit Committee Briefing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20" w:after="100"/>
      <w:outlineLvl w:val="1"/>
    </w:pPr>
    <w:rPr>
      <w:rFonts w:ascii="Arial" w:cs="Arial" w:eastAsia="Arial" w:hAnsi="Arial"/>
      <w:b/>
      <w:bCs/>
      <w:color w:val="2E5EA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2026-03-18T14:30:04.546Z</dcterms:created>
  <dcterms:modified xsi:type="dcterms:W3CDTF">2026-03-18T14:30:04.546Z</dcterms:modified>
</cp:coreProperties>
</file>

<file path=docProps/custom.xml><?xml version="1.0" encoding="utf-8"?>
<Properties xmlns="http://schemas.openxmlformats.org/officeDocument/2006/custom-properties" xmlns:vt="http://schemas.openxmlformats.org/officeDocument/2006/docPropsVTypes"/>
</file>