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500"/>
              <w:left w:type="dxa" w:w="480"/>
              <w:bottom w:type="dxa" w:w="50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TECHNICAL SPECIFICATION · VERSION 1.2.1</w:t>
            </w:r>
          </w:p>
          <w:p>
            <w:pPr>
              <w:spacing w:after="2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Behavioural Metatype Protocol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Dynamic behavioural profiles on DID with local computation, Pre-rotation key management, OID4VP presentation layer, and phased credential format strategy</w:t>
            </w:r>
          </w:p>
          <w:p>
            <w:pPr>
              <w:spacing w:after="0" w:before="24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Author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Nadzim Huseinau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July 2026 · v1.2.1 (removed sections 7.3 and 7.4 — moved to research notes)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Version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v1.0.0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Initial public release — core concept, DID architecture, Pre-rotation key management, storage map.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v1.1.0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Added local vector computation, DAO algorithm governance, combined metatype update trigger, cloud-independent storage.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v1.2.0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Added OID4VP presentation protocol, WACI DIDComm internal messaging, credential format strategy, BehaviouralMetatypeCredential schema.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v1.2.1 (current)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Removed format comparison table (7.3) and ZK predicate example (7.4) — retained in research notes.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System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BMP is a Web3 digital identity management (DID) system in which a user's behavioural profile is computed locally on their device, verified cryptographically, and used as an access key to specialised platforms.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2E6DA4" w:sz="8"/>
              <w:left w:val="single" w:color="1A3A5C" w:sz="24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Core principle: raw behavioural data never leaves the user's device. Platforms receive only a cryptographic proof of metatype membership — no underlying data, no vector, no DID linkage between sessions.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Cryptographic Foundation and Key Management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2.1 Key Generation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registration, a Seed Phrase (BIP39) is created — the single root of the user's entire key system. Independent key pairs are derived via hardened derivation (BIP32/BIP44) using indices (0', 1', 2'...).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user performs one action: write the Seed Phrase down in a physically secure location. The system handles everything else.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2.2 Pre-rotation Model (Primary)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account initialisation, the DID document records: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Public_Key_#1 (index 0') — the active operational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Hash(Public_Key_#2) (index 1') — pre-committed binding of the next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Private part of Key #2 stored off-chain in a physically secure location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Recovery procedure if Key #1 is compromised: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Owner initiates key rotation command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Smart contract enforces dual condition: Hash(submitted key) == pre-committed hash AND transaction signed by Private_Key_#2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success, Key #2 becomes new operational key and Hash(Key_#3) is published to the network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2E6DA4" w:sz="8"/>
              <w:left w:val="single" w:color="1A3A5C" w:sz="24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Pre-rotation covers operational key compromise. Full Seed Phrase loss is covered by physical backup. Shamir's Secret Sharing available optionally for advanced users.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Local Vector Computation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Principle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on-device agent collects behavioural signals and computes the vector locally in device memory. Raw signals are never transmitted to a server or the network.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Algorithm Integrity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mechanism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Metatype calculation algorithm publicly published and governed by DAO. Any user or auditor can run the same algorithm on local data and verify the result independently.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ZK-proof of computation: server provides cryptographic proof that the patch was computed using the declared algorithm on the declared input data.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Data Update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4.1 Two Update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vector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Several times per week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Automatically by the on-device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Combined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drift threshold OR maximum 90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4.2 Combined Metatype Recalculation Trigger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Threshold trigger: accumulated vector drift over past 30 days exceeds threshold X — metatype recalculated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 trigger: threshold not reached but 90 days elapsed — metatype recalculated unconditionally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Ensures metatype stability while reflecting genuine long-term behavioural drift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4.3 Patch Architecture (MVP — Ceramic Network)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data is not overwritten directly. Each update is a micro-patch per JSON Patch standard (RFC 6902), containing sequenceNumber, previousEventHash, and a digital signature.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4.4 Scaling (Merkle Root)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 the user base grows, all profile metadata is packed into a single Merkle tree. One transaction per day is sent to the blockchain — the Merkle Root of the entire system. Each user receives their data and a short Merkle Proof for instant verification.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Storage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2E6DA4" w:sz="8"/>
              <w:left w:val="single" w:color="1A3A5C" w:sz="24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No data type is stored in a third-party cloud. The system is fully independent of centralised storage providers.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behavioural signals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Device only. Deleted on 90-day rolling window after vector computation.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AES-256, local. Never transmitted.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Computed vector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Device (primary) + Ceramic Network (encrypted backup).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JWE encryption with user's key. Network sees encrypted blob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Ceramic Network + Blockchain (hash bound to DID).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 by user's choice. Vector details never exposed.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DID document and keys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Blockchain (EVM) + physical off-chain Seed Phrase backup.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Pre-rotation (primary). Shamir's Secret Sharing (optional).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Presentation Protocol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6.1 Primary Protocol — OID4VP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OpenID for Verifiable Presentations (OID4VP) is the primary protocol for metatype presentation to platforms. It covers both mobile application and web site channels through a unified flow.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Mobile application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Universal Link / App Link — wallet opens natively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tap to confirm presentation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site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Same-device redirect or cross-device QR code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Standard browser redirect or QR scan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6.2 OID4VP Presentation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Platform generates Authorization Request specifying required metatype or predicate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User's agent receives request via redirect (mobile) or QR (web)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Agent locally constructs Verifiable Presentation containing only the metatype proof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Presentation sent to platform — raw vector and behavioural data never transmitted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Platform verifies cryptographic signature and grants or denies access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6.3 Internal Communication — WACI DIDComm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WACI DIDComm is retained for internal agent-to-agent communication — specifically for encrypted patch delivery from the analytical server to the user's agent.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OID4VP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Metatype presentation to platforms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↔ Platform (frontend)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WACI DIDComm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Encrypted patch and vector updates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↔ User agent (internal)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Credential Format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2E6DA4" w:sz="8"/>
              <w:left w:val="single" w:color="1A3A5C" w:sz="24"/>
              <w:bottom w:val="none" w:color="FFFFFF" w:sz="0"/>
              <w:right w:val="none" w:color="FFFFFF" w:sz="0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The metatype is issued as a Verifiable Credential of type BehaviouralMetatypeCredential. The cryptographic format evolves across implementation stages to progressively strengthen privacy guarantees.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7.1 Credential Schema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BehaviouralMetatypeCredential contains the following fields: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Disclosure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 (e.g. systemic-generator)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Selective — revealed to platform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Float 0.0–1.0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Selective — can be used as predicate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validFrom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 8601 date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validUntil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ISO 8601 date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issuer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DID of analytical server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subjectDID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DID of user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Hidden by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vectorHash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Hash of underlying vector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Hidden — audit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driftScore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Float — stability metric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Hidden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7.2 Three-Stage Format Strategy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SD-JWT + W3C VC JSON-LD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Selective disclosure, no unlinkability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Mature ecosystem, simple platform integration, fast launch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BBS+ or ZK-SNARK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unlinkability, predicate proofs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BBS+ if unlinkability is priority. ZK-SNARK if predicate proofs without value disclosure are priority.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Long-term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ZK-SNARK native in 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Maximum privacy, predicate proofs, zero data exposure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When mobile hardware handles proof generation under 1 second comfortably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Smart Contract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registration, analytical server's public key written into user's profile smart contract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Changes to behaviour block (/behavior/metaType) permitted exclusively to the server holding that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Algorithm open and governed by DAO — anyone can verify computation integrity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third-party modification requests rejected by smart contract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Technical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streams (MVP)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Ceramic Network / IPFS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Encrypted vector storage and patch chains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Long-term archive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Filecoin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Guaranteed decentralised storage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Contract logic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(Ethereum / Polygon) + ERC-4337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DID documents, Pre-rotation, access rights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AES-256 (local) + JWE / DIDComm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Vector protection in transit and at rest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Presentation protocol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OID4VP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Metatype presentation — mobile and web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Internal messaging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WACI DIDComm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Encrypted patch delivery to agent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Credential format (MVP)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SD-JWT + W3C VC JSON-LD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Selective disclosure, platform interoperability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Credential format (scale)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BBS+ / ZK-SNARK (circom/snarkjs)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Unlinkability and predicate proofs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 (MVP)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algorithm + DAO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Metatype computation integrity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Verification (scale)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ZK-proof of computation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Cryptographic proof of algorithm execution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Merkle Accumulators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Merkle Root per day for entire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Protocol governance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DAO (governance token)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parameters, metatype algorithm, audit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Implementation Stages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 agent + one metatype + one platform + SD-JWT presentation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Ceramic, EVM, Pre-rotation, local agent, OID4VP, SD-JWT, open algorithm under DAO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Unlinkability + predicate proofs + decentralised storage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BBS+ or ZK-SNARK, Merkle Root, Filecoin, ZK-proof of computation, federated learning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Ecosystem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Platform SDK, metatype marketplace, native ZK agent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protocol, DAO treasury, ZK-SNARK native on mobile, partner platforms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3A5C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Document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Author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Nadzim Huseinau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v1.2.1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Working document, open to collaboration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document reflects all agreed architectural decisions through July 2026: local vector computation, Pre-rotation key management, combined metatype update trigger, cloud-independent storage, OID4VP presentation protocol for mobile and web, and three-stage credential format strategy from SD-JWT through ZK-SNARK.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8"/>
      </w:pBdr>
      <w:spacing w:after="0" w:before="0"/>
    </w:pPr>
    <w:r>
      <w:rPr>
        <w:rFonts w:ascii="Arial" w:cs="Arial" w:eastAsia="Arial" w:hAnsi="Arial"/>
        <w:color w:val="666666"/>
        <w:sz w:val="16"/>
        <w:szCs w:val="16"/>
      </w:rPr>
      <w:t xml:space="preserve">BMP — Technical Specification v1.2.1 — Nadzim Huseinau —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2026-07-10T10:11:39.801Z</dcterms:created>
  <dcterms:modified xsi:type="dcterms:W3CDTF">2026-07-10T10:11:39.817Z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