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500"/>
              <w:left w:type="dxa" w:w="480"/>
              <w:bottom w:type="dxa" w:w="500"/>
              <w:right w:type="dxa" w:w="4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TECHNICAL SPECIFICATION · VERSION 3.0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Behavioural Metatype Protocol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Dynamic behavioural profiles on DID with local computation, Pre-rotation key management, and phased scaling architecture</w:t>
            </w:r>
          </w:p>
          <w:p>
            <w:pPr>
              <w:spacing w:after="0" w:before="24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Author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Nadzim Huseinau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June 2026 · v3.0 (updated following architectural review)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1A3A5C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Changes from v2.0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Vector computation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Local on the user's device. Raw data never leaves the device.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Algorithm integrity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MVP: open algorithm governed by DAO. At scale: ZK-proof of computation.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 frequency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Vector: several times per week. Metatype: combined trigger (threshold + max 90 days).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Storage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Detailed storage map by data type. Full independence from third-party cloud providers.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Key management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Pre-rotation as the primary model. Shamir's Secret Sharing — optional for advanced users.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3A5C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System Overview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BMP is a Web3 digital identity management (DID) system in which a user's behavioural profile is computed locally on their device, verified cryptographically, and used as an access key to specialised platforms.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is designed for phased scaling: MVP uses a patch-chain architecture (Ceramic Network), with a seamless transition to accumulative architecture (Merkle Root) as the user base grows.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2E6DA4" w:sz="8"/>
              <w:left w:val="single" w:color="1A3A5C" w:sz="24"/>
              <w:bottom w:val="none" w:color="FFFFFF" w:sz="0"/>
              <w:right w:val="none" w:color="FFFFFF" w:sz="0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Core principle: raw behavioural data never leaves the user's device. Only the encrypted computed vector and the public metatype are transmitted to external layers.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3A5C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Cryptographic Foundation and Key Management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2.1 Key Generation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 registration, a Seed Phrase (BIP39) is created — the single root of the user's entire key system. A sequence of independent key pairs is derived from it via hardened derivation (BIP32/BIP44) using indices (0', 1', 2'...).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user performs one action: write the Seed Phrase down in a physically secure location. The system handles everything else.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2.2 Pre-rotation Model (Primary)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 account initialisation, the DID document records: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Public_Key_#1 (index 0') — the active operational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Hash(Public_Key_#2) (index 1') — pre-committed binding of the next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private part of Key #2 is stored off-chain in a physically secure location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Recovery procedure if Key #1 is compromised: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owner initiates a key rotation command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smart contract enforces a dual condition: Hash(submitted key) == pre-committed hash AND the transaction is signed by Private_Key_#2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success, Key #2 becomes the new operational key and Hash(Key_#3) is published to the network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2E6DA4" w:sz="8"/>
              <w:left w:val="single" w:color="1A3A5C" w:sz="24"/>
              <w:bottom w:val="none" w:color="FFFFFF" w:sz="0"/>
              <w:right w:val="none" w:color="FFFFFF" w:sz="0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Pre-rotation covers the scenario of operational key compromise. Full loss of the Seed Phrase is covered by physical backup. Shamir's Secret Sharing is available optionally for advanced users.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3A5C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Local Vector Computation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3.1 Principle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agent installed on the user's device collects behavioural signals and computes the vector locally — in device memory. Raw signals are never transmitted to a server or the network.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3.2 Algorithm Integrity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mechanism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MVP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 metatype calculation algorithm is publicly published and governed by DAO. The user or any auditor can run the same algorithm on local data and verify the result independently.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Scaling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ZK-proof of computation: the server provides a cryptographic proof that the patch was computed using the declared algorithm on the declared input data.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3A5C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Data Update Logic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4.1 Two Update Levels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Raw vector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Several times per week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Automatically by the on-device agent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Metatype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Combined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Vector drift threshold OR maximum 90 days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4.2 Combined Metatype Recalculation Trigger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Threshold trigger: if the accumulated vector drift over the past 30 days exceeds a defined threshold X — metatype is recalculated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Time trigger: if the threshold is not reached but 90 days have passed — metatype is recalculated unconditionally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ensures metatype stability while reflecting genuine long-term behavioural drift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4.3 Patch Architecture (MVP — Ceramic Network)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Profile data is not overwritten directly. Each update is a micro-patch per the JSON Patch standard (RFC 6902), containing a sequenceNumber, previousEventHash, and a digital signature.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on-device application downloads the patch chain, verifies signatures, and applies changes locally in device memory.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4.4 Scaling (Merkle Root)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 the user base grows, all profile metadata is packed into a single Merkle tree. One transaction per day is sent to the blockchain — the Merkle Root of the entire system.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user receives their current data and a short Merkle Proof for instant verification without network load.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3A5C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Storage 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2E6DA4" w:sz="8"/>
              <w:left w:val="single" w:color="1A3A5C" w:sz="24"/>
              <w:bottom w:val="none" w:color="FFFFFF" w:sz="0"/>
              <w:right w:val="none" w:color="FFFFFF" w:sz="0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No data type is stored in a third-party cloud. The system is fully independent of centralised storage providers.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Raw behavioural signals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Device only. Deleted on a 90-day rolling window after vector computation.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AES-256, local encryption. Never transmitted.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Computed vector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Device (primary) + Ceramic Network (encrypted backup).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JWE encryption with user's key. The network sees only an encrypted blob.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Metatype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Ceramic Network + Blockchain (hash bound to DID).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Public by user's choice. Vector details are never exposed.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DID document and keys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Blockchain (EVM) + physical off-chain Seed Phrase backup.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Pre-rotation (primary). Shamir's Secret Sharing (optional).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3A5C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Smart Contract Access Control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changes are controlled at the blockchain smart contract level: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 registration, the analytical server's public key is written into the user's profile smart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Changes to the behaviour block (/behavior/metaType) are permitted exclusively to the server holding that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calculation algorithm is open and governed by DAO — anyone can verify the integrity of the computation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third-party modification requests are rejected by the smart contract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3A5C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Technical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streams (MVP)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Ceramic Network / IPFS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Encrypted vector storage and patch chains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Long-term archive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Filecoin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Guaranteed decentralised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Contract logic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EVM (Ethereum / Polygon) + ERC-4337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DID documents, Pre-rotation, access rights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encryption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AES-256 (local) + JWE / DIDComm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Vector protection in transit and at rest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Verification (MVP)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 algorithm + DAO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Metatype computation integrity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Verification (scale)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ZK-proof (circom / snarkjs)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Cryptographic proof of computation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Scaling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Merkle Accumulators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 Merkle Root per day for the entire 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Protocol governance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DAO (governance token)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parameters, metatype algorithm, audit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3A5C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 Implementation Stages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4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MVP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Working agent + one metatype + one platform</w:t>
            </w:r>
          </w:p>
        </w:tc>
        <w:tc>
          <w:tcPr>
            <w:tcW w:type="dxa" w:w="44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Ceramic, EVM smart contract, Pre-rotation, local agent, open algorithm under DAO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Scaling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Decentralised computation and storage</w:t>
            </w:r>
          </w:p>
        </w:tc>
        <w:tc>
          <w:tcPr>
            <w:tcW w:type="dxa" w:w="44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ZK-proof, Merkle Root, Filecoin, federated learning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Ecosystem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Platform SDK, metatype marketplace</w:t>
            </w:r>
          </w:p>
        </w:tc>
        <w:tc>
          <w:tcPr>
            <w:tcW w:type="dxa" w:w="44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 protocol, DAO treasury, partner platforms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3A5C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Document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Author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Nadzim Huseinau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Version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v3.0 — updated following architectural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Working document, open to collaboration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document reflects agreed architectural decisions: local vector computation, Pre-rotation key management, combined metatype update trigger, and cloud-independent storage architecture.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5C" w:sz="4" w:space="8"/>
      </w:pBdr>
      <w:spacing w:after="0" w:before="0"/>
    </w:pPr>
    <w:r>
      <w:rPr>
        <w:rFonts w:ascii="Arial" w:cs="Arial" w:eastAsia="Arial" w:hAnsi="Arial"/>
        <w:color w:val="666666"/>
        <w:sz w:val="16"/>
        <w:szCs w:val="16"/>
      </w:rPr>
      <w:t xml:space="preserve">BMP — Technical Specification v3.0 — Nadzim Huseinau —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2026-06-07T10:35:29.165Z</dcterms:created>
  <dcterms:modified xsi:type="dcterms:W3CDTF">2026-06-07T10:35:29.179Z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