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A3A5C" w:val="clear"/>
            <w:tcMar>
              <w:top w:type="dxa" w:w="500"/>
              <w:left w:type="dxa" w:w="480"/>
              <w:bottom w:type="dxa" w:w="500"/>
              <w:right w:type="dxa" w:w="480"/>
            </w:tcMar>
          </w:tcPr>
          <w:p>
            <w:pPr>
              <w:spacing w:after="80" w:before="0"/>
            </w:pPr>
            <w:r>
              <w:rPr>
                <w:rFonts w:ascii="Arial" w:cs="Arial" w:eastAsia="Arial" w:hAnsi="Arial"/>
                <w:b/>
                <w:bCs/>
                <w:color w:val="AACCEE"/>
                <w:sz w:val="18"/>
                <w:szCs w:val="18"/>
              </w:rPr>
              <w:t xml:space="preserve">CONCEPTUAL WHITEPAPER</w:t>
            </w:r>
          </w:p>
          <w:p>
            <w:pPr>
              <w:spacing w:after="200" w:before="0"/>
            </w:pPr>
            <w:r>
              <w:rPr>
                <w:rFonts w:ascii="Arial" w:cs="Arial" w:eastAsia="Arial" w:hAnsi="Arial"/>
                <w:b/>
                <w:bCs/>
                <w:color w:val="FFFFFF"/>
                <w:sz w:val="52"/>
                <w:szCs w:val="52"/>
              </w:rPr>
              <w:t xml:space="preserve">Behavioural Metatype Protocol</w:t>
            </w:r>
          </w:p>
          <w:p>
            <w:pPr>
              <w:spacing w:after="160" w:before="0"/>
            </w:pPr>
            <w:r>
              <w:rPr>
                <w:rFonts w:ascii="Arial" w:cs="Arial" w:eastAsia="Arial" w:hAnsi="Arial"/>
                <w:i/>
                <w:iCs/>
                <w:color w:val="BDD7EE"/>
                <w:sz w:val="24"/>
                <w:szCs w:val="24"/>
              </w:rPr>
              <w:t xml:space="preserve">BMP — Self-Sovereign Behavioural Identity as Access Infrastructure for Specialised Platforms</w:t>
            </w:r>
          </w:p>
          <w:p>
            <w:pPr>
              <w:spacing w:after="0" w:before="240"/>
            </w:pPr>
            <w:r>
              <w:t xml:space="preserve"/>
            </w:r>
          </w:p>
          <w:p>
            <w:pPr>
              <w:spacing w:after="40" w:before="0"/>
            </w:pPr>
            <w:r>
              <w:rPr>
                <w:rFonts w:ascii="Arial" w:cs="Arial" w:eastAsia="Arial" w:hAnsi="Arial"/>
                <w:color w:val="AACCEE"/>
                <w:sz w:val="20"/>
                <w:szCs w:val="20"/>
              </w:rPr>
              <w:t xml:space="preserve">Author</w:t>
            </w:r>
          </w:p>
          <w:p>
            <w:pPr>
              <w:spacing w:after="40" w:before="0"/>
            </w:pPr>
            <w:r>
              <w:rPr>
                <w:rFonts w:ascii="Arial" w:cs="Arial" w:eastAsia="Arial" w:hAnsi="Arial"/>
                <w:b/>
                <w:bCs/>
                <w:color w:val="FFFFFF"/>
                <w:sz w:val="26"/>
                <w:szCs w:val="26"/>
              </w:rPr>
              <w:t xml:space="preserve">Nadzim Huseinau</w:t>
            </w:r>
          </w:p>
          <w:p>
            <w:pPr>
              <w:spacing w:after="0" w:before="0"/>
            </w:pPr>
            <w:r>
              <w:rPr>
                <w:rFonts w:ascii="Arial" w:cs="Arial" w:eastAsia="Arial" w:hAnsi="Arial"/>
                <w:color w:val="AACCEE"/>
                <w:sz w:val="20"/>
                <w:szCs w:val="20"/>
              </w:rPr>
              <w:t xml:space="preserve">Date: June 1, 2026</w:t>
            </w:r>
          </w:p>
        </w:tc>
      </w:tr>
    </w:tbl>
    <w:p>
      <w:pPr>
        <w:spacing w:after="0" w:before="4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026"/>
      </w:tblGrid>
      <w:tr>
        <w:tc>
          <w:tcPr>
            <w:tcW w:type="dxa" w:w="9026"/>
            <w:tcBorders>
              <w:top w:val="single" w:color="2E6DA4" w:sz="8"/>
              <w:left w:val="single" w:color="1A3A5C" w:sz="24"/>
              <w:bottom w:val="none" w:color="FFFFFF" w:sz="0"/>
              <w:right w:val="none" w:color="FFFFFF" w:sz="0"/>
            </w:tcBorders>
            <w:shd w:fill="E8F0F8" w:val="clear"/>
            <w:tcMar>
              <w:top w:type="dxa" w:w="120"/>
              <w:left w:type="dxa" w:w="200"/>
              <w:bottom w:type="dxa" w:w="120"/>
              <w:right w:type="dxa" w:w="120"/>
            </w:tcMar>
          </w:tcPr>
          <w:p>
            <w:pPr>
              <w:spacing w:after="0" w:before="0"/>
              <w:jc w:val="both"/>
            </w:pPr>
            <w:r>
              <w:rPr>
                <w:rFonts w:ascii="Arial" w:cs="Arial" w:eastAsia="Arial" w:hAnsi="Arial"/>
                <w:i/>
                <w:iCs/>
                <w:color w:val="1A1A2E"/>
                <w:sz w:val="22"/>
                <w:szCs w:val="22"/>
              </w:rPr>
              <w:t xml:space="preserve">This document establishes the concept of a protocol in which a person's digital behavioural trail — accumulated over time and cryptographically verified — becomes an access key to specialised platforms, without exposing personal data to third parties. Concept authored by Nadzim Huseinau, June 1, 2026.</w:t>
            </w:r>
          </w:p>
        </w:tc>
      </w:tr>
    </w:tbl>
    <w:p>
      <w:pPr>
        <w:spacing w:after="0" w:before="200"/>
      </w:pPr>
      <w:r>
        <w:t xml:space="preserve"/>
      </w:r>
    </w:p>
    <w:p>
      <w:pPr>
        <w:pStyle w:val="Heading1"/>
        <w:pBdr>
          <w:bottom w:val="single" w:color="1A3A5C" w:sz="4" w:space="6"/>
        </w:pBdr>
        <w:spacing w:after="160" w:before="400"/>
      </w:pPr>
      <w:r>
        <w:rPr>
          <w:rFonts w:ascii="Arial" w:cs="Arial" w:eastAsia="Arial" w:hAnsi="Arial"/>
          <w:b/>
          <w:bCs/>
          <w:color w:val="1A3A5C"/>
          <w:sz w:val="28"/>
          <w:szCs w:val="28"/>
        </w:rPr>
        <w:t xml:space="preserve">1. The Problem</w:t>
      </w:r>
    </w:p>
    <w:p>
      <w:pPr>
        <w:spacing w:after="80" w:before="80"/>
        <w:jc w:val="both"/>
      </w:pPr>
      <w:r>
        <w:rPr>
          <w:rFonts w:ascii="Arial" w:cs="Arial" w:eastAsia="Arial" w:hAnsi="Arial"/>
          <w:color w:val="222222"/>
          <w:sz w:val="22"/>
          <w:szCs w:val="22"/>
        </w:rPr>
        <w:t xml:space="preserve">Modern digital platforms rely either on self-declaration (forms, resumes, profiles) or on behavioural data — but collected centrally, without the user's awareness, serving the platform rather than the individual.</w:t>
      </w:r>
    </w:p>
    <w:p>
      <w:pPr>
        <w:spacing w:after="80" w:before="80"/>
        <w:jc w:val="both"/>
      </w:pPr>
      <w:r>
        <w:rPr>
          <w:rFonts w:ascii="Arial" w:cs="Arial" w:eastAsia="Arial" w:hAnsi="Arial"/>
          <w:color w:val="222222"/>
          <w:sz w:val="22"/>
          <w:szCs w:val="22"/>
        </w:rPr>
        <w:t xml:space="preserve">This produces three systemic failures:</w:t>
      </w:r>
    </w:p>
    <w:p>
      <w:pPr>
        <w:pStyle w:val="ListParagraph"/>
        <w:numPr>
          <w:ilvl w:val="0"/>
          <w:numId w:val="2"/>
        </w:numPr>
        <w:spacing w:after="60" w:before="60"/>
      </w:pPr>
      <w:r>
        <w:rPr>
          <w:rFonts w:ascii="Arial" w:cs="Arial" w:eastAsia="Arial" w:hAnsi="Arial"/>
          <w:color w:val="222222"/>
          <w:sz w:val="22"/>
          <w:szCs w:val="22"/>
        </w:rPr>
        <w:t xml:space="preserve">Behavioural data belongs to the platform, not the person.</w:t>
      </w:r>
    </w:p>
    <w:p>
      <w:pPr>
        <w:pStyle w:val="ListParagraph"/>
        <w:numPr>
          <w:ilvl w:val="0"/>
          <w:numId w:val="2"/>
        </w:numPr>
        <w:spacing w:after="60" w:before="60"/>
      </w:pPr>
      <w:r>
        <w:rPr>
          <w:rFonts w:ascii="Arial" w:cs="Arial" w:eastAsia="Arial" w:hAnsi="Arial"/>
          <w:color w:val="222222"/>
          <w:sz w:val="22"/>
          <w:szCs w:val="22"/>
        </w:rPr>
        <w:t xml:space="preserve">Access to specialised communities is gated by self-description, which is trivially falsifiable.</w:t>
      </w:r>
    </w:p>
    <w:p>
      <w:pPr>
        <w:pStyle w:val="ListParagraph"/>
        <w:numPr>
          <w:ilvl w:val="0"/>
          <w:numId w:val="2"/>
        </w:numPr>
        <w:spacing w:after="60" w:before="60"/>
      </w:pPr>
      <w:r>
        <w:rPr>
          <w:rFonts w:ascii="Arial" w:cs="Arial" w:eastAsia="Arial" w:hAnsi="Arial"/>
          <w:color w:val="222222"/>
          <w:sz w:val="22"/>
          <w:szCs w:val="22"/>
        </w:rPr>
        <w:t xml:space="preserve">Valuable closed environments (for idea generators, introverts, rare specialists) either do not exist or lack a reliable entry filter.</w:t>
      </w:r>
    </w:p>
    <w:p>
      <w:pPr>
        <w:spacing w:after="0" w:before="120"/>
      </w:pPr>
      <w:r>
        <w:t xml:space="preserve"/>
      </w:r>
    </w:p>
    <w:p>
      <w:pPr>
        <w:pStyle w:val="Heading1"/>
        <w:pBdr>
          <w:bottom w:val="single" w:color="1A3A5C" w:sz="4" w:space="6"/>
        </w:pBdr>
        <w:spacing w:after="160" w:before="400"/>
      </w:pPr>
      <w:r>
        <w:rPr>
          <w:rFonts w:ascii="Arial" w:cs="Arial" w:eastAsia="Arial" w:hAnsi="Arial"/>
          <w:b/>
          <w:bCs/>
          <w:color w:val="1A3A5C"/>
          <w:sz w:val="28"/>
          <w:szCs w:val="28"/>
        </w:rPr>
        <w:t xml:space="preserve">2. Core Principle</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026"/>
      </w:tblGrid>
      <w:tr>
        <w:tc>
          <w:tcPr>
            <w:tcW w:type="dxa" w:w="9026"/>
            <w:tcBorders>
              <w:top w:val="single" w:color="2E6DA4" w:sz="8"/>
              <w:left w:val="single" w:color="1A3A5C" w:sz="24"/>
              <w:bottom w:val="none" w:color="FFFFFF" w:sz="0"/>
              <w:right w:val="none" w:color="FFFFFF" w:sz="0"/>
            </w:tcBorders>
            <w:shd w:fill="E8F0F8" w:val="clear"/>
            <w:tcMar>
              <w:top w:type="dxa" w:w="120"/>
              <w:left w:type="dxa" w:w="200"/>
              <w:bottom w:type="dxa" w:w="120"/>
              <w:right w:type="dxa" w:w="120"/>
            </w:tcMar>
          </w:tcPr>
          <w:p>
            <w:pPr>
              <w:spacing w:after="0" w:before="0"/>
              <w:jc w:val="both"/>
            </w:pPr>
            <w:r>
              <w:rPr>
                <w:rFonts w:ascii="Arial" w:cs="Arial" w:eastAsia="Arial" w:hAnsi="Arial"/>
                <w:i/>
                <w:iCs/>
                <w:color w:val="1A1A2E"/>
                <w:sz w:val="22"/>
                <w:szCs w:val="22"/>
              </w:rPr>
              <w:t xml:space="preserve">A metatype is defined not by what a person does, but by the statistical stability of patterns in the space of consequences of their actions, verified across time horizons from 30 to 540 days.</w:t>
            </w:r>
          </w:p>
        </w:tc>
      </w:tr>
    </w:tbl>
    <w:p>
      <w:pPr>
        <w:spacing w:after="0" w:before="120"/>
      </w:pPr>
      <w:r>
        <w:t xml:space="preserve"/>
      </w:r>
    </w:p>
    <w:p>
      <w:pPr>
        <w:spacing w:after="80" w:before="80"/>
        <w:jc w:val="both"/>
      </w:pPr>
      <w:r>
        <w:rPr>
          <w:rFonts w:ascii="Arial" w:cs="Arial" w:eastAsia="Arial" w:hAnsi="Arial"/>
          <w:color w:val="222222"/>
          <w:sz w:val="22"/>
          <w:szCs w:val="22"/>
        </w:rPr>
        <w:t xml:space="preserve">The distinction is fundamental:</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1A3A5C"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What is NOT collected</w:t>
            </w:r>
          </w:p>
        </w:tc>
        <w:tc>
          <w:tcPr>
            <w:tcW w:type="dxa" w:w="5426"/>
            <w:tcBorders>
              <w:top w:val="single" w:color="CCCCCC" w:sz="1"/>
              <w:left w:val="single" w:color="CCCCCC" w:sz="1"/>
              <w:bottom w:val="single" w:color="CCCCCC" w:sz="1"/>
              <w:right w:val="single" w:color="CCCCCC" w:sz="1"/>
            </w:tcBorders>
            <w:shd w:fill="1A3A5C"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What is collected instead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222222"/>
                <w:sz w:val="20"/>
                <w:szCs w:val="20"/>
              </w:rPr>
              <w:t xml:space="preserve">"Opened an article about finance"</w:t>
            </w:r>
          </w:p>
        </w:tc>
        <w:tc>
          <w:tcPr>
            <w:tcW w:type="dxa" w:w="5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222222"/>
                <w:sz w:val="20"/>
                <w:szCs w:val="20"/>
              </w:rPr>
              <w:t xml:space="preserve">"Changed behaviour 3 days after an informational contact"</w:t>
            </w:r>
          </w:p>
        </w:tc>
      </w:tr>
      <w:tr>
        <w:tc>
          <w:tcPr>
            <w:tcW w:type="dxa" w:w="36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after="0" w:before="0"/>
            </w:pPr>
            <w:r>
              <w:rPr>
                <w:rFonts w:ascii="Arial" w:cs="Arial" w:eastAsia="Arial" w:hAnsi="Arial"/>
                <w:b w:val="false"/>
                <w:bCs w:val="false"/>
                <w:color w:val="222222"/>
                <w:sz w:val="20"/>
                <w:szCs w:val="20"/>
              </w:rPr>
              <w:t xml:space="preserve">"Sent a message at 2am"</w:t>
            </w:r>
          </w:p>
        </w:tc>
        <w:tc>
          <w:tcPr>
            <w:tcW w:type="dxa" w:w="5426"/>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after="0" w:before="0"/>
            </w:pPr>
            <w:r>
              <w:rPr>
                <w:rFonts w:ascii="Arial" w:cs="Arial" w:eastAsia="Arial" w:hAnsi="Arial"/>
                <w:b w:val="false"/>
                <w:bCs w:val="false"/>
                <w:color w:val="222222"/>
                <w:sz w:val="20"/>
                <w:szCs w:val="20"/>
              </w:rPr>
              <w:t xml:space="preserve">"Chronotype of activity over 90 days — a stable pattern"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222222"/>
                <w:sz w:val="20"/>
                <w:szCs w:val="20"/>
              </w:rPr>
              <w:t xml:space="preserve">"Visited an introvert platform"</w:t>
            </w:r>
          </w:p>
        </w:tc>
        <w:tc>
          <w:tcPr>
            <w:tcW w:type="dxa" w:w="5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222222"/>
                <w:sz w:val="20"/>
                <w:szCs w:val="20"/>
              </w:rPr>
              <w:t xml:space="preserve">"Depth vs. breadth of social ties over 6 months"</w:t>
            </w:r>
          </w:p>
        </w:tc>
      </w:tr>
      <w:tr>
        <w:tc>
          <w:tcPr>
            <w:tcW w:type="dxa" w:w="36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after="0" w:before="0"/>
            </w:pPr>
            <w:r>
              <w:rPr>
                <w:rFonts w:ascii="Arial" w:cs="Arial" w:eastAsia="Arial" w:hAnsi="Arial"/>
                <w:b w:val="false"/>
                <w:bCs w:val="false"/>
                <w:color w:val="222222"/>
                <w:sz w:val="20"/>
                <w:szCs w:val="20"/>
              </w:rPr>
              <w:t xml:space="preserve">"Bought a physics book"</w:t>
            </w:r>
          </w:p>
        </w:tc>
        <w:tc>
          <w:tcPr>
            <w:tcW w:type="dxa" w:w="5426"/>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after="0" w:before="0"/>
            </w:pPr>
            <w:r>
              <w:rPr>
                <w:rFonts w:ascii="Arial" w:cs="Arial" w:eastAsia="Arial" w:hAnsi="Arial"/>
                <w:b w:val="false"/>
                <w:bCs w:val="false"/>
                <w:color w:val="222222"/>
                <w:sz w:val="20"/>
                <w:szCs w:val="20"/>
              </w:rPr>
              <w:t xml:space="preserve">"Vector of intellectual drift — direction and velocity"</w:t>
            </w:r>
          </w:p>
        </w:tc>
      </w:tr>
    </w:tbl>
    <w:p>
      <w:pPr>
        <w:spacing w:after="0" w:before="80"/>
      </w:pPr>
      <w:r>
        <w:t xml:space="preserve"/>
      </w:r>
    </w:p>
    <w:p>
      <w:pPr>
        <w:spacing w:after="80" w:before="80"/>
        <w:jc w:val="both"/>
      </w:pPr>
      <w:r>
        <w:rPr>
          <w:rFonts w:ascii="Arial" w:cs="Arial" w:eastAsia="Arial" w:hAnsi="Arial"/>
          <w:color w:val="222222"/>
          <w:sz w:val="22"/>
          <w:szCs w:val="22"/>
        </w:rPr>
        <w:t xml:space="preserve">Behaviour can be simulated in the short term. Consequence patterns over 6–18 months are significantly harder to fake.</w:t>
      </w:r>
    </w:p>
    <w:p>
      <w:pPr>
        <w:spacing w:after="0" w:before="120"/>
      </w:pPr>
      <w:r>
        <w:t xml:space="preserve"/>
      </w:r>
    </w:p>
    <w:p>
      <w:pPr>
        <w:pStyle w:val="Heading1"/>
        <w:pBdr>
          <w:bottom w:val="single" w:color="1A3A5C" w:sz="4" w:space="6"/>
        </w:pBdr>
        <w:spacing w:after="160" w:before="400"/>
      </w:pPr>
      <w:r>
        <w:rPr>
          <w:rFonts w:ascii="Arial" w:cs="Arial" w:eastAsia="Arial" w:hAnsi="Arial"/>
          <w:b/>
          <w:bCs/>
          <w:color w:val="1A3A5C"/>
          <w:sz w:val="28"/>
          <w:szCs w:val="28"/>
        </w:rPr>
        <w:t xml:space="preserve">3. System Architecture</w:t>
      </w:r>
    </w:p>
    <w:p>
      <w:pPr>
        <w:pStyle w:val="Heading2"/>
        <w:spacing w:after="120" w:before="280"/>
      </w:pPr>
      <w:r>
        <w:rPr>
          <w:rFonts w:ascii="Arial" w:cs="Arial" w:eastAsia="Arial" w:hAnsi="Arial"/>
          <w:b/>
          <w:bCs/>
          <w:color w:val="2E6DA4"/>
          <w:sz w:val="24"/>
          <w:szCs w:val="24"/>
        </w:rPr>
        <w:t xml:space="preserve">3.1 Four Layers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1A3A5C"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Layer</w:t>
            </w:r>
          </w:p>
        </w:tc>
        <w:tc>
          <w:tcPr>
            <w:tcW w:type="dxa" w:w="6626"/>
            <w:tcBorders>
              <w:top w:val="single" w:color="CCCCCC" w:sz="1"/>
              <w:left w:val="single" w:color="CCCCCC" w:sz="1"/>
              <w:bottom w:val="single" w:color="CCCCCC" w:sz="1"/>
              <w:right w:val="single" w:color="CCCCCC" w:sz="1"/>
            </w:tcBorders>
            <w:shd w:fill="1A3A5C"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222222"/>
                <w:sz w:val="20"/>
                <w:szCs w:val="20"/>
              </w:rPr>
              <w:t xml:space="preserve">Local Agent</w:t>
            </w:r>
          </w:p>
        </w:tc>
        <w:tc>
          <w:tcPr>
            <w:tcW w:type="dxa" w:w="66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222222"/>
                <w:sz w:val="20"/>
                <w:szCs w:val="20"/>
              </w:rPr>
              <w:t xml:space="preserve">Software running on the user's device. Collects signals and computes vectors locally. Raw data never leaves the device.</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after="0" w:before="0"/>
            </w:pPr>
            <w:r>
              <w:rPr>
                <w:rFonts w:ascii="Arial" w:cs="Arial" w:eastAsia="Arial" w:hAnsi="Arial"/>
                <w:b w:val="false"/>
                <w:bCs w:val="false"/>
                <w:color w:val="222222"/>
                <w:sz w:val="20"/>
                <w:szCs w:val="20"/>
              </w:rPr>
              <w:t xml:space="preserve">ZK-Proof</w:t>
            </w:r>
          </w:p>
        </w:tc>
        <w:tc>
          <w:tcPr>
            <w:tcW w:type="dxa" w:w="6626"/>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after="0" w:before="0"/>
            </w:pPr>
            <w:r>
              <w:rPr>
                <w:rFonts w:ascii="Arial" w:cs="Arial" w:eastAsia="Arial" w:hAnsi="Arial"/>
                <w:b w:val="false"/>
                <w:bCs w:val="false"/>
                <w:color w:val="222222"/>
                <w:sz w:val="20"/>
                <w:szCs w:val="20"/>
              </w:rPr>
              <w:t xml:space="preserve">Zero-Knowledge Proof: the user proves metatype membership without revealing underlying data.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222222"/>
                <w:sz w:val="20"/>
                <w:szCs w:val="20"/>
              </w:rPr>
              <w:t xml:space="preserve">Blockchain (L2)</w:t>
            </w:r>
          </w:p>
        </w:tc>
        <w:tc>
          <w:tcPr>
            <w:tcW w:type="dxa" w:w="66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222222"/>
                <w:sz w:val="20"/>
                <w:szCs w:val="20"/>
              </w:rPr>
              <w:t xml:space="preserve">Stores only the vector hash and proof. Immutable timestamp. Platforms receive an access token via smart contract.</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after="0" w:before="0"/>
            </w:pPr>
            <w:r>
              <w:rPr>
                <w:rFonts w:ascii="Arial" w:cs="Arial" w:eastAsia="Arial" w:hAnsi="Arial"/>
                <w:b w:val="false"/>
                <w:bCs w:val="false"/>
                <w:color w:val="222222"/>
                <w:sz w:val="20"/>
                <w:szCs w:val="20"/>
              </w:rPr>
              <w:t xml:space="preserve">DAO Governance</w:t>
            </w:r>
          </w:p>
        </w:tc>
        <w:tc>
          <w:tcPr>
            <w:tcW w:type="dxa" w:w="6626"/>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after="0" w:before="0"/>
            </w:pPr>
            <w:r>
              <w:rPr>
                <w:rFonts w:ascii="Arial" w:cs="Arial" w:eastAsia="Arial" w:hAnsi="Arial"/>
                <w:b w:val="false"/>
                <w:bCs w:val="false"/>
                <w:color w:val="222222"/>
                <w:sz w:val="20"/>
                <w:szCs w:val="20"/>
              </w:rPr>
              <w:t xml:space="preserve">Decentralised organisation governs model parameters, prevents monopolisation and algorithmic drift.</w:t>
            </w:r>
          </w:p>
        </w:tc>
      </w:tr>
    </w:tbl>
    <w:p>
      <w:pPr>
        <w:spacing w:after="0" w:before="120"/>
      </w:pPr>
      <w:r>
        <w:t xml:space="preserve"/>
      </w:r>
    </w:p>
    <w:p>
      <w:pPr>
        <w:pStyle w:val="Heading2"/>
        <w:spacing w:after="120" w:before="280"/>
      </w:pPr>
      <w:r>
        <w:rPr>
          <w:rFonts w:ascii="Arial" w:cs="Arial" w:eastAsia="Arial" w:hAnsi="Arial"/>
          <w:b/>
          <w:bCs/>
          <w:color w:val="2E6DA4"/>
          <w:sz w:val="24"/>
          <w:szCs w:val="24"/>
        </w:rPr>
        <w:t xml:space="preserve">3.2 Data 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026"/>
      </w:tblGrid>
      <w:tr>
        <w:tc>
          <w:tcPr>
            <w:tcW w:type="dxa" w:w="9026"/>
            <w:tcBorders>
              <w:top w:val="single" w:color="2E6DA4" w:sz="8"/>
              <w:left w:val="single" w:color="1A3A5C" w:sz="24"/>
              <w:bottom w:val="none" w:color="FFFFFF" w:sz="0"/>
              <w:right w:val="none" w:color="FFFFFF" w:sz="0"/>
            </w:tcBorders>
            <w:shd w:fill="E8F0F8" w:val="clear"/>
            <w:tcMar>
              <w:top w:type="dxa" w:w="120"/>
              <w:left w:type="dxa" w:w="200"/>
              <w:bottom w:type="dxa" w:w="120"/>
              <w:right w:type="dxa" w:w="120"/>
            </w:tcMar>
          </w:tcPr>
          <w:p>
            <w:pPr>
              <w:spacing w:after="0" w:before="0"/>
              <w:jc w:val="both"/>
            </w:pPr>
            <w:r>
              <w:rPr>
                <w:rFonts w:ascii="Arial" w:cs="Arial" w:eastAsia="Arial" w:hAnsi="Arial"/>
                <w:i/>
                <w:iCs/>
                <w:color w:val="1A1A2E"/>
                <w:sz w:val="22"/>
                <w:szCs w:val="22"/>
              </w:rPr>
              <w:t xml:space="preserve">Local Agent → Local vector computation → ZK-proof (data stays on device) → Blockchain (hash only) → Platform receives "access granted / denied"</w:t>
            </w:r>
          </w:p>
        </w:tc>
      </w:tr>
    </w:tbl>
    <w:p>
      <w:pPr>
        <w:spacing w:after="0" w:before="120"/>
      </w:pPr>
      <w:r>
        <w:t xml:space="preserve"/>
      </w:r>
    </w:p>
    <w:p>
      <w:pPr>
        <w:pStyle w:val="Heading1"/>
        <w:pBdr>
          <w:bottom w:val="single" w:color="1A3A5C" w:sz="4" w:space="6"/>
        </w:pBdr>
        <w:spacing w:after="160" w:before="400"/>
      </w:pPr>
      <w:r>
        <w:rPr>
          <w:rFonts w:ascii="Arial" w:cs="Arial" w:eastAsia="Arial" w:hAnsi="Arial"/>
          <w:b/>
          <w:bCs/>
          <w:color w:val="1A3A5C"/>
          <w:sz w:val="28"/>
          <w:szCs w:val="28"/>
        </w:rPr>
        <w:t xml:space="preserve">4. Metatype as an Asset</w:t>
      </w:r>
    </w:p>
    <w:p>
      <w:pPr>
        <w:spacing w:after="80" w:before="80"/>
        <w:jc w:val="both"/>
      </w:pPr>
      <w:r>
        <w:rPr>
          <w:rFonts w:ascii="Arial" w:cs="Arial" w:eastAsia="Arial" w:hAnsi="Arial"/>
          <w:color w:val="222222"/>
          <w:sz w:val="22"/>
          <w:szCs w:val="22"/>
        </w:rPr>
        <w:t xml:space="preserve">A metatype is not a static label — it is a dynamic multi-dimensional vector formed from several signal classes:</w:t>
      </w:r>
    </w:p>
    <w:p>
      <w:pPr>
        <w:pStyle w:val="ListParagraph"/>
        <w:numPr>
          <w:ilvl w:val="0"/>
          <w:numId w:val="2"/>
        </w:numPr>
        <w:spacing w:after="60" w:before="60"/>
      </w:pPr>
      <w:r>
        <w:rPr>
          <w:rFonts w:ascii="Arial" w:cs="Arial" w:eastAsia="Arial" w:hAnsi="Arial"/>
          <w:color w:val="222222"/>
          <w:sz w:val="22"/>
          <w:szCs w:val="22"/>
        </w:rPr>
        <w:t xml:space="preserve">Chronobiological pattern — stable time zones of activity</w:t>
      </w:r>
    </w:p>
    <w:p>
      <w:pPr>
        <w:pStyle w:val="ListParagraph"/>
        <w:numPr>
          <w:ilvl w:val="0"/>
          <w:numId w:val="2"/>
        </w:numPr>
        <w:spacing w:after="60" w:before="60"/>
      </w:pPr>
      <w:r>
        <w:rPr>
          <w:rFonts w:ascii="Arial" w:cs="Arial" w:eastAsia="Arial" w:hAnsi="Arial"/>
          <w:color w:val="222222"/>
          <w:sz w:val="22"/>
          <w:szCs w:val="22"/>
        </w:rPr>
        <w:t xml:space="preserve">Cognitive style — depth vs. breadth of information processing</w:t>
      </w:r>
    </w:p>
    <w:p>
      <w:pPr>
        <w:pStyle w:val="ListParagraph"/>
        <w:numPr>
          <w:ilvl w:val="0"/>
          <w:numId w:val="2"/>
        </w:numPr>
        <w:spacing w:after="60" w:before="60"/>
      </w:pPr>
      <w:r>
        <w:rPr>
          <w:rFonts w:ascii="Arial" w:cs="Arial" w:eastAsia="Arial" w:hAnsi="Arial"/>
          <w:color w:val="222222"/>
          <w:sz w:val="22"/>
          <w:szCs w:val="22"/>
        </w:rPr>
        <w:t xml:space="preserve">Social topology — density, depth, and speed of relationship formation</w:t>
      </w:r>
    </w:p>
    <w:p>
      <w:pPr>
        <w:pStyle w:val="ListParagraph"/>
        <w:numPr>
          <w:ilvl w:val="0"/>
          <w:numId w:val="2"/>
        </w:numPr>
        <w:spacing w:after="60" w:before="60"/>
      </w:pPr>
      <w:r>
        <w:rPr>
          <w:rFonts w:ascii="Arial" w:cs="Arial" w:eastAsia="Arial" w:hAnsi="Arial"/>
          <w:color w:val="222222"/>
          <w:sz w:val="22"/>
          <w:szCs w:val="22"/>
        </w:rPr>
        <w:t xml:space="preserve">Intellectual drift vector — direction and velocity of shifting interests</w:t>
      </w:r>
    </w:p>
    <w:p>
      <w:pPr>
        <w:pStyle w:val="ListParagraph"/>
        <w:numPr>
          <w:ilvl w:val="0"/>
          <w:numId w:val="2"/>
        </w:numPr>
        <w:spacing w:after="60" w:before="60"/>
      </w:pPr>
      <w:r>
        <w:rPr>
          <w:rFonts w:ascii="Arial" w:cs="Arial" w:eastAsia="Arial" w:hAnsi="Arial"/>
          <w:color w:val="222222"/>
          <w:sz w:val="22"/>
          <w:szCs w:val="22"/>
        </w:rPr>
        <w:t xml:space="preserve">Response to uncertainty — behavioural pattern in the absence of a clear answer</w:t>
      </w:r>
    </w:p>
    <w:p>
      <w:pPr>
        <w:spacing w:after="0" w:before="80"/>
      </w:pPr>
      <w:r>
        <w:t xml:space="preserve"/>
      </w:r>
    </w:p>
    <w:p>
      <w:pPr>
        <w:spacing w:after="80" w:before="80"/>
        <w:jc w:val="both"/>
      </w:pPr>
      <w:r>
        <w:rPr>
          <w:rFonts w:ascii="Arial" w:cs="Arial" w:eastAsia="Arial" w:hAnsi="Arial"/>
          <w:color w:val="222222"/>
          <w:sz w:val="22"/>
          <w:szCs w:val="22"/>
        </w:rPr>
        <w:t xml:space="preserve">The profile appreciates over time: the longer and richer the history, the more accurate the metatype, and the more specialised the platforms that become accessible. This creates a built-in incentive to accumulate data.</w:t>
      </w:r>
    </w:p>
    <w:p>
      <w:pPr>
        <w:spacing w:after="0" w:before="120"/>
      </w:pPr>
      <w:r>
        <w:t xml:space="preserve"/>
      </w:r>
    </w:p>
    <w:p>
      <w:pPr>
        <w:pStyle w:val="Heading1"/>
        <w:pBdr>
          <w:bottom w:val="single" w:color="1A3A5C" w:sz="4" w:space="6"/>
        </w:pBdr>
        <w:spacing w:after="160" w:before="400"/>
      </w:pPr>
      <w:r>
        <w:rPr>
          <w:rFonts w:ascii="Arial" w:cs="Arial" w:eastAsia="Arial" w:hAnsi="Arial"/>
          <w:b/>
          <w:bCs/>
          <w:color w:val="1A3A5C"/>
          <w:sz w:val="28"/>
          <w:szCs w:val="28"/>
        </w:rPr>
        <w:t xml:space="preserve">5. Example Platforms Built on Metatype</w:t>
      </w:r>
    </w:p>
    <w:p>
      <w:pPr>
        <w:pStyle w:val="Heading2"/>
        <w:spacing w:after="120" w:before="280"/>
      </w:pPr>
      <w:r>
        <w:rPr>
          <w:rFonts w:ascii="Arial" w:cs="Arial" w:eastAsia="Arial" w:hAnsi="Arial"/>
          <w:b/>
          <w:bCs/>
          <w:color w:val="2E6DA4"/>
          <w:sz w:val="24"/>
          <w:szCs w:val="24"/>
        </w:rPr>
        <w:t xml:space="preserve">5.1 Idea Bounty — Platform for Idea Generators</w:t>
      </w:r>
    </w:p>
    <w:p>
      <w:pPr>
        <w:spacing w:after="80" w:before="80"/>
        <w:jc w:val="both"/>
      </w:pPr>
      <w:r>
        <w:rPr>
          <w:rFonts w:ascii="Arial" w:cs="Arial" w:eastAsia="Arial" w:hAnsi="Arial"/>
          <w:color w:val="222222"/>
          <w:sz w:val="22"/>
          <w:szCs w:val="22"/>
        </w:rPr>
        <w:t xml:space="preserve">Entry: metatype "systemic generator" (top 5% by vector of associative breadth and conceptualisation speed). An idea is timestamped on the blockchain. If the idea is implemented by anyone within N years — automatic payout from the pool, regardless of the author's involvement in execution.</w:t>
      </w:r>
    </w:p>
    <w:p>
      <w:pPr>
        <w:spacing w:after="0" w:before="80"/>
      </w:pPr>
      <w:r>
        <w:t xml:space="preserve"/>
      </w:r>
    </w:p>
    <w:p>
      <w:pPr>
        <w:pStyle w:val="Heading2"/>
        <w:spacing w:after="120" w:before="280"/>
      </w:pPr>
      <w:r>
        <w:rPr>
          <w:rFonts w:ascii="Arial" w:cs="Arial" w:eastAsia="Arial" w:hAnsi="Arial"/>
          <w:b/>
          <w:bCs/>
          <w:color w:val="2E6DA4"/>
          <w:sz w:val="24"/>
          <w:szCs w:val="24"/>
        </w:rPr>
        <w:t xml:space="preserve">5.2 Platform for Introverts</w:t>
      </w:r>
    </w:p>
    <w:p>
      <w:pPr>
        <w:spacing w:after="80" w:before="80"/>
        <w:jc w:val="both"/>
      </w:pPr>
      <w:r>
        <w:rPr>
          <w:rFonts w:ascii="Arial" w:cs="Arial" w:eastAsia="Arial" w:hAnsi="Arial"/>
          <w:color w:val="222222"/>
          <w:sz w:val="22"/>
          <w:szCs w:val="22"/>
        </w:rPr>
        <w:t xml:space="preserve">Entry: metatype "deep solitary" (low breadth, high depth of connections, specific chronotype). Compatibility is determined by overlap of behavioural vectors, not questionnaires. People do not describe themselves — the system sees them through their behaviour.</w:t>
      </w:r>
    </w:p>
    <w:p>
      <w:pPr>
        <w:spacing w:after="0" w:before="120"/>
      </w:pPr>
      <w:r>
        <w:t xml:space="preserve"/>
      </w:r>
    </w:p>
    <w:p>
      <w:pPr>
        <w:pStyle w:val="Heading1"/>
        <w:pBdr>
          <w:bottom w:val="single" w:color="1A3A5C" w:sz="4" w:space="6"/>
        </w:pBdr>
        <w:spacing w:after="160" w:before="400"/>
      </w:pPr>
      <w:r>
        <w:rPr>
          <w:rFonts w:ascii="Arial" w:cs="Arial" w:eastAsia="Arial" w:hAnsi="Arial"/>
          <w:b/>
          <w:bCs/>
          <w:color w:val="1A3A5C"/>
          <w:sz w:val="28"/>
          <w:szCs w:val="28"/>
        </w:rPr>
        <w:t xml:space="preserve">6. Open Questions and Approaches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1A3A5C"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Question</w:t>
            </w:r>
          </w:p>
        </w:tc>
        <w:tc>
          <w:tcPr>
            <w:tcW w:type="dxa" w:w="6026"/>
            <w:tcBorders>
              <w:top w:val="single" w:color="CCCCCC" w:sz="1"/>
              <w:left w:val="single" w:color="CCCCCC" w:sz="1"/>
              <w:bottom w:val="single" w:color="CCCCCC" w:sz="1"/>
              <w:right w:val="single" w:color="CCCCCC" w:sz="1"/>
            </w:tcBorders>
            <w:shd w:fill="1A3A5C"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Approach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222222"/>
                <w:sz w:val="20"/>
                <w:szCs w:val="20"/>
              </w:rPr>
              <w:t xml:space="preserve">Incentive to collect data</w:t>
            </w:r>
          </w:p>
        </w:tc>
        <w:tc>
          <w:tcPr>
            <w:tcW w:type="dxa" w:w="6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222222"/>
                <w:sz w:val="20"/>
                <w:szCs w:val="20"/>
              </w:rPr>
              <w:t xml:space="preserve">Metatype = key to an environment otherwise inaccessible. Behavioural capital appreciates over time.</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after="0" w:before="0"/>
            </w:pPr>
            <w:r>
              <w:rPr>
                <w:rFonts w:ascii="Arial" w:cs="Arial" w:eastAsia="Arial" w:hAnsi="Arial"/>
                <w:b w:val="false"/>
                <w:bCs w:val="false"/>
                <w:color w:val="222222"/>
                <w:sz w:val="20"/>
                <w:szCs w:val="20"/>
              </w:rPr>
              <w:t xml:space="preserve">Agent implementation and model training</w:t>
            </w:r>
          </w:p>
        </w:tc>
        <w:tc>
          <w:tcPr>
            <w:tcW w:type="dxa" w:w="6026"/>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after="0" w:before="0"/>
            </w:pPr>
            <w:r>
              <w:rPr>
                <w:rFonts w:ascii="Arial" w:cs="Arial" w:eastAsia="Arial" w:hAnsi="Arial"/>
                <w:b w:val="false"/>
                <w:bCs w:val="false"/>
                <w:color w:val="222222"/>
                <w:sz w:val="20"/>
                <w:szCs w:val="20"/>
              </w:rPr>
              <w:t xml:space="preserve">DAO structure: Core Team + Data Stewards + Model Auditors. Federated learning without centralising data.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222222"/>
                <w:sz w:val="20"/>
                <w:szCs w:val="20"/>
              </w:rPr>
              <w:t xml:space="preserve">Preventing profile manipulation</w:t>
            </w:r>
          </w:p>
        </w:tc>
        <w:tc>
          <w:tcPr>
            <w:tcW w:type="dxa" w:w="6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222222"/>
                <w:sz w:val="20"/>
                <w:szCs w:val="20"/>
              </w:rPr>
              <w:t xml:space="preserve">Time anchor (6–18 months), cross-validation with anonymous clusters, self-correction via platform feedback loops.</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after="0" w:before="0"/>
            </w:pPr>
            <w:r>
              <w:rPr>
                <w:rFonts w:ascii="Arial" w:cs="Arial" w:eastAsia="Arial" w:hAnsi="Arial"/>
                <w:b w:val="false"/>
                <w:bCs w:val="false"/>
                <w:color w:val="222222"/>
                <w:sz w:val="20"/>
                <w:szCs w:val="20"/>
              </w:rPr>
              <w:t xml:space="preserve">Risk of stratification</w:t>
            </w:r>
          </w:p>
        </w:tc>
        <w:tc>
          <w:tcPr>
            <w:tcW w:type="dxa" w:w="6026"/>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after="0" w:before="0"/>
            </w:pPr>
            <w:r>
              <w:rPr>
                <w:rFonts w:ascii="Arial" w:cs="Arial" w:eastAsia="Arial" w:hAnsi="Arial"/>
                <w:b w:val="false"/>
                <w:bCs w:val="false"/>
                <w:color w:val="222222"/>
                <w:sz w:val="20"/>
                <w:szCs w:val="20"/>
              </w:rPr>
              <w:t xml:space="preserve">Drift vector as a separate dimension. Platforms for people at growth edges are part of the ecosystem.</w:t>
            </w:r>
          </w:p>
        </w:tc>
      </w:tr>
    </w:tbl>
    <w:p>
      <w:pPr>
        <w:spacing w:after="0" w:before="120"/>
      </w:pPr>
      <w:r>
        <w:t xml:space="preserve"/>
      </w:r>
    </w:p>
    <w:p>
      <w:pPr>
        <w:pStyle w:val="Heading1"/>
        <w:pBdr>
          <w:bottom w:val="single" w:color="1A3A5C" w:sz="4" w:space="6"/>
        </w:pBdr>
        <w:spacing w:after="160" w:before="400"/>
      </w:pPr>
      <w:r>
        <w:rPr>
          <w:rFonts w:ascii="Arial" w:cs="Arial" w:eastAsia="Arial" w:hAnsi="Arial"/>
          <w:b/>
          <w:bCs/>
          <w:color w:val="1A3A5C"/>
          <w:sz w:val="28"/>
          <w:szCs w:val="28"/>
        </w:rPr>
        <w:t xml:space="preserve">7. Prior Art and Concept Status</w:t>
      </w:r>
    </w:p>
    <w:p>
      <w:pPr>
        <w:spacing w:after="80" w:before="80"/>
        <w:jc w:val="both"/>
      </w:pPr>
      <w:r>
        <w:rPr>
          <w:rFonts w:ascii="Arial" w:cs="Arial" w:eastAsia="Arial" w:hAnsi="Arial"/>
          <w:color w:val="222222"/>
          <w:sz w:val="22"/>
          <w:szCs w:val="22"/>
        </w:rPr>
        <w:t xml:space="preserve">As of the publication date (June 1, 2026), existing projects cover individual aspects of the idea:</w:t>
      </w:r>
    </w:p>
    <w:p>
      <w:pPr>
        <w:pStyle w:val="ListParagraph"/>
        <w:numPr>
          <w:ilvl w:val="0"/>
          <w:numId w:val="2"/>
        </w:numPr>
        <w:spacing w:after="60" w:before="60"/>
      </w:pPr>
      <w:r>
        <w:rPr>
          <w:rFonts w:ascii="Arial" w:cs="Arial" w:eastAsia="Arial" w:hAnsi="Arial"/>
          <w:color w:val="222222"/>
          <w:sz w:val="22"/>
          <w:szCs w:val="22"/>
        </w:rPr>
        <w:t xml:space="preserve">Sovrin, Polygon ID — self-sovereign identity, without behavioural vectors</w:t>
      </w:r>
    </w:p>
    <w:p>
      <w:pPr>
        <w:pStyle w:val="ListParagraph"/>
        <w:numPr>
          <w:ilvl w:val="0"/>
          <w:numId w:val="2"/>
        </w:numPr>
        <w:spacing w:after="60" w:before="60"/>
      </w:pPr>
      <w:r>
        <w:rPr>
          <w:rFonts w:ascii="Arial" w:cs="Arial" w:eastAsia="Arial" w:hAnsi="Arial"/>
          <w:color w:val="222222"/>
          <w:sz w:val="22"/>
          <w:szCs w:val="22"/>
        </w:rPr>
        <w:t xml:space="preserve">Gitcoin Passport, Orange Protocol — on-chain reputation, without psychographic metatypes</w:t>
      </w:r>
    </w:p>
    <w:p>
      <w:pPr>
        <w:pStyle w:val="ListParagraph"/>
        <w:numPr>
          <w:ilvl w:val="0"/>
          <w:numId w:val="2"/>
        </w:numPr>
        <w:spacing w:after="60" w:before="60"/>
      </w:pPr>
      <w:r>
        <w:rPr>
          <w:rFonts w:ascii="Arial" w:cs="Arial" w:eastAsia="Arial" w:hAnsi="Arial"/>
          <w:color w:val="222222"/>
          <w:sz w:val="22"/>
          <w:szCs w:val="22"/>
        </w:rPr>
        <w:t xml:space="preserve">Crystal Knows, Humantic AI — behavioural analytics, without user data ownership</w:t>
      </w:r>
    </w:p>
    <w:p>
      <w:pPr>
        <w:pStyle w:val="ListParagraph"/>
        <w:numPr>
          <w:ilvl w:val="0"/>
          <w:numId w:val="2"/>
        </w:numPr>
        <w:spacing w:after="60" w:before="60"/>
      </w:pPr>
      <w:r>
        <w:rPr>
          <w:rFonts w:ascii="Arial" w:cs="Arial" w:eastAsia="Arial" w:hAnsi="Arial"/>
          <w:color w:val="222222"/>
          <w:sz w:val="22"/>
          <w:szCs w:val="22"/>
        </w:rPr>
        <w:t xml:space="preserve">World ID (Worldcoin) — proof of personhood, answers "are you human?" but not "what kind of human are you?"</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026"/>
      </w:tblGrid>
      <w:tr>
        <w:tc>
          <w:tcPr>
            <w:tcW w:type="dxa" w:w="9026"/>
            <w:tcBorders>
              <w:top w:val="single" w:color="2E6DA4" w:sz="8"/>
              <w:left w:val="single" w:color="1A3A5C" w:sz="24"/>
              <w:bottom w:val="none" w:color="FFFFFF" w:sz="0"/>
              <w:right w:val="none" w:color="FFFFFF" w:sz="0"/>
            </w:tcBorders>
            <w:shd w:fill="E8F0F8" w:val="clear"/>
            <w:tcMar>
              <w:top w:type="dxa" w:w="120"/>
              <w:left w:type="dxa" w:w="200"/>
              <w:bottom w:type="dxa" w:w="120"/>
              <w:right w:type="dxa" w:w="120"/>
            </w:tcMar>
          </w:tcPr>
          <w:p>
            <w:pPr>
              <w:spacing w:after="0" w:before="0"/>
              <w:jc w:val="both"/>
            </w:pPr>
            <w:r>
              <w:rPr>
                <w:rFonts w:ascii="Arial" w:cs="Arial" w:eastAsia="Arial" w:hAnsi="Arial"/>
                <w:i/>
                <w:iCs/>
                <w:color w:val="1A1A2E"/>
                <w:sz w:val="22"/>
                <w:szCs w:val="22"/>
              </w:rPr>
              <w:t xml:space="preserve">The combination of: local agent + consequence trail (not actions) + ZK-proof of metatype + platforms gated by metatype + user ownership of profile + DAO governance of the model — has not been implemented by any existing project as of this writing.</w:t>
            </w:r>
          </w:p>
        </w:tc>
      </w:tr>
    </w:tbl>
    <w:p>
      <w:pPr>
        <w:spacing w:after="0" w:before="120"/>
      </w:pPr>
      <w:r>
        <w:t xml:space="preserve"/>
      </w:r>
    </w:p>
    <w:p>
      <w:pPr>
        <w:pStyle w:val="Heading1"/>
        <w:pBdr>
          <w:bottom w:val="single" w:color="1A3A5C" w:sz="4" w:space="6"/>
        </w:pBdr>
        <w:spacing w:after="160" w:before="400"/>
      </w:pPr>
      <w:r>
        <w:rPr>
          <w:rFonts w:ascii="Arial" w:cs="Arial" w:eastAsia="Arial" w:hAnsi="Arial"/>
          <w:b/>
          <w:bCs/>
          <w:color w:val="1A3A5C"/>
          <w:sz w:val="28"/>
          <w:szCs w:val="28"/>
        </w:rPr>
        <w:t xml:space="preserve">8. Authorship and Priority Record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1A3A5C"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Field</w:t>
            </w:r>
          </w:p>
        </w:tc>
        <w:tc>
          <w:tcPr>
            <w:tcW w:type="dxa" w:w="6026"/>
            <w:tcBorders>
              <w:top w:val="single" w:color="CCCCCC" w:sz="1"/>
              <w:left w:val="single" w:color="CCCCCC" w:sz="1"/>
              <w:bottom w:val="single" w:color="CCCCCC" w:sz="1"/>
              <w:right w:val="single" w:color="CCCCCC" w:sz="1"/>
            </w:tcBorders>
            <w:shd w:fill="1A3A5C"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222222"/>
                <w:sz w:val="20"/>
                <w:szCs w:val="20"/>
              </w:rPr>
              <w:t xml:space="preserve">Concept Author</w:t>
            </w:r>
          </w:p>
        </w:tc>
        <w:tc>
          <w:tcPr>
            <w:tcW w:type="dxa" w:w="6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222222"/>
                <w:sz w:val="20"/>
                <w:szCs w:val="20"/>
              </w:rPr>
              <w:t xml:space="preserve">Nadzim Huseinau</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after="0" w:before="0"/>
            </w:pPr>
            <w:r>
              <w:rPr>
                <w:rFonts w:ascii="Arial" w:cs="Arial" w:eastAsia="Arial" w:hAnsi="Arial"/>
                <w:b w:val="false"/>
                <w:bCs w:val="false"/>
                <w:color w:val="222222"/>
                <w:sz w:val="20"/>
                <w:szCs w:val="20"/>
              </w:rPr>
              <w:t xml:space="preserve">Date of Formulation</w:t>
            </w:r>
          </w:p>
        </w:tc>
        <w:tc>
          <w:tcPr>
            <w:tcW w:type="dxa" w:w="6026"/>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after="0" w:before="0"/>
            </w:pPr>
            <w:r>
              <w:rPr>
                <w:rFonts w:ascii="Arial" w:cs="Arial" w:eastAsia="Arial" w:hAnsi="Arial"/>
                <w:b w:val="false"/>
                <w:bCs w:val="false"/>
                <w:color w:val="222222"/>
                <w:sz w:val="20"/>
                <w:szCs w:val="20"/>
              </w:rPr>
              <w:t xml:space="preserve">June 1, 2026</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222222"/>
                <w:sz w:val="20"/>
                <w:szCs w:val="20"/>
              </w:rPr>
              <w:t xml:space="preserve">Working Title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222222"/>
                <w:sz w:val="20"/>
                <w:szCs w:val="20"/>
              </w:rPr>
              <w:t xml:space="preserve">Behavioural Metatype Protocol (BMP)</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after="0" w:before="0"/>
            </w:pPr>
            <w:r>
              <w:rPr>
                <w:rFonts w:ascii="Arial" w:cs="Arial" w:eastAsia="Arial" w:hAnsi="Arial"/>
                <w:b w:val="false"/>
                <w:bCs w:val="false"/>
                <w:color w:val="222222"/>
                <w:sz w:val="20"/>
                <w:szCs w:val="20"/>
              </w:rPr>
              <w:t xml:space="preserve">Document Version</w:t>
            </w:r>
          </w:p>
        </w:tc>
        <w:tc>
          <w:tcPr>
            <w:tcW w:type="dxa" w:w="6026"/>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after="0" w:before="0"/>
            </w:pPr>
            <w:r>
              <w:rPr>
                <w:rFonts w:ascii="Arial" w:cs="Arial" w:eastAsia="Arial" w:hAnsi="Arial"/>
                <w:b w:val="false"/>
                <w:bCs w:val="false"/>
                <w:color w:val="222222"/>
                <w:sz w:val="20"/>
                <w:szCs w:val="20"/>
              </w:rPr>
              <w:t xml:space="preserve">v1.0 — Initial priority record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222222"/>
                <w:sz w:val="20"/>
                <w:szCs w:val="20"/>
              </w:rPr>
              <w:t xml:space="preserve">Status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222222"/>
                <w:sz w:val="20"/>
                <w:szCs w:val="20"/>
              </w:rPr>
              <w:t xml:space="preserve">Conceptual whitepaper, open to collaboration</w:t>
            </w:r>
          </w:p>
        </w:tc>
      </w:tr>
    </w:tbl>
    <w:p>
      <w:pPr>
        <w:spacing w:after="0" w:before="200"/>
      </w:pPr>
      <w:r>
        <w:t xml:space="preserve"/>
      </w:r>
    </w:p>
    <w:p>
      <w:pPr>
        <w:spacing w:after="80" w:before="80"/>
        <w:jc w:val="both"/>
      </w:pPr>
      <w:r>
        <w:rPr>
          <w:rFonts w:ascii="Arial" w:cs="Arial" w:eastAsia="Arial" w:hAnsi="Arial"/>
          <w:i/>
          <w:iCs/>
          <w:color w:val="666666"/>
          <w:sz w:val="22"/>
          <w:szCs w:val="22"/>
        </w:rPr>
        <w:t xml:space="preserve">This document serves as the primary record of the concept to establish authorship priority. The author is open to collaboration with researchers, developers, and investors who share the vision of self-sovereign behavioural identity.</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3A5C" w:sz="4" w:space="8"/>
      </w:pBdr>
      <w:tabs>
        <w:tab w:val="right" w:pos="9026"/>
      </w:tabs>
      <w:spacing w:after="0" w:before="0"/>
    </w:pPr>
    <w:r>
      <w:rPr>
        <w:rFonts w:ascii="Arial" w:cs="Arial" w:eastAsia="Arial" w:hAnsi="Arial"/>
        <w:color w:val="666666"/>
        <w:sz w:val="16"/>
        <w:szCs w:val="16"/>
      </w:rPr>
      <w:t xml:space="preserve">Behavioural Metatype Protocol (BMP) — Nadzim Huseinau — 2026</w:t>
    </w:r>
    <w:r>
      <w:rPr>
        <w:rFonts w:ascii="Arial" w:cs="Arial" w:eastAsia="Arial" w:hAnsi="Arial"/>
        <w:color w:val="666666"/>
        <w:sz w:val="16"/>
        <w:szCs w:val="16"/>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3A5C"/>
      <w:sz w:val="28"/>
      <w:szCs w:val="28"/>
    </w:rPr>
  </w:style>
  <w:style w:type="paragraph" w:styleId="Heading2">
    <w:name w:val="Heading 2"/>
    <w:basedOn w:val="Normal"/>
    <w:next w:val="Normal"/>
    <w:qFormat/>
    <w:pPr>
      <w:spacing w:after="120" w:before="280"/>
      <w:outlineLvl w:val="1"/>
    </w:pPr>
    <w:rPr>
      <w:rFonts w:ascii="Arial" w:cs="Arial" w:eastAsia="Arial" w:hAnsi="Arial"/>
      <w:b/>
      <w:bCs/>
      <w:color w:val="2E6DA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2026-06-02T11:23:30.176Z</dcterms:created>
  <dcterms:modified xsi:type="dcterms:W3CDTF">2026-06-02T11:23:30.189Z</dcterms:modified>
</cp:coreProperties>
</file>

<file path=docProps/custom.xml><?xml version="1.0" encoding="utf-8"?>
<Properties xmlns="http://schemas.openxmlformats.org/officeDocument/2006/custom-properties" xmlns:vt="http://schemas.openxmlformats.org/officeDocument/2006/docPropsVTypes"/>
</file>