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4"/>
        </w:pBdr>
        <w:spacing w:after="40"/>
      </w:pPr>
      <w:r>
        <w:rPr>
          <w:b/>
          <w:bCs/>
          <w:sz w:val="30"/>
          <w:szCs w:val="30"/>
        </w:rPr>
        <w:t xml:space="preserve">Guided Walkthrough: Onboarding to Completeness</w:t>
      </w:r>
    </w:p>
    <w:p>
      <w:pPr>
        <w:spacing w:after="60"/>
      </w:pPr>
      <w:r>
        <w:rPr>
          <w:i/>
          <w:iCs/>
          <w:color w:val="555555"/>
          <w:sz w:val="20"/>
          <w:szCs w:val="20"/>
        </w:rPr>
        <w:t xml:space="preserve">How Claude leads the Patient Care Concierge through the Phase 1 record-assembly process</w:t>
      </w:r>
    </w:p>
    <w:p>
      <w:pPr>
        <w:spacing w:after="80" w:before="80"/>
      </w:pPr>
      <w:r>
        <w:rPr>
          <w:sz w:val="22"/>
          <w:szCs w:val="22"/>
        </w:rPr>
        <w:t xml:space="preserve">This document serves two purposes. For the concierge, it is the step-by-step path Claude follows when guiding a patient from first contact to a complete, confirmed file. For Numeral, it defines exactly where Claude’s role ends and the data-extraction and Healthograph work begins — the single handoff point both halves are built around.</w:t>
      </w:r>
    </w:p>
    <w:p>
      <w:pPr>
        <w:spacing w:after="80" w:before="80"/>
      </w:pPr>
      <w:r>
        <w:rPr>
          <w:sz w:val="22"/>
          <w:szCs w:val="22"/>
        </w:rPr>
        <w:t xml:space="preserve">How to read it: indented italic lines are what Claude says or prompts. Amber checkpoints are steps Claude will not move past until met. The green handoff marks where the process leaves Claude and enters Numeral’s machinery.</w:t>
      </w:r>
    </w:p>
    <w:p>
      <w:pPr>
        <w:spacing w:after="100" w:before="260"/>
      </w:pPr>
      <w:r>
        <w:rPr>
          <w:rFonts w:ascii="Arial" w:cs="Arial" w:eastAsia="Arial" w:hAnsi="Arial"/>
          <w:b/>
          <w:bCs/>
          <w:color w:val="0C447C"/>
          <w:sz w:val="26"/>
          <w:szCs w:val="26"/>
        </w:rPr>
        <w:t xml:space="preserve">Stage 1 · Onboarding the patient</w:t>
      </w:r>
    </w:p>
    <w:p>
      <w:pPr>
        <w:spacing w:after="80" w:before="80"/>
      </w:pPr>
      <w:r>
        <w:rPr>
          <w:sz w:val="22"/>
          <w:szCs w:val="22"/>
        </w:rPr>
        <w:t xml:space="preserve">The concierge opens with: “I’m starting a new patient.” Claude guides the welcome conversation and source-listing.</w:t>
      </w:r>
    </w:p>
    <w:p>
      <w:pPr>
        <w:spacing w:after="60" w:before="160"/>
      </w:pPr>
      <w:r>
        <w:rPr>
          <w:b/>
          <w:bCs/>
          <w:sz w:val="22"/>
          <w:szCs w:val="22"/>
        </w:rPr>
        <w:t xml:space="preserve">Welcome conversation</w:t>
      </w:r>
    </w:p>
    <w:p>
      <w:pPr>
        <w:pBdr>
          <w:left w:val="single" w:color="2E75B6" w:sz="12" w:space="8"/>
        </w:pBdr>
        <w:spacing w:after="60" w:before="60"/>
        <w:ind w:left="360"/>
      </w:pPr>
      <w:r>
        <w:rPr>
          <w:i/>
          <w:iCs/>
          <w:color w:val="333333"/>
          <w:sz w:val="22"/>
          <w:szCs w:val="22"/>
        </w:rPr>
        <w:t xml:space="preserve">“Let’s start by understanding this patient. What brought them to AiTHOS, and what do they hope the Healthograph helps them with? When you talk with them, explain plainly what record assembly is — we gather their existing records into one organized file — and what it is not: we inform, we don’t direct their care.”</w:t>
      </w:r>
    </w:p>
    <w:p>
      <w:pPr>
        <w:spacing w:after="60" w:before="160"/>
      </w:pPr>
      <w:r>
        <w:rPr>
          <w:b/>
          <w:bCs/>
          <w:sz w:val="22"/>
          <w:szCs w:val="22"/>
        </w:rPr>
        <w:t xml:space="preserve">List the sources together</w:t>
      </w:r>
    </w:p>
    <w:p>
      <w:pPr>
        <w:pBdr>
          <w:left w:val="single" w:color="2E75B6" w:sz="12" w:space="8"/>
        </w:pBdr>
        <w:spacing w:after="60" w:before="60"/>
        <w:ind w:left="360"/>
      </w:pPr>
      <w:r>
        <w:rPr>
          <w:i/>
          <w:iCs/>
          <w:color w:val="333333"/>
          <w:sz w:val="22"/>
          <w:szCs w:val="22"/>
        </w:rPr>
        <w:t xml:space="preserve">“Now let’s capture every place that holds their records. Walk through it with the patient: hospitals, primary care, specialists, labs, imaging centers, pharmacies, and any prior providers. The patient knows where they’ve been — your job is to capture it completely. Shall we go category by category so nothing’s missed?”</w:t>
      </w:r>
    </w:p>
    <w:p>
      <w:pPr>
        <w:shd w:fill="FAEEDA" w:val="clear"/>
        <w:spacing w:after="100" w:before="100"/>
      </w:pPr>
      <w:r>
        <w:rPr>
          <w:b/>
          <w:bCs/>
          <w:color w:val="633806"/>
          <w:sz w:val="20"/>
          <w:szCs w:val="20"/>
        </w:rPr>
        <w:t xml:space="preserve">⚠  CHECKPOINT — </w:t>
      </w:r>
      <w:r>
        <w:rPr>
          <w:color w:val="633806"/>
          <w:sz w:val="20"/>
          <w:szCs w:val="20"/>
        </w:rPr>
        <w:t xml:space="preserve">Sensitive categories surfaced now, not later. Claude asks whether any records involve mental/behavioral health, substance-use treatment (42 C.F.R. Part 2), HIV/AIDS, or genetic information — these often need their own specific consent language, and surfacing them up front prevents a mid-process gap.</w:t>
      </w:r>
    </w:p>
    <w:p>
      <w:pPr>
        <w:spacing w:after="60" w:before="160"/>
      </w:pPr>
      <w:r>
        <w:rPr>
          <w:b/>
          <w:bCs/>
          <w:sz w:val="22"/>
          <w:szCs w:val="22"/>
        </w:rPr>
        <w:t xml:space="preserve">Capture the authorization</w:t>
      </w:r>
    </w:p>
    <w:p>
      <w:pPr>
        <w:pBdr>
          <w:left w:val="single" w:color="2E75B6" w:sz="12" w:space="8"/>
        </w:pBdr>
        <w:spacing w:after="60" w:before="60"/>
        <w:ind w:left="360"/>
      </w:pPr>
      <w:r>
        <w:rPr>
          <w:i/>
          <w:iCs/>
          <w:color w:val="333333"/>
          <w:sz w:val="22"/>
          <w:szCs w:val="22"/>
        </w:rPr>
        <w:t xml:space="preserve">“Before any request goes out, the patient needs to sign the § 164.524 patient-directed authorization. Do you have that signed and stored in secure AiTHOS?”</w:t>
      </w:r>
    </w:p>
    <w:p>
      <w:pPr>
        <w:shd w:fill="FAEEDA" w:val="clear"/>
        <w:spacing w:after="100" w:before="100"/>
      </w:pPr>
      <w:r>
        <w:rPr>
          <w:b/>
          <w:bCs/>
          <w:color w:val="633806"/>
          <w:sz w:val="20"/>
          <w:szCs w:val="20"/>
        </w:rPr>
        <w:t xml:space="preserve">⚠  CHECKPOINT — </w:t>
      </w:r>
      <w:r>
        <w:rPr>
          <w:color w:val="633806"/>
          <w:sz w:val="20"/>
          <w:szCs w:val="20"/>
        </w:rPr>
        <w:t xml:space="preserve">No requests until the authorization is captured. Claude will not help draft or send any records request until the concierge confirms the signed authorization is in hand. A missing signature is worth a pause.</w:t>
      </w:r>
    </w:p>
    <w:p>
      <w:pPr>
        <w:spacing w:after="100" w:before="260"/>
      </w:pPr>
      <w:r>
        <w:rPr>
          <w:rFonts w:ascii="Arial" w:cs="Arial" w:eastAsia="Arial" w:hAnsi="Arial"/>
          <w:b/>
          <w:bCs/>
          <w:color w:val="0C447C"/>
          <w:sz w:val="26"/>
          <w:szCs w:val="26"/>
        </w:rPr>
        <w:t xml:space="preserve">Stage 2 · Requesting records</w:t>
      </w:r>
    </w:p>
    <w:p>
      <w:pPr>
        <w:spacing w:after="80" w:before="80"/>
      </w:pPr>
      <w:r>
        <w:rPr>
          <w:sz w:val="22"/>
          <w:szCs w:val="22"/>
        </w:rPr>
        <w:t xml:space="preserve">For each source on the list, the concierge says: “Draft the request for this source.”</w:t>
      </w:r>
    </w:p>
    <w:p>
      <w:pPr>
        <w:pBdr>
          <w:left w:val="single" w:color="2E75B6" w:sz="12" w:space="8"/>
        </w:pBdr>
        <w:spacing w:after="60" w:before="60"/>
        <w:ind w:left="360"/>
      </w:pPr>
      <w:r>
        <w:rPr>
          <w:i/>
          <w:iCs/>
          <w:color w:val="333333"/>
          <w:sz w:val="22"/>
          <w:szCs w:val="22"/>
        </w:rPr>
        <w:t xml:space="preserve">“Here’s the patient-directed request for [source], framed under the patient’s own right of access at § 164.524 so the records office treats it as a patient-access request. I’ve left blanks for the patient’s name, identifiers, the record types, and the date range — fill those from secure AiTHOS, not here. Send it through the provider’s secure channel and mark the source ‘Requested’ in the tracker.”</w:t>
      </w:r>
    </w:p>
    <w:p>
      <w:pPr>
        <w:pStyle w:val="ListParagraph"/>
        <w:numPr>
          <w:ilvl w:val="0"/>
          <w:numId w:val="2"/>
        </w:numPr>
        <w:spacing w:after="40" w:before="40"/>
      </w:pPr>
      <w:r>
        <w:rPr>
          <w:b w:val="false"/>
          <w:bCs w:val="false"/>
          <w:sz w:val="22"/>
          <w:szCs w:val="22"/>
        </w:rPr>
        <w:t xml:space="preserve">Claude keeps every request patient-directed — the lower-friction, required-disclosure route.</w:t>
      </w:r>
    </w:p>
    <w:p>
      <w:pPr>
        <w:pStyle w:val="ListParagraph"/>
        <w:numPr>
          <w:ilvl w:val="0"/>
          <w:numId w:val="2"/>
        </w:numPr>
        <w:spacing w:after="40" w:before="40"/>
      </w:pPr>
      <w:r>
        <w:rPr>
          <w:b w:val="false"/>
          <w:bCs w:val="false"/>
          <w:sz w:val="22"/>
          <w:szCs w:val="22"/>
        </w:rPr>
        <w:t xml:space="preserve">Claude defaults the delivery method to secure electronic (portal or encrypted file).</w:t>
      </w:r>
    </w:p>
    <w:p>
      <w:pPr>
        <w:pStyle w:val="ListParagraph"/>
        <w:numPr>
          <w:ilvl w:val="0"/>
          <w:numId w:val="2"/>
        </w:numPr>
        <w:spacing w:after="40" w:before="40"/>
      </w:pPr>
      <w:r>
        <w:rPr>
          <w:b w:val="false"/>
          <w:bCs w:val="false"/>
          <w:sz w:val="22"/>
          <w:szCs w:val="22"/>
        </w:rPr>
        <w:t xml:space="preserve">Claude reminds the concierge: one source per request keeps tracking clean.</w:t>
      </w:r>
    </w:p>
    <w:p>
      <w:pPr>
        <w:spacing w:after="100" w:before="260"/>
      </w:pPr>
      <w:r>
        <w:rPr>
          <w:rFonts w:ascii="Arial" w:cs="Arial" w:eastAsia="Arial" w:hAnsi="Arial"/>
          <w:b/>
          <w:bCs/>
          <w:color w:val="0C447C"/>
          <w:sz w:val="26"/>
          <w:szCs w:val="26"/>
        </w:rPr>
        <w:t xml:space="preserve">Stage 3 · Tracking and follow-up</w:t>
      </w:r>
    </w:p>
    <w:p>
      <w:pPr>
        <w:spacing w:after="80" w:before="80"/>
      </w:pPr>
      <w:r>
        <w:rPr>
          <w:sz w:val="22"/>
          <w:szCs w:val="22"/>
        </w:rPr>
        <w:t xml:space="preserve">When a request is outstanding, the concierge says: “It’s been three weeks on [source], nothing back.”</w:t>
      </w:r>
    </w:p>
    <w:p>
      <w:pPr>
        <w:pBdr>
          <w:left w:val="single" w:color="2E75B6" w:sz="12" w:space="8"/>
        </w:pBdr>
        <w:spacing w:after="60" w:before="60"/>
        <w:ind w:left="360"/>
      </w:pPr>
      <w:r>
        <w:rPr>
          <w:i/>
          <w:iCs/>
          <w:color w:val="333333"/>
          <w:sz w:val="22"/>
          <w:szCs w:val="22"/>
        </w:rPr>
        <w:t xml:space="preserve">“Here’s a polite, specific follow-up for [source]. Providers have a defined window — 30 days for on-site records — so a clear, specific nudge at that mark usually resolves delays. Want me to reference the original request date so it’s concrete?”</w:t>
      </w:r>
    </w:p>
    <w:p>
      <w:pPr>
        <w:pStyle w:val="ListParagraph"/>
        <w:numPr>
          <w:ilvl w:val="0"/>
          <w:numId w:val="2"/>
        </w:numPr>
        <w:spacing w:after="40" w:before="40"/>
      </w:pPr>
      <w:r>
        <w:rPr>
          <w:b w:val="false"/>
          <w:bCs w:val="false"/>
          <w:sz w:val="22"/>
          <w:szCs w:val="22"/>
        </w:rPr>
        <w:t xml:space="preserve">Claude drafts follow-ups that are courteous and specific, never adversarial.</w:t>
      </w:r>
    </w:p>
    <w:p>
      <w:pPr>
        <w:pStyle w:val="ListParagraph"/>
        <w:numPr>
          <w:ilvl w:val="0"/>
          <w:numId w:val="2"/>
        </w:numPr>
        <w:spacing w:after="40" w:before="40"/>
      </w:pPr>
      <w:r>
        <w:rPr>
          <w:b w:val="false"/>
          <w:bCs w:val="false"/>
          <w:sz w:val="22"/>
          <w:szCs w:val="22"/>
        </w:rPr>
        <w:t xml:space="preserve">Claude anchors timing to the 30-day right-of-access window from the source’s request date.</w:t>
      </w:r>
    </w:p>
    <w:p>
      <w:pPr>
        <w:spacing w:after="100" w:before="260"/>
      </w:pPr>
      <w:r>
        <w:rPr>
          <w:rFonts w:ascii="Arial" w:cs="Arial" w:eastAsia="Arial" w:hAnsi="Arial"/>
          <w:b/>
          <w:bCs/>
          <w:color w:val="0C447C"/>
          <w:sz w:val="26"/>
          <w:szCs w:val="26"/>
        </w:rPr>
        <w:t xml:space="preserve">Stage 4 · Assembling and checking completeness</w:t>
      </w:r>
    </w:p>
    <w:p>
      <w:pPr>
        <w:spacing w:after="80" w:before="80"/>
      </w:pPr>
      <w:r>
        <w:rPr>
          <w:sz w:val="22"/>
          <w:szCs w:val="22"/>
        </w:rPr>
        <w:t xml:space="preserve">When records are in, the concierge says: “Everything’s in — what do I check?”</w:t>
      </w:r>
    </w:p>
    <w:p>
      <w:pPr>
        <w:pBdr>
          <w:left w:val="single" w:color="2E75B6" w:sz="12" w:space="8"/>
        </w:pBdr>
        <w:spacing w:after="60" w:before="60"/>
        <w:ind w:left="360"/>
      </w:pPr>
      <w:r>
        <w:rPr>
          <w:i/>
          <w:iCs/>
          <w:color w:val="333333"/>
          <w:sz w:val="22"/>
          <w:szCs w:val="22"/>
        </w:rPr>
        <w:t xml:space="preserve">“Let’s confirm completeness against the original source list. Go down it with me: for each source, is it received, partial, or still outstanding? For anything partial or missing, we’ll draft a gap request. Then review the assembled file with the patient against that same list, and confirm nothing important is missing before it moves on.”</w:t>
      </w:r>
    </w:p>
    <w:p>
      <w:pPr>
        <w:shd w:fill="FAEEDA" w:val="clear"/>
        <w:spacing w:after="100" w:before="100"/>
      </w:pPr>
      <w:r>
        <w:rPr>
          <w:b/>
          <w:bCs/>
          <w:color w:val="633806"/>
          <w:sz w:val="20"/>
          <w:szCs w:val="20"/>
        </w:rPr>
        <w:t xml:space="preserve">⚠  CHECKPOINT — </w:t>
      </w:r>
      <w:r>
        <w:rPr>
          <w:color w:val="633806"/>
          <w:sz w:val="20"/>
          <w:szCs w:val="20"/>
        </w:rPr>
        <w:t xml:space="preserve">Completeness confirmed with the patient. Claude walks the assembled file against the original source list and prompts the concierge to confirm with the patient before the file moves forward. The patient stays informed and in control.</w:t>
      </w:r>
    </w:p>
    <w:p>
      <w:pPr>
        <w:spacing w:after="100" w:before="260"/>
      </w:pPr>
      <w:r>
        <w:rPr>
          <w:rFonts w:ascii="Arial" w:cs="Arial" w:eastAsia="Arial" w:hAnsi="Arial"/>
          <w:b/>
          <w:bCs/>
          <w:color w:val="0C447C"/>
          <w:sz w:val="26"/>
          <w:szCs w:val="26"/>
        </w:rPr>
        <w:t xml:space="preserve">The handoff line</w:t>
      </w:r>
    </w:p>
    <w:p>
      <w:pPr>
        <w:spacing w:after="80" w:before="80"/>
      </w:pPr>
      <w:r>
        <w:rPr>
          <w:sz w:val="22"/>
          <w:szCs w:val="22"/>
        </w:rPr>
        <w:t xml:space="preserve">This is the interface between Claude’s role and Numeral’s. It must be crisp so both halves can be built independently.</w:t>
      </w:r>
    </w:p>
    <w:p>
      <w:pPr>
        <w:shd w:fill="E1F5EE" w:val="clear"/>
        <w:spacing w:after="120" w:before="120"/>
      </w:pPr>
      <w:r>
        <w:rPr>
          <w:b/>
          <w:bCs/>
          <w:color w:val="085041"/>
          <w:sz w:val="20"/>
          <w:szCs w:val="20"/>
        </w:rPr>
        <w:t xml:space="preserve">➤  HANDOFF TO NUMERAL — </w:t>
      </w:r>
      <w:r>
        <w:rPr>
          <w:color w:val="085041"/>
          <w:sz w:val="20"/>
          <w:szCs w:val="20"/>
        </w:rPr>
        <w:t xml:space="preserve">Once the assembled file is complete and confirmed with the patient, it enters the secure AiTHOS system. From that point, Numeral leads: data extraction, structuring, and creation of the Healthograph. Claude’s guided walkthrough ends here.</w:t>
      </w:r>
    </w:p>
    <w:p>
      <w:pPr>
        <w:spacing w:after="80" w:before="80"/>
      </w:pPr>
      <w:r>
        <w:rPr>
          <w:sz w:val="22"/>
          <w:szCs w:val="22"/>
        </w:rPr>
        <w:t xml:space="preserve">“Complete and confirmed” means: every source on the original list is accounted for (received, or a documented gap the patient accepts), and the patient has reviewed the assembled file against that list. Claude hands over nothing but the signal that this state is reached — the records themselves live in AiTHOS throughout and never pass through Claude.</w:t>
      </w:r>
    </w:p>
    <w:p>
      <w:pPr>
        <w:spacing w:after="100" w:before="260"/>
      </w:pPr>
      <w:r>
        <w:rPr>
          <w:rFonts w:ascii="Arial" w:cs="Arial" w:eastAsia="Arial" w:hAnsi="Arial"/>
          <w:b/>
          <w:bCs/>
          <w:color w:val="0C447C"/>
          <w:sz w:val="26"/>
          <w:szCs w:val="26"/>
        </w:rPr>
        <w:t xml:space="preserve">Two walls Claude holds at every stage</w:t>
      </w:r>
    </w:p>
    <w:p>
      <w:pPr>
        <w:pStyle w:val="ListParagraph"/>
        <w:numPr>
          <w:ilvl w:val="0"/>
          <w:numId w:val="2"/>
        </w:numPr>
        <w:spacing w:after="40" w:before="40"/>
      </w:pPr>
      <w:r>
        <w:rPr>
          <w:b/>
          <w:bCs/>
          <w:sz w:val="22"/>
          <w:szCs w:val="22"/>
        </w:rPr>
        <w:t xml:space="preserve">No record content. The moment the concierge pastes or describes actual records, results, or clinical notes, Claude stops and redirects: that content belongs in secure AiTHOS, not in a chat. Claude helps with the wording around records, never the records themselves.</w:t>
      </w:r>
    </w:p>
    <w:p>
      <w:pPr>
        <w:pStyle w:val="ListParagraph"/>
        <w:numPr>
          <w:ilvl w:val="0"/>
          <w:numId w:val="2"/>
        </w:numPr>
        <w:spacing w:after="40" w:before="40"/>
      </w:pPr>
      <w:r>
        <w:rPr>
          <w:b/>
          <w:bCs/>
          <w:sz w:val="22"/>
          <w:szCs w:val="22"/>
        </w:rPr>
        <w:t xml:space="preserve">No clinical interpretation. Claude never tells the patient or concierge what a record means or what to do about a condition. Clinical questions go to the patient’s care team.</w:t>
      </w:r>
    </w:p>
    <w:p>
      <w:pPr>
        <w:pBdr>
          <w:top w:val="single" w:color="CCCCCC" w:sz="4" w:space="4"/>
        </w:pBdr>
        <w:spacing w:after="0" w:before="360"/>
      </w:pPr>
      <w:r>
        <w:rPr>
          <w:color w:val="555555"/>
          <w:sz w:val="16"/>
          <w:szCs w:val="16"/>
        </w:rPr>
        <w:t xml:space="preserve">AiTHOS  ·  Guided Walkthrough — Concierge Process &amp; Numeral Interface Spec  ·  Phase 1  ·  Confidential</w:t>
      </w:r>
    </w:p>
    <w:p>
      <w:pPr>
        <w:spacing w:before="40"/>
      </w:pPr>
      <w:r>
        <w:rPr>
          <w:i/>
          <w:iCs/>
          <w:color w:val="555555"/>
          <w:sz w:val="16"/>
          <w:szCs w:val="16"/>
        </w:rPr>
        <w:t xml:space="preserve">Internal process reference — not legal advice. Confirm authorization and letter language with counsel before patient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2026-05-24T06:50:54.065Z</dcterms:created>
  <dcterms:modified xsi:type="dcterms:W3CDTF">2026-05-24T06:50:54.076Z</dcterms:modified>
</cp:coreProperties>
</file>

<file path=docProps/custom.xml><?xml version="1.0" encoding="utf-8"?>
<Properties xmlns="http://schemas.openxmlformats.org/officeDocument/2006/custom-properties" xmlns:vt="http://schemas.openxmlformats.org/officeDocument/2006/docPropsVTypes"/>
</file>