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4"/>
        </w:pBdr>
        <w:spacing w:after="40"/>
      </w:pPr>
      <w:r>
        <w:rPr>
          <w:b/>
          <w:bCs/>
          <w:sz w:val="30"/>
          <w:szCs w:val="30"/>
        </w:rPr>
        <w:t xml:space="preserve">AiTHOS Platform — Build Brief for Numeral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Architecture, module scope, and the coordination/content boundary — Phase 1 and beyond</w:t>
      </w:r>
    </w:p>
    <w:p>
      <w:pPr>
        <w:spacing w:after="100" w:before="260"/>
      </w:pPr>
      <w:r>
        <w:rPr>
          <w:b/>
          <w:bCs/>
          <w:color w:val="0C447C"/>
          <w:sz w:val="26"/>
          <w:szCs w:val="26"/>
        </w:rPr>
        <w:t xml:space="preserve">1 · The architecture in one picture</w:t>
      </w:r>
    </w:p>
    <w:p>
      <w:pPr>
        <w:spacing w:after="80" w:before="80"/>
      </w:pPr>
      <w:r>
        <w:rPr>
          <w:sz w:val="22"/>
          <w:szCs w:val="22"/>
        </w:rPr>
        <w:t xml:space="preserve">AiTHOS is the secure, HIPAA-compliant environment that houses every module touching patient content — onboarding through the Healthograph. Claude sits outside that boundary as a coordination aid for the Patient Care Concierge: it helps with questions, wording, drafting, and process guidance, and never touches patient health information. The patient and concierge hold primary access and jointly decide which other parties (e.g., a treating physician or family member) connect, consistent with the patient authorization.</w:t>
      </w:r>
    </w:p>
    <w:p>
      <w:pPr>
        <w:spacing w:after="100" w:before="260"/>
      </w:pPr>
      <w:r>
        <w:rPr>
          <w:b/>
          <w:bCs/>
          <w:color w:val="0C447C"/>
          <w:sz w:val="26"/>
          <w:szCs w:val="26"/>
        </w:rPr>
        <w:t xml:space="preserve">2 · The boundary rule (load-bearing — do not relax)</w:t>
      </w:r>
    </w:p>
    <w:p>
      <w:pPr>
        <w:spacing w:after="80" w:before="80"/>
      </w:pPr>
      <w:r>
        <w:rPr>
          <w:sz w:val="22"/>
          <w:szCs w:val="22"/>
        </w:rPr>
        <w:t xml:space="preserve">This rule is the spine of the design. Everything else depends on it holding inside the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Claude touches the coordination layer only: subject codes (S01, S02…), source names, request statuses, dates, and draft wording.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No patient or clinical content — coded or not — ever passes through Claude. Intake answers, records, results, and notes are PHI regardless of whether a name is attached, and live only in AiTHOS.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Patient-facing and concierge-facing intake forms are served by AiTHOS, never by a chatbot. Data is born in the compliant system; there is no download-and-transfer-through-Claude step.</w:t>
      </w:r>
    </w:p>
    <w:p>
      <w:pPr>
        <w:spacing w:after="100" w:before="260"/>
      </w:pPr>
      <w:r>
        <w:rPr>
          <w:b/>
          <w:bCs/>
          <w:color w:val="0C447C"/>
          <w:sz w:val="26"/>
          <w:szCs w:val="26"/>
        </w:rPr>
        <w:t xml:space="preserve">3 · Modules to build (full pipeline)</w:t>
      </w:r>
    </w:p>
    <w:p>
      <w:pPr>
        <w:spacing w:after="80" w:before="80"/>
      </w:pPr>
      <w:r>
        <w:rPr>
          <w:sz w:val="22"/>
          <w:szCs w:val="22"/>
        </w:rPr>
        <w:t xml:space="preserve">You asked for the full pipeline specced together. Build all modules inside AiTHOS. The right-hand column marks maturity honestly: some modules have working specifications and are validating now; others are conceptual and yours to define. Treat them differently even though they sit in one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Maturity &amp; source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&amp; intake (incl. sensitive-category surfacing)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Specced &amp; validating — see Guided Walkthrough, Workflow. Build as a structured form in AiTHOS.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generation (§ 164.524 patient-directed)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Specced &amp; validating — see Workflow, Walkthrough, request letter template.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 &amp; follow-up (30-day anchor)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Specced &amp; validating — prototype tracker + quick reference demonstrate the model.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Completeness verification (against source list, with patient)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Specced &amp; validating — see Walkthrough Stage 4 checkpoint.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Assembly of longitudinal record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Specced at the boundary — produces the “complete and confirmed” file; see Walkthrough handoff line.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extraction / structuring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Conceptual — Numeral to define. Most sensitive processing; warrants its own design and validation.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Healthograph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Conceptual — Numeral to define. A full product, not a final step.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NCF — Narrative Context Framework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Conceptual — disease-specific insights via proprietary algorithms. Numeral to define; depends on a reliable assembled record as input.</w:t>
            </w:r>
          </w:p>
        </w:tc>
      </w:tr>
    </w:tbl>
    <w:p>
      <w:pPr>
        <w:spacing w:after="100" w:before="260"/>
      </w:pPr>
      <w:r>
        <w:rPr>
          <w:b/>
          <w:bCs/>
          <w:color w:val="0C447C"/>
          <w:sz w:val="26"/>
          <w:szCs w:val="26"/>
        </w:rPr>
        <w:t xml:space="preserve">4 · Where Claude interfaces, and where it stops</w:t>
      </w:r>
    </w:p>
    <w:p>
      <w:pPr>
        <w:spacing w:after="80" w:before="80"/>
      </w:pPr>
      <w:r>
        <w:rPr>
          <w:sz w:val="22"/>
          <w:szCs w:val="22"/>
        </w:rPr>
        <w:t xml:space="preserve">Claude assists the concierge across onboarding, request, tracking, and completeness — the coordination and wording around those steps. The single handoff is the “complete and confirmed” assembled file entering AiTHOS: from there, extraction, structuring, the Healthograph, and NCF are entirely AiTHOS/Numeral, with no Claude involvement. “Complete and confirmed” means every source on the original list is accounted for (received, or a documented gap the patient accepts) and the patient has reviewed the assembled file against that list.</w:t>
      </w:r>
    </w:p>
    <w:p>
      <w:pPr>
        <w:spacing w:after="100" w:before="260"/>
      </w:pPr>
      <w:r>
        <w:rPr>
          <w:b/>
          <w:bCs/>
          <w:color w:val="0C447C"/>
          <w:sz w:val="26"/>
          <w:szCs w:val="26"/>
        </w:rPr>
        <w:t xml:space="preserve">5 · A note on sequencing (advisory)</w:t>
      </w:r>
    </w:p>
    <w:p>
      <w:pPr>
        <w:spacing w:after="80" w:before="80"/>
      </w:pPr>
      <w:r>
        <w:rPr>
          <w:sz w:val="22"/>
          <w:szCs w:val="22"/>
        </w:rPr>
        <w:t xml:space="preserve">Speccing the full pipeline is fine, but the front half (onboarding → assembly) is what Phase 1 is validating and what is ready to build against. Extraction, Healthograph, and NCF depend on a reliably assembled, complete record as their input. Recommend building and proving the input-producing front half first, even within a full-pipeline plan, so the consuming modules are built on a validated foundation rather than in parallel with an unproven one.</w:t>
      </w:r>
    </w:p>
    <w:p>
      <w:pPr>
        <w:spacing w:after="100" w:before="260"/>
      </w:pPr>
      <w:r>
        <w:rPr>
          <w:b/>
          <w:bCs/>
          <w:color w:val="0C447C"/>
          <w:sz w:val="26"/>
          <w:szCs w:val="26"/>
        </w:rPr>
        <w:t xml:space="preserve">6 · Open questions for counsel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Where may coordination data (subject code + source list + statuses) be stored and processed, given that the code-to-name pairing is re-identifiable? Confirm this layer's handling even though it holds no clinical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Final patient authorization language — CC-AITHOS-LEGAL-003 remains a counsel-review draft; all request and intake wording traces back to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Patient-facing intake served from AiTHOS — consent, disclosure, and (if any conversation is ever recorded or live-processed) state-specific consent 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Data-extraction module — its own privacy review, separate from the coordination workflow.</w:t>
      </w:r>
    </w:p>
    <w:p>
      <w:pPr>
        <w:pBdr>
          <w:top w:val="single" w:color="CCCCCC" w:sz="4" w:space="4"/>
        </w:pBdr>
        <w:spacing w:after="0" w:before="360"/>
      </w:pPr>
      <w:r>
        <w:rPr>
          <w:color w:val="555555"/>
          <w:sz w:val="16"/>
          <w:szCs w:val="16"/>
        </w:rPr>
        <w:t xml:space="preserve">AiTHOS  ·  Platform Build Brief for Numeral  ·  Phase 1  ·  Confidential</w:t>
      </w:r>
    </w:p>
    <w:p>
      <w:pPr>
        <w:spacing w:before="40"/>
      </w:pPr>
      <w:r>
        <w:rPr>
          <w:i/>
          <w:iCs/>
          <w:color w:val="555555"/>
          <w:sz w:val="16"/>
          <w:szCs w:val="16"/>
        </w:rPr>
        <w:t xml:space="preserve">Internal planning document — not legal advice. Confirm authorization and data-handling with counsel before patient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2026-05-24T07:14:18.105Z</dcterms:created>
  <dcterms:modified xsi:type="dcterms:W3CDTF">2026-05-24T07:14:18.118Z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