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40"/>
      </w:pPr>
      <w:r>
        <w:rPr>
          <w:b/>
          <w:bCs/>
          <w:sz w:val="28"/>
          <w:szCs w:val="28"/>
        </w:rPr>
        <w:t xml:space="preserve">Using the Record-Assembly Tracker</w:t>
      </w:r>
    </w:p>
    <w:p>
      <w:pPr>
        <w:spacing w:after="200"/>
      </w:pPr>
      <w:r>
        <w:rPr>
          <w:i/>
          <w:iCs/>
          <w:color w:val="555555"/>
          <w:sz w:val="20"/>
          <w:szCs w:val="20"/>
        </w:rPr>
        <w:t xml:space="preserve">A quick reference for the Patient Care Concierge — how the tracker fits the Phase 1 workflow</w:t>
      </w:r>
    </w:p>
    <w:p>
      <w:pPr>
        <w:spacing w:after="80" w:before="80"/>
      </w:pPr>
      <w:r>
        <w:rPr>
          <w:sz w:val="22"/>
          <w:szCs w:val="22"/>
        </w:rPr>
        <w:t xml:space="preserve">The tracker is a coordination surface for the middle of the record-assembly workflow — it does not replace it. The patient-facing steps and all records handling stay where they belong. The tracker is the concierge’s private view for sending requests, tracking them, and following up.</w:t>
      </w:r>
    </w:p>
    <w:p>
      <w:pPr>
        <w:spacing w:after="100" w:before="240"/>
      </w:pPr>
      <w:r>
        <w:rPr>
          <w:rFonts w:ascii="Arial" w:cs="Arial" w:eastAsia="Arial" w:hAnsi="Arial"/>
          <w:b/>
          <w:bCs/>
          <w:sz w:val="24"/>
          <w:szCs w:val="24"/>
        </w:rPr>
        <w:t xml:space="preserve">Before you open the tracker</w:t>
      </w:r>
    </w:p>
    <w:p>
      <w:pPr>
        <w:spacing w:after="80" w:before="80"/>
      </w:pPr>
      <w:r>
        <w:rPr>
          <w:sz w:val="22"/>
          <w:szCs w:val="22"/>
        </w:rPr>
        <w:t xml:space="preserve">Steps 1–3 of the workflow happen first, with the patient and in the secure AiTHOS system:</w:t>
      </w:r>
    </w:p>
    <w:p>
      <w:pPr>
        <w:pStyle w:val="ListParagraph"/>
        <w:numPr>
          <w:ilvl w:val="0"/>
          <w:numId w:val="2"/>
        </w:numPr>
        <w:spacing w:after="40" w:before="40"/>
      </w:pPr>
      <w:r>
        <w:rPr>
          <w:sz w:val="22"/>
          <w:szCs w:val="22"/>
        </w:rPr>
        <w:t xml:space="preserve">Welcome conversation — understand the patient’s history and goals.</w:t>
      </w:r>
    </w:p>
    <w:p>
      <w:pPr>
        <w:pStyle w:val="ListParagraph"/>
        <w:numPr>
          <w:ilvl w:val="0"/>
          <w:numId w:val="2"/>
        </w:numPr>
        <w:spacing w:after="40" w:before="40"/>
      </w:pPr>
      <w:r>
        <w:rPr>
          <w:sz w:val="22"/>
          <w:szCs w:val="22"/>
        </w:rPr>
        <w:t xml:space="preserve">List the sources together — every place that holds their records.</w:t>
      </w:r>
    </w:p>
    <w:p>
      <w:pPr>
        <w:pStyle w:val="ListParagraph"/>
        <w:numPr>
          <w:ilvl w:val="0"/>
          <w:numId w:val="2"/>
        </w:numPr>
        <w:spacing w:after="40" w:before="40"/>
      </w:pPr>
      <w:r>
        <w:rPr>
          <w:sz w:val="22"/>
          <w:szCs w:val="22"/>
        </w:rPr>
        <w:t xml:space="preserve">Capture the signed § 164.524 authorization.</w:t>
      </w:r>
    </w:p>
    <w:p>
      <w:pPr>
        <w:spacing w:after="80" w:before="80"/>
      </w:pPr>
      <w:r>
        <w:rPr>
          <w:sz w:val="22"/>
          <w:szCs w:val="22"/>
        </w:rPr>
        <w:t xml:space="preserve">Only once there is an agreed source list and a signed authorization do you open the tracker.</w:t>
      </w:r>
    </w:p>
    <w:p>
      <w:pPr>
        <w:spacing w:after="100" w:before="240"/>
      </w:pPr>
      <w:r>
        <w:rPr>
          <w:rFonts w:ascii="Arial" w:cs="Arial" w:eastAsia="Arial" w:hAnsi="Arial"/>
          <w:b/>
          <w:bCs/>
          <w:sz w:val="24"/>
          <w:szCs w:val="24"/>
        </w:rPr>
        <w:t xml:space="preserve">How each workflow step maps to the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Workflow step</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you do in the tracker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Set up the subject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Pick the subject’s code (S01–S07) — never the name. Type the agreed sources into that subject’s slot: name, type, and secure contact.</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sz w:val="20"/>
                <w:szCs w:val="20"/>
              </w:rPr>
              <w:t xml:space="preserve">Step 4 — Send each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the request letter for each source, fill the blanks from the record in secure AiTHOS, send it through the provider’s secure channel, and mark the source “Requested.” The date stamps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Step 5 — Track every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status board is your log. A source flips to “Follow-up due” after 30 days — that is your cue to send a polite, specific follow-up.</w:t>
            </w:r>
          </w:p>
        </w:tc>
      </w:tr>
      <w:tr>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sz w:val="20"/>
                <w:szCs w:val="20"/>
              </w:rPr>
              <w:t xml:space="preserve">Step 6 — Receive and confirm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 each source “Received,” or “Partial / gap” with a coordination note if something is missing, and request the gap.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Steps 7–8 — Assemble &amp; confirm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Assembly and the completeness review with the patient happen in secure AiTHOS against the actual records. The tracker simply shows when every source is in, so you know it’s time.</w:t>
            </w:r>
          </w:p>
        </w:tc>
      </w:tr>
    </w:tbl>
    <w:p>
      <w:pPr>
        <w:spacing w:after="100" w:before="240"/>
      </w:pPr>
      <w:r>
        <w:rPr>
          <w:rFonts w:ascii="Arial" w:cs="Arial" w:eastAsia="Arial" w:hAnsi="Arial"/>
          <w:b/>
          <w:bCs/>
          <w:sz w:val="24"/>
          <w:szCs w:val="24"/>
        </w:rPr>
        <w:t xml:space="preserve">Two boundaries to hold every time</w:t>
      </w:r>
    </w:p>
    <w:p>
      <w:pPr>
        <w:pStyle w:val="ListParagraph"/>
        <w:numPr>
          <w:ilvl w:val="0"/>
          <w:numId w:val="2"/>
        </w:numPr>
        <w:spacing w:after="40" w:before="40"/>
      </w:pPr>
      <w:r>
        <w:rPr>
          <w:sz w:val="22"/>
          <w:szCs w:val="22"/>
        </w:rPr>
        <w:t xml:space="preserve">Codes here, names in AiTHOS. Keep the name-to-code key only in the secure AiTHOS system. The tracker shows S01–S07, never a patient name.</w:t>
      </w:r>
    </w:p>
    <w:p>
      <w:pPr>
        <w:pStyle w:val="ListParagraph"/>
        <w:numPr>
          <w:ilvl w:val="0"/>
          <w:numId w:val="2"/>
        </w:numPr>
        <w:spacing w:after="40" w:before="40"/>
      </w:pPr>
      <w:r>
        <w:rPr>
          <w:sz w:val="22"/>
          <w:szCs w:val="22"/>
        </w:rPr>
        <w:t xml:space="preserve">No health content, ever. Notes are for coordination wording (“clerk wanted their portal form,” “asked for full date range”) — never what a record contains. Actual records, results, and clinical notes go only into secure AiTHOS.</w:t>
      </w:r>
    </w:p>
    <w:p>
      <w:pPr>
        <w:spacing w:after="100" w:before="240"/>
      </w:pPr>
      <w:r>
        <w:rPr>
          <w:rFonts w:ascii="Arial" w:cs="Arial" w:eastAsia="Arial" w:hAnsi="Arial"/>
          <w:b/>
          <w:bCs/>
          <w:sz w:val="24"/>
          <w:szCs w:val="24"/>
        </w:rPr>
        <w:t xml:space="preserve">One thing to remember for validation</w:t>
      </w:r>
    </w:p>
    <w:p>
      <w:pPr>
        <w:spacing w:after="80" w:before="80"/>
      </w:pPr>
      <w:r>
        <w:rPr>
          <w:sz w:val="22"/>
          <w:szCs w:val="22"/>
        </w:rPr>
        <w:t xml:space="preserve">The tracker is a working surface, not the system of record. Secure AiTHOS remains the source of truth. If the two ever disagree, AiTHOS wins — confirm any status worth keeping there.</w:t>
      </w:r>
    </w:p>
    <w:p>
      <w:pPr>
        <w:pBdr>
          <w:top w:val="single" w:color="CCCCCC" w:sz="4" w:space="4"/>
        </w:pBdr>
        <w:spacing w:after="0" w:before="360"/>
      </w:pPr>
      <w:r>
        <w:rPr>
          <w:color w:val="555555"/>
          <w:sz w:val="16"/>
          <w:szCs w:val="16"/>
        </w:rPr>
        <w:t xml:space="preserve">AiTHOS  ·  Record-Assembly Tracker — Concierge Quick Reference  ·  Phase 1  ·  Confidential</w:t>
      </w:r>
    </w:p>
    <w:p>
      <w:pPr>
        <w:spacing w:before="40"/>
      </w:pPr>
      <w:r>
        <w:rPr>
          <w:i/>
          <w:iCs/>
          <w:color w:val="555555"/>
          <w:sz w:val="16"/>
          <w:szCs w:val="16"/>
        </w:rPr>
        <w:t xml:space="preserve">Internal process reference — not legal advice. Confirm authorization and letter language with counsel before patient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2026-05-24T06:31:58.368Z</dcterms:created>
  <dcterms:modified xsi:type="dcterms:W3CDTF">2026-05-24T06:31:58.384Z</dcterms:modified>
</cp:coreProperties>
</file>

<file path=docProps/custom.xml><?xml version="1.0" encoding="utf-8"?>
<Properties xmlns="http://schemas.openxmlformats.org/officeDocument/2006/custom-properties" xmlns:vt="http://schemas.openxmlformats.org/officeDocument/2006/docPropsVTypes"/>
</file>