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3366"/>
          <w:sz w:val="28"/>
          <w:szCs w:val="28"/>
        </w:rPr>
        <w:t xml:space="preserve">NightJar LLC — Stadler Family Office Meeting Follow-Up</w:t>
      </w:r>
    </w:p>
    <w:p>
      <w:pPr>
        <w:spacing w:after="20"/>
        <w:jc w:val="center"/>
      </w:pPr>
      <w:r>
        <w:rPr>
          <w:color w:val="1F4E78"/>
          <w:sz w:val="24"/>
          <w:szCs w:val="24"/>
        </w:rPr>
        <w:t xml:space="preserve">Response to Questions Raised — February 12, 2026</w:t>
      </w:r>
    </w:p>
    <w:p>
      <w:pPr>
        <w:spacing w:after="240"/>
        <w:jc w:val="center"/>
      </w:pPr>
      <w:r>
        <w:rPr>
          <w:b/>
          <w:bCs/>
          <w:color w:val="CC0000"/>
          <w:sz w:val="22"/>
          <w:szCs w:val="22"/>
        </w:rPr>
        <w:t xml:space="preserve">CONFIDENTIAL</w:t>
      </w:r>
    </w:p>
    <w:p>
      <w:pPr>
        <w:pStyle w:val="Heading2"/>
        <w:spacing w:before="200" w:after="80"/>
      </w:pPr>
      <w:r>
        <w:rPr>
          <w:b/>
          <w:bCs/>
          <w:color w:val="1F4E78"/>
          <w:sz w:val="26"/>
          <w:szCs w:val="26"/>
        </w:rPr>
        <w:t xml:space="preserve">Q1: What are the biggest competitor concerns?</w:t>
      </w:r>
    </w:p>
    <w:p>
      <w:pPr>
        <w:spacing w:after="80" w:before="40"/>
      </w:pPr>
      <w:r>
        <w:rPr>
          <w:i/>
          <w:iCs/>
          <w:color w:val="666666"/>
          <w:sz w:val="20"/>
          <w:szCs w:val="20"/>
        </w:rPr>
        <w:t xml:space="preserve">Carol asked about protecting against competitors given the time and investment.</w:t>
      </w:r>
    </w:p>
    <w:p>
      <w:pPr>
        <w:spacing w:before="80" w:after="60"/>
      </w:pPr>
      <w:r>
        <w:rPr>
          <w:b/>
          <w:bCs/>
          <w:sz w:val="22"/>
          <w:szCs w:val="22"/>
        </w:rPr>
        <w:t xml:space="preserve">Proposed Response:</w:t>
      </w:r>
    </w:p>
    <w:p>
      <w:pPr>
        <w:spacing w:after="100"/>
      </w:pPr>
      <w:r>
        <w:t xml:space="preserve">Three layers of defense: (1) Execution speed — first-mover with production line running, shipping units now; (2) Intellectual property — hardware patent filed and approved, software rebuilt entirely in-house, zero third-party dependencies except one on-device algorithm being replaced; (3) Data moat — as the installed base grows, the biodiversity dataset becomes a compounding competitive advantage that is nearly impossible to replicate. The hardware is a wedge into the SaaS platform and data network. Customer stickiness is high — once cameras are installed and integrated into workflows, switching costs are significant.</w:t>
      </w:r>
    </w:p>
    <w:p>
      <w:pPr>
        <w:spacing w:before="80" w:after="60"/>
      </w:pPr>
      <w:r>
        <w:rPr>
          <w:b/>
          <w:bCs/>
          <w:sz w:val="22"/>
          <w:szCs w:val="22"/>
        </w:rPr>
        <w:t xml:space="preserve">Supporting Evidence:</w:t>
      </w:r>
    </w:p>
    <w:p>
      <w:pPr>
        <w:pStyle w:val="ListParagraph"/>
        <w:numPr>
          <w:ilvl w:val="0"/>
          <w:numId w:val="1"/>
        </w:numPr>
        <w:spacing w:after="60"/>
      </w:pPr>
      <w:r>
        <w:t xml:space="preserve">Dan Morris (Google Conservation Labs, builder of MegaDetector) rates NightJar as superior to ConservationXLab Sentinel for field deployment.</w:t>
      </w:r>
    </w:p>
    <w:p>
      <w:pPr>
        <w:pStyle w:val="ListParagraph"/>
        <w:numPr>
          <w:ilvl w:val="0"/>
          <w:numId w:val="1"/>
        </w:numPr>
        <w:spacing w:after="60"/>
      </w:pPr>
      <w:r>
        <w:t xml:space="preserve">Sentinel requires a separate camera; NightJar is all-in-one.</w:t>
      </w:r>
    </w:p>
    <w:p>
      <w:pPr>
        <w:pStyle w:val="ListParagraph"/>
        <w:numPr>
          <w:ilvl w:val="0"/>
          <w:numId w:val="1"/>
        </w:numPr>
        <w:spacing w:after="60"/>
      </w:pPr>
      <w:r>
        <w:t xml:space="preserve">Feature matrix positions NightJar in a unique $800 gap between $300 Bushnell (no connectivity, no AI) and $13,000+ Reconyx/NatGeo systems.</w:t>
      </w:r>
    </w:p>
    <w:p>
      <w:pPr>
        <w:pStyle w:val="Heading2"/>
        <w:spacing w:before="240" w:after="80"/>
      </w:pPr>
      <w:r>
        <w:rPr>
          <w:b/>
          <w:bCs/>
          <w:color w:val="1F4E78"/>
          <w:sz w:val="26"/>
          <w:szCs w:val="26"/>
        </w:rPr>
        <w:t xml:space="preserve">Q2: Do you anticipate the $800 unit coming down in price?</w:t>
      </w:r>
    </w:p>
    <w:p>
      <w:pPr>
        <w:spacing w:after="80" w:before="40"/>
      </w:pPr>
      <w:r>
        <w:rPr>
          <w:i/>
          <w:iCs/>
          <w:color w:val="666666"/>
          <w:sz w:val="20"/>
          <w:szCs w:val="20"/>
        </w:rPr>
        <w:t xml:space="preserve">Carol asked about pricing trajectory as production scales.</w:t>
      </w:r>
    </w:p>
    <w:p>
      <w:pPr>
        <w:spacing w:before="80" w:after="60"/>
      </w:pPr>
      <w:r>
        <w:rPr>
          <w:b/>
          <w:bCs/>
          <w:sz w:val="22"/>
          <w:szCs w:val="22"/>
        </w:rPr>
        <w:t xml:space="preserve">Proposed Response:</w:t>
      </w:r>
    </w:p>
    <w:p>
      <w:pPr>
        <w:spacing w:after="100"/>
      </w:pPr>
      <w:r>
        <w:t xml:space="preserve">No price reduction planned. Zero customer pushback on the $799 price point to date. Strategy is to improve margins by reducing COGS through BOM optimisation and manufacturing efficiencies, not reduce price. Current gross margin ~60% on hardware. As SaaS revenue scales, blended gross margin targets 75-79%. This margin buffer provides flexibility to respond to competitive pricing pressure if needed in future, while remaining profitable.</w:t>
      </w:r>
    </w:p>
    <w:p>
      <w:pPr>
        <w:spacing w:before="80" w:after="60"/>
      </w:pPr>
      <w:r>
        <w:rPr>
          <w:b/>
          <w:bCs/>
          <w:sz w:val="22"/>
          <w:szCs w:val="22"/>
        </w:rPr>
        <w:t xml:space="preserve">Supporting Evidence:</w:t>
      </w:r>
    </w:p>
    <w:p>
      <w:pPr>
        <w:pStyle w:val="ListParagraph"/>
        <w:numPr>
          <w:ilvl w:val="0"/>
          <w:numId w:val="1"/>
        </w:numPr>
        <w:spacing w:after="60"/>
      </w:pPr>
      <w:r>
        <w:t xml:space="preserve">COGS per unit = $438 (VVDN $233 + freight/duty/warranty $205).</w:t>
      </w:r>
    </w:p>
    <w:p>
      <w:pPr>
        <w:pStyle w:val="ListParagraph"/>
        <w:numPr>
          <w:ilvl w:val="0"/>
          <w:numId w:val="1"/>
        </w:numPr>
        <w:spacing w:after="60"/>
      </w:pPr>
      <w:r>
        <w:t xml:space="preserve">Hardware margin = 45.2%.</w:t>
      </w:r>
    </w:p>
    <w:p>
      <w:pPr>
        <w:pStyle w:val="ListParagraph"/>
        <w:numPr>
          <w:ilvl w:val="0"/>
          <w:numId w:val="1"/>
        </w:numPr>
        <w:spacing w:after="60"/>
      </w:pPr>
      <w:r>
        <w:t xml:space="preserve">SaaS at $50/mo ARPU has ~88%+ margins at scale (per model cloud cost tiers).</w:t>
      </w:r>
    </w:p>
    <w:p>
      <w:pPr>
        <w:pStyle w:val="Heading2"/>
        <w:spacing w:before="240" w:after="80"/>
      </w:pPr>
      <w:r>
        <w:rPr>
          <w:b/>
          <w:bCs/>
          <w:color w:val="1F4E78"/>
          <w:sz w:val="26"/>
          <w:szCs w:val="26"/>
        </w:rPr>
        <w:t xml:space="preserve">Q3: What's a typical SaaS subscription?</w:t>
      </w:r>
    </w:p>
    <w:p>
      <w:pPr>
        <w:spacing w:after="80" w:before="40"/>
      </w:pPr>
      <w:r>
        <w:rPr>
          <w:i/>
          <w:iCs/>
          <w:color w:val="666666"/>
          <w:sz w:val="20"/>
          <w:szCs w:val="20"/>
        </w:rPr>
        <w:t xml:space="preserve">Carol asked about recurring revenue pricing.</w:t>
      </w:r>
    </w:p>
    <w:p>
      <w:pPr>
        <w:spacing w:before="80" w:after="60"/>
      </w:pPr>
      <w:r>
        <w:rPr>
          <w:b/>
          <w:bCs/>
          <w:sz w:val="22"/>
          <w:szCs w:val="22"/>
        </w:rPr>
        <w:t xml:space="preserve">Proposed Response:</w:t>
      </w:r>
    </w:p>
    <w:p>
      <w:pPr>
        <w:spacing w:after="100"/>
      </w:pPr>
      <w:r>
        <w:t xml:space="preserve">Tiered by deployment size: NGO/small deployments (10 cameras): $50-70/month. Enterprise/mining (Rio Tinto scale): $3,500-5,000/month. Pricing launched January 2026, still being refined. No pushback at either end. The model uses a conservative $50/month ARPU across all cameras as the baseline assumption.</w:t>
      </w:r>
    </w:p>
    <w:p>
      <w:pPr>
        <w:spacing w:before="80" w:after="60"/>
      </w:pPr>
      <w:r>
        <w:rPr>
          <w:b/>
          <w:bCs/>
          <w:sz w:val="22"/>
          <w:szCs w:val="22"/>
        </w:rPr>
        <w:t xml:space="preserve">Supporting Evidence:</w:t>
      </w:r>
    </w:p>
    <w:p>
      <w:pPr>
        <w:pStyle w:val="ListParagraph"/>
        <w:numPr>
          <w:ilvl w:val="0"/>
          <w:numId w:val="1"/>
        </w:numPr>
        <w:spacing w:after="60"/>
      </w:pPr>
      <w:r>
        <w:t xml:space="preserve">Model SaaS_Monthly_ARPU = $50.</w:t>
      </w:r>
    </w:p>
    <w:p>
      <w:pPr>
        <w:pStyle w:val="ListParagraph"/>
        <w:numPr>
          <w:ilvl w:val="0"/>
          <w:numId w:val="1"/>
        </w:numPr>
        <w:spacing w:after="60"/>
      </w:pPr>
      <w:r>
        <w:t xml:space="preserve">Rio Tinto deployment validates enterprise pricing tier.</w:t>
      </w:r>
    </w:p>
    <w:p>
      <w:pPr>
        <w:pStyle w:val="ListParagraph"/>
        <w:numPr>
          <w:ilvl w:val="0"/>
          <w:numId w:val="1"/>
        </w:numPr>
        <w:spacing w:after="60"/>
      </w:pPr>
      <w:r>
        <w:t xml:space="preserve">SaaS revenue projected: $365K (Y1), $1.3M (Y2), $3.0M (Y3).</w:t>
      </w:r>
    </w:p>
    <w:p>
      <w:pPr>
        <w:pStyle w:val="Heading2"/>
        <w:spacing w:before="240" w:after="80"/>
      </w:pPr>
      <w:r>
        <w:rPr>
          <w:b/>
          <w:bCs/>
          <w:color w:val="1F4E78"/>
          <w:sz w:val="26"/>
          <w:szCs w:val="26"/>
        </w:rPr>
        <w:t xml:space="preserve">Q4: What does "Prove Model" in Q4 2026 mean?</w:t>
      </w:r>
    </w:p>
    <w:p>
      <w:pPr>
        <w:spacing w:after="80" w:before="40"/>
      </w:pPr>
      <w:r>
        <w:rPr>
          <w:i/>
          <w:iCs/>
          <w:color w:val="666666"/>
          <w:sz w:val="20"/>
          <w:szCs w:val="20"/>
        </w:rPr>
        <w:t xml:space="preserve">Carol was surprised to see this milestone, thinking things were already proven.</w:t>
      </w:r>
    </w:p>
    <w:p>
      <w:pPr>
        <w:spacing w:before="80" w:after="60"/>
      </w:pPr>
      <w:r>
        <w:rPr>
          <w:b/>
          <w:bCs/>
          <w:sz w:val="22"/>
          <w:szCs w:val="22"/>
        </w:rPr>
        <w:t xml:space="preserve">Proposed Response:</w:t>
      </w:r>
    </w:p>
    <w:p>
      <w:pPr>
        <w:spacing w:after="100"/>
      </w:pPr>
      <w:r>
        <w:t xml:space="preserve">Refers specifically to proving the SaaS unit economics at scale — not the hardware or product-market fit, which are validated. Key items: (1) Confirm SaaS subscription pricing holds at scale; (2) Validate cloud infrastructure cost tiers — current GCP billing at 12 cameras ($1,025/mo) shows $79/unit at low scale, model assumes cost drops to $25, then $8, then $3, then $1 per unit at higher tiers; (3) Confirm platform architecture delivers economies of scale (marginal cost per additional customer approaches zero). Hardware product-market fit is proven: production line operational, units shipping, customers paying.</w:t>
      </w:r>
    </w:p>
    <w:p>
      <w:pPr>
        <w:spacing w:before="80" w:after="60"/>
      </w:pPr>
      <w:r>
        <w:rPr>
          <w:b/>
          <w:bCs/>
          <w:sz w:val="22"/>
          <w:szCs w:val="22"/>
        </w:rPr>
        <w:t xml:space="preserve">Supporting Evidence:</w:t>
      </w:r>
    </w:p>
    <w:p>
      <w:pPr>
        <w:pStyle w:val="ListParagraph"/>
        <w:numPr>
          <w:ilvl w:val="0"/>
          <w:numId w:val="1"/>
        </w:numPr>
        <w:spacing w:after="60"/>
      </w:pPr>
      <w:r>
        <w:t xml:space="preserve">Cloud costs calibrated against actual Nov 2025 GCP bill.</w:t>
      </w:r>
    </w:p>
    <w:p>
      <w:pPr>
        <w:pStyle w:val="ListParagraph"/>
        <w:numPr>
          <w:ilvl w:val="0"/>
          <w:numId w:val="1"/>
        </w:numPr>
        <w:spacing w:after="60"/>
      </w:pPr>
      <w:r>
        <w:t xml:space="preserve">Architecture designed for multi-tenant scaling.</w:t>
      </w:r>
    </w:p>
    <w:p>
      <w:pPr>
        <w:pStyle w:val="Heading2"/>
        <w:spacing w:before="240" w:after="80"/>
      </w:pPr>
      <w:r>
        <w:rPr>
          <w:b/>
          <w:bCs/>
          <w:color w:val="1F4E78"/>
          <w:sz w:val="26"/>
          <w:szCs w:val="26"/>
        </w:rPr>
        <w:t xml:space="preserve">Q5: How conservative are the projections and what are the risks they won't meet targets?</w:t>
      </w:r>
    </w:p>
    <w:p>
      <w:pPr>
        <w:spacing w:after="80" w:before="40"/>
      </w:pPr>
      <w:r>
        <w:rPr>
          <w:i/>
          <w:iCs/>
          <w:color w:val="666666"/>
          <w:sz w:val="20"/>
          <w:szCs w:val="20"/>
        </w:rPr>
        <w:t xml:space="preserve">Core financial question about model reliability.</w:t>
      </w:r>
    </w:p>
    <w:p>
      <w:pPr>
        <w:spacing w:before="80" w:after="60"/>
      </w:pPr>
      <w:r>
        <w:rPr>
          <w:b/>
          <w:bCs/>
          <w:sz w:val="22"/>
          <w:szCs w:val="22"/>
        </w:rPr>
        <w:t xml:space="preserve">Proposed Response:</w:t>
      </w:r>
    </w:p>
    <w:p>
      <w:pPr>
        <w:spacing w:after="100"/>
      </w:pPr>
      <w:r>
        <w:t xml:space="preserve">The key driver is unit sales. Year 1 target is 1,237 units (787 ex-Rio Tinto). This is conservative because: (1) Rio Tinto alone accounts for ~400 units this year with a confirmed $850K multi-year order; (2) As of February 12, ~125 units already shipped plus Rio commitment puts us at ~580 units toward the 1,237 target; (3) Five active conversations expected to close in next 2-4 weeks; (4) Substantial unquantified demand from European wolf monitoring projects; (5) IFC Performance Standard 6 mandatory biodiversity reporting from 2027 creates regulatory tailwind for the entire mining/ESG segment. Key risks: (a) Production delays at VVDN — mitigated by JIT schedule and supply chain professional (ex-Apple/Foxconn); (b) Satellite connectivity gap limits addressable market until TG5 launch (end 2026); (c) SaaS pricing model unproven at scale — hence the "prove model" milestone.</w:t>
      </w:r>
    </w:p>
    <w:p>
      <w:pPr>
        <w:spacing w:before="80" w:after="60"/>
      </w:pPr>
      <w:r>
        <w:rPr>
          <w:b/>
          <w:bCs/>
          <w:sz w:val="22"/>
          <w:szCs w:val="22"/>
        </w:rPr>
        <w:t xml:space="preserve">Supporting Evidence:</w:t>
      </w:r>
    </w:p>
    <w:p>
      <w:pPr>
        <w:pStyle w:val="ListParagraph"/>
        <w:numPr>
          <w:ilvl w:val="0"/>
          <w:numId w:val="1"/>
        </w:numPr>
        <w:spacing w:after="60"/>
      </w:pPr>
      <w:r>
        <w:t xml:space="preserve">Pipeline spreadsheet provides detailed opportunity-by-opportunity mapping to model targets.</w:t>
      </w:r>
    </w:p>
    <w:p>
      <w:pPr>
        <w:pStyle w:val="ListParagraph"/>
        <w:numPr>
          <w:ilvl w:val="0"/>
          <w:numId w:val="1"/>
        </w:numPr>
        <w:spacing w:after="60"/>
      </w:pPr>
      <w:r>
        <w:t xml:space="preserve">See attached NightJar_Pipeline_Support.xlsx.</w:t>
      </w:r>
    </w:p>
    <w:p>
      <w:pPr>
        <w:pStyle w:val="Heading2"/>
        <w:spacing w:before="240" w:after="80"/>
      </w:pPr>
      <w:r>
        <w:rPr>
          <w:b/>
          <w:bCs/>
          <w:color w:val="1F4E78"/>
          <w:sz w:val="26"/>
          <w:szCs w:val="26"/>
        </w:rPr>
        <w:t xml:space="preserve">Q6: Break-even — second half of 2027?</w:t>
      </w:r>
    </w:p>
    <w:p>
      <w:pPr>
        <w:spacing w:after="80" w:before="40"/>
      </w:pPr>
      <w:r>
        <w:rPr>
          <w:i/>
          <w:iCs/>
          <w:color w:val="666666"/>
          <w:sz w:val="20"/>
          <w:szCs w:val="20"/>
        </w:rPr>
        <w:t xml:space="preserve">Carol referenced this from an earlier model version.</w:t>
      </w:r>
    </w:p>
    <w:p>
      <w:pPr>
        <w:spacing w:before="80" w:after="60"/>
      </w:pPr>
      <w:r>
        <w:rPr>
          <w:b/>
          <w:bCs/>
          <w:sz w:val="22"/>
          <w:szCs w:val="22"/>
        </w:rPr>
        <w:t xml:space="preserve">Proposed Response:</w:t>
      </w:r>
    </w:p>
    <w:p>
      <w:pPr>
        <w:spacing w:after="100"/>
      </w:pPr>
      <w:r>
        <w:t xml:space="preserve">Confirmed. The 36-month model shows EBIT turning positive in Q1 2027 (January 2027: $3,315 EBIT) on a monthly basis, with sustained profitability from Q2 2027 onwards. Break-even on a cumulative basis is achieved in H2 2027. This is more achievable than ever given: actual production running, real customer revenue, and the Rio Tinto anchor contract providing revenue visibility.</w:t>
      </w:r>
    </w:p>
    <w:p>
      <w:pPr>
        <w:spacing w:before="80" w:after="60"/>
      </w:pPr>
      <w:r>
        <w:rPr>
          <w:b/>
          <w:bCs/>
          <w:sz w:val="22"/>
          <w:szCs w:val="22"/>
        </w:rPr>
        <w:t xml:space="preserve">Supporting Evidence:</w:t>
      </w:r>
    </w:p>
    <w:p>
      <w:pPr>
        <w:pStyle w:val="ListParagraph"/>
        <w:numPr>
          <w:ilvl w:val="0"/>
          <w:numId w:val="1"/>
        </w:numPr>
        <w:spacing w:after="60"/>
      </w:pPr>
      <w:r>
        <w:t xml:space="preserve">Model PL sheet shows EBIT progression from -$35K (Jan 2026) through break-even in Jan 2027, growing to +$244K/month by Dec 2028.</w:t>
      </w:r>
    </w:p>
    <w:p>
      <w:pPr>
        <w:pStyle w:val="Heading2"/>
        <w:spacing w:before="240" w:after="80"/>
      </w:pPr>
      <w:r>
        <w:rPr>
          <w:b/>
          <w:bCs/>
          <w:color w:val="1F4E78"/>
          <w:sz w:val="26"/>
          <w:szCs w:val="26"/>
        </w:rPr>
        <w:t xml:space="preserve">Q7: Ability to pay back liabilities on the balance sheet?</w:t>
      </w:r>
    </w:p>
    <w:p>
      <w:pPr>
        <w:spacing w:after="80" w:before="40"/>
      </w:pPr>
      <w:r>
        <w:rPr>
          <w:i/>
          <w:iCs/>
          <w:color w:val="666666"/>
          <w:sz w:val="20"/>
          <w:szCs w:val="20"/>
        </w:rPr>
        <w:t xml:space="preserve">Carol concerned about debt repayment given Resolve and Gulik obligations.</w:t>
      </w:r>
    </w:p>
    <w:p>
      <w:pPr>
        <w:spacing w:before="80" w:after="60"/>
      </w:pPr>
      <w:r>
        <w:rPr>
          <w:b/>
          <w:bCs/>
          <w:sz w:val="22"/>
          <w:szCs w:val="22"/>
        </w:rPr>
        <w:t xml:space="preserve">Proposed Response:</w:t>
      </w:r>
    </w:p>
    <w:p>
      <w:pPr>
        <w:spacing w:after="100"/>
      </w:pPr>
      <w:r>
        <w:t xml:space="preserve">Gulik debt ($600K settlement) is now completely off the balance sheet — paid by Resolve. Resolve debt (~$3M across multiple vehicles) is being restructured through a hybrid approach: partial conversion to equity, partial repayment schedule, potential allocation of the 25 Gulik shares. Both boards (NightJar and Resolve) are actively negotiating, expected resolution within the next month. Goal is to make the balance sheet "investable" — clean enough to present to institutional investors.</w:t>
      </w:r>
    </w:p>
    <w:p>
      <w:pPr>
        <w:spacing w:before="80" w:after="60"/>
      </w:pPr>
      <w:r>
        <w:rPr>
          <w:b/>
          <w:bCs/>
          <w:sz w:val="22"/>
          <w:szCs w:val="22"/>
        </w:rPr>
        <w:t xml:space="preserve">Supporting Evidence:</w:t>
      </w:r>
    </w:p>
    <w:p>
      <w:pPr>
        <w:pStyle w:val="ListParagraph"/>
        <w:numPr>
          <w:ilvl w:val="0"/>
          <w:numId w:val="1"/>
        </w:numPr>
        <w:spacing w:after="60"/>
      </w:pPr>
      <w:r>
        <w:t xml:space="preserve">Gulik settlement executed and paid.</w:t>
      </w:r>
    </w:p>
    <w:p>
      <w:pPr>
        <w:pStyle w:val="ListParagraph"/>
        <w:numPr>
          <w:ilvl w:val="0"/>
          <w:numId w:val="1"/>
        </w:numPr>
        <w:spacing w:after="60"/>
      </w:pPr>
      <w:r>
        <w:t xml:space="preserve">Board conversations with Resolve representatives held Feb 11, next session scheduled for following week.</w:t>
      </w:r>
    </w:p>
    <w:p>
      <w:pPr>
        <w:pStyle w:val="Heading2"/>
        <w:spacing w:before="240" w:after="80"/>
      </w:pPr>
      <w:r>
        <w:rPr>
          <w:b/>
          <w:bCs/>
          <w:color w:val="1F4E78"/>
          <w:sz w:val="26"/>
          <w:szCs w:val="26"/>
        </w:rPr>
        <w:t xml:space="preserve">Q8: What is the timing of the $2M raise?</w:t>
      </w:r>
    </w:p>
    <w:p>
      <w:pPr>
        <w:spacing w:after="80" w:before="40"/>
      </w:pPr>
      <w:r>
        <w:rPr>
          <w:i/>
          <w:iCs/>
          <w:color w:val="666666"/>
          <w:sz w:val="20"/>
          <w:szCs w:val="20"/>
        </w:rPr>
        <w:t xml:space="preserve">Carol asking about fundraising mechanics and timeline.</w:t>
      </w:r>
    </w:p>
    <w:p>
      <w:pPr>
        <w:spacing w:before="80" w:after="60"/>
      </w:pPr>
      <w:r>
        <w:rPr>
          <w:b/>
          <w:bCs/>
          <w:sz w:val="22"/>
          <w:szCs w:val="22"/>
        </w:rPr>
        <w:t xml:space="preserve">Proposed Response:</w:t>
      </w:r>
    </w:p>
    <w:p>
      <w:pPr>
        <w:spacing w:after="100"/>
      </w:pPr>
      <w:r>
        <w:t xml:space="preserve">Two tranches: Tranche 1 = $500K at $6M post-money SAFE (flat to last round). Tranche 2 = $1.5M at $10M post-money cap. Current status: $350K in firm commitments for Tranche 1, all from new investors. $70K-$200K remaining to close Tranche 1, targeting end of February 2026. Tranche 2 targeting end of April 2026. Potential conversion to C-corp to issue SAFEs. Investment pipeline: $1.7-1.8M in potential interest. Company is open to expanding Tranche 1 to $600K if existing investors (including Stadler) want to participate.</w:t>
      </w:r>
    </w:p>
    <w:p>
      <w:pPr>
        <w:spacing w:before="80" w:after="60"/>
      </w:pPr>
      <w:r>
        <w:rPr>
          <w:b/>
          <w:bCs/>
          <w:sz w:val="22"/>
          <w:szCs w:val="22"/>
        </w:rPr>
        <w:t xml:space="preserve">Supporting Evidence:</w:t>
      </w:r>
    </w:p>
    <w:p>
      <w:pPr>
        <w:pStyle w:val="ListParagraph"/>
        <w:numPr>
          <w:ilvl w:val="0"/>
          <w:numId w:val="1"/>
        </w:numPr>
        <w:spacing w:after="60"/>
      </w:pPr>
      <w:r>
        <w:t xml:space="preserve">One significant investor committed after meeting Mark and reviewing financials — had previously made clear that leadership change was required before investing.</w:t>
      </w:r>
    </w:p>
    <w:p>
      <w:pPr>
        <w:pStyle w:val="Heading2"/>
        <w:spacing w:before="240" w:after="80"/>
      </w:pPr>
      <w:r>
        <w:rPr>
          <w:b/>
          <w:bCs/>
          <w:color w:val="1F4E78"/>
          <w:sz w:val="26"/>
          <w:szCs w:val="26"/>
        </w:rPr>
        <w:t xml:space="preserve">Q9: What does Stadler need to invest to maintain their 10.53% ownership?</w:t>
      </w:r>
    </w:p>
    <w:p>
      <w:pPr>
        <w:spacing w:after="80" w:before="40"/>
      </w:pPr>
      <w:r>
        <w:rPr>
          <w:i/>
          <w:iCs/>
          <w:color w:val="666666"/>
          <w:sz w:val="20"/>
          <w:szCs w:val="20"/>
        </w:rPr>
        <w:t xml:space="preserve">Carol asking about pro-rata rights under their side letter.</w:t>
      </w:r>
    </w:p>
    <w:p>
      <w:pPr>
        <w:spacing w:before="80" w:after="60"/>
      </w:pPr>
      <w:r>
        <w:rPr>
          <w:b/>
          <w:bCs/>
          <w:sz w:val="22"/>
          <w:szCs w:val="22"/>
        </w:rPr>
        <w:t xml:space="preserve">Proposed Response:</w:t>
      </w:r>
    </w:p>
    <w:p>
      <w:pPr>
        <w:spacing w:after="100"/>
      </w:pPr>
      <w:r>
        <w:t xml:space="preserve">Stadler currently holds 10.53% (pre-SAFE). Post full $2M SAFE, dilutes to 8.42%. To maintain 10.53%, Carol estimated ~$235K but couldn't tie to the tranche pricing. We will provide: (a) Tranche 1 participation amount to maintain 10.53%; (b) Tranche 2 participation amount to maintain 10.53%; (c) Recommendation: participating in Tranche 1 reduces the required investment due to the preferential $6M cap vs. $10M in Tranche 2. Formal participation letter to be sent per the side letter requirements.</w:t>
      </w:r>
    </w:p>
    <w:p>
      <w:pPr>
        <w:pStyle w:val="Heading2"/>
        <w:spacing w:before="240" w:after="80"/>
      </w:pPr>
      <w:r>
        <w:rPr>
          <w:b/>
          <w:bCs/>
          <w:color w:val="1F4E78"/>
          <w:sz w:val="26"/>
          <w:szCs w:val="26"/>
        </w:rPr>
        <w:t xml:space="preserve">Q10: Are original investors participating in the $350K commitments?</w:t>
      </w:r>
    </w:p>
    <w:p>
      <w:pPr>
        <w:spacing w:after="80" w:before="40"/>
      </w:pPr>
      <w:r>
        <w:rPr>
          <w:i/>
          <w:iCs/>
          <w:color w:val="666666"/>
          <w:sz w:val="20"/>
          <w:szCs w:val="20"/>
        </w:rPr>
        <w:t xml:space="preserve">Carol asking about existing investor confidence.</w:t>
      </w:r>
    </w:p>
    <w:p>
      <w:pPr>
        <w:spacing w:before="80" w:after="60"/>
      </w:pPr>
      <w:r>
        <w:rPr>
          <w:b/>
          <w:bCs/>
          <w:sz w:val="22"/>
          <w:szCs w:val="22"/>
        </w:rPr>
        <w:t xml:space="preserve">Proposed Response:</w:t>
      </w:r>
    </w:p>
    <w:p>
      <w:pPr>
        <w:spacing w:after="100"/>
      </w:pPr>
      <w:r>
        <w:t xml:space="preserve">The $350K in firm commitments is entirely from new investors. Existing investors have not yet been formally approached — this conversation with Stadler is the first in that series. One long-standing advisor/potential investor committed only after the leadership change and financial review, signalling confidence in the new direction.</w:t>
      </w:r>
    </w:p>
    <w:p>
      <w:pPr>
        <w:pStyle w:val="Heading2"/>
        <w:spacing w:before="240" w:after="80"/>
      </w:pPr>
      <w:r>
        <w:rPr>
          <w:b/>
          <w:bCs/>
          <w:color w:val="1F4E78"/>
          <w:sz w:val="26"/>
          <w:szCs w:val="26"/>
        </w:rPr>
        <w:t xml:space="preserve">Q11: Pricing — conservation vs. for-profit, still the same?</w:t>
      </w:r>
    </w:p>
    <w:p>
      <w:pPr>
        <w:spacing w:after="80" w:before="40"/>
      </w:pPr>
      <w:r>
        <w:rPr>
          <w:i/>
          <w:iCs/>
          <w:color w:val="666666"/>
          <w:sz w:val="20"/>
          <w:szCs w:val="20"/>
        </w:rPr>
        <w:t xml:space="preserve">Carol referencing earlier discussion about differential pricing.</w:t>
      </w:r>
    </w:p>
    <w:p>
      <w:pPr>
        <w:spacing w:before="80" w:after="60"/>
      </w:pPr>
      <w:r>
        <w:rPr>
          <w:b/>
          <w:bCs/>
          <w:sz w:val="22"/>
          <w:szCs w:val="22"/>
        </w:rPr>
        <w:t xml:space="preserve">Proposed Response:</w:t>
      </w:r>
    </w:p>
    <w:p>
      <w:pPr>
        <w:spacing w:after="100"/>
      </w:pPr>
      <w:r>
        <w:t xml:space="preserve">Single flat pricing maintained ($799/unit). Dual pricing creates sales friction, MFN issues, and negotiation overhead. For organisations that genuinely cannot afford even a Bushnell ($100-300), NightJar is establishing a subsidized camera fund through Resolve (philanthropic donations) and a loaner pool programme. This preserves margin integrity while serving the conservation mission.</w:t>
      </w:r>
    </w:p>
    <w:p>
      <w:pPr>
        <w:pStyle w:val="Heading2"/>
        <w:spacing w:before="240" w:after="80"/>
      </w:pPr>
      <w:r>
        <w:rPr>
          <w:b/>
          <w:bCs/>
          <w:color w:val="1F4E78"/>
          <w:sz w:val="26"/>
          <w:szCs w:val="26"/>
        </w:rPr>
        <w:t xml:space="preserve">Q12: Status of the patents?</w:t>
      </w:r>
    </w:p>
    <w:p>
      <w:pPr>
        <w:spacing w:after="80" w:before="40"/>
      </w:pPr>
      <w:r>
        <w:rPr>
          <w:i/>
          <w:iCs/>
          <w:color w:val="666666"/>
          <w:sz w:val="20"/>
          <w:szCs w:val="20"/>
        </w:rPr>
        <w:t xml:space="preserve">Carol asking about IP protection.</w:t>
      </w:r>
    </w:p>
    <w:p>
      <w:pPr>
        <w:spacing w:before="80" w:after="60"/>
      </w:pPr>
      <w:r>
        <w:rPr>
          <w:b/>
          <w:bCs/>
          <w:sz w:val="22"/>
          <w:szCs w:val="22"/>
        </w:rPr>
        <w:t xml:space="preserve">Proposed Response:</w:t>
      </w:r>
    </w:p>
    <w:p>
      <w:pPr>
        <w:spacing w:after="100"/>
      </w:pPr>
      <w:r>
        <w:t xml:space="preserve">Hardware patent: Filed, approved, and in place. Software IP: 100% built in-house, zero external dependencies. One remaining third-party algorithm on the camera (developed with CVD) being replaced with proprietary version. All dashboard and platform code rebuilt from scratch by Mark — nothing from old stack in use. Primary defence remains execution speed over legal enforcement.</w:t>
      </w:r>
    </w:p>
    <w:p>
      <w:pPr>
        <w:pStyle w:val="Heading2"/>
        <w:spacing w:before="240" w:after="80"/>
      </w:pPr>
      <w:r>
        <w:rPr>
          <w:b/>
          <w:bCs/>
          <w:color w:val="1F4E78"/>
          <w:sz w:val="26"/>
          <w:szCs w:val="26"/>
        </w:rPr>
        <w:t xml:space="preserve">Q13: Supplier diversity — why Turkey, not India?</w:t>
      </w:r>
    </w:p>
    <w:p>
      <w:pPr>
        <w:spacing w:after="80" w:before="40"/>
      </w:pPr>
      <w:r>
        <w:rPr>
          <w:i/>
          <w:iCs/>
          <w:color w:val="666666"/>
          <w:sz w:val="20"/>
          <w:szCs w:val="20"/>
        </w:rPr>
        <w:t xml:space="preserve">Carol concerned about supply chain concentration and tariff risk.</w:t>
      </w:r>
    </w:p>
    <w:p>
      <w:pPr>
        <w:spacing w:before="80" w:after="60"/>
      </w:pPr>
      <w:r>
        <w:rPr>
          <w:b/>
          <w:bCs/>
          <w:sz w:val="22"/>
          <w:szCs w:val="22"/>
        </w:rPr>
        <w:t xml:space="preserve">Proposed Response:</w:t>
      </w:r>
    </w:p>
    <w:p>
      <w:pPr>
        <w:spacing w:after="100"/>
      </w:pPr>
      <w:r>
        <w:t xml:space="preserve">Current manufacturing at VVDN (India) is running well. Tracy (supply chain lead, ex-Apple Foxconn/Nokia/Arrival) is conducting a diversification exercise looking at Turkey free trade zones, Mexico, and other alternatives. First priority was getting VVDN operational (done). Next step: independent third-party QA (not relying on manufacturer self-certification). Then: secondary facility and on-demand backup facilities for supply chain continuity. No immediate concern about VVDN, but diversification is prudent given tariff environment.</w:t>
      </w:r>
    </w:p>
    <w:p>
      <w:pPr>
        <w:spacing w:after="100"/>
      </w:pPr>
      <w:r>
        <w:br w:type="page"/>
      </w:r>
    </w:p>
    <w:p>
      <w:pPr>
        <w:pStyle w:val="Heading1"/>
        <w:spacing w:before="200" w:after="160"/>
      </w:pPr>
      <w:r>
        <w:rPr>
          <w:b/>
          <w:bCs/>
          <w:color w:val="003366"/>
          <w:sz w:val="28"/>
          <w:szCs w:val="28"/>
        </w:rPr>
        <w:t xml:space="preserve">Action Items / Documents to Send</w:t>
      </w:r>
    </w:p>
    <w:p>
      <w:pPr>
        <w:pStyle w:val="ListParagraph"/>
        <w:numPr>
          <w:ilvl w:val="0"/>
          <w:numId w:val="1"/>
        </w:numPr>
        <w:spacing w:after="60"/>
      </w:pPr>
      <w:r>
        <w:t xml:space="preserve">36-Month Financial Model v3 (NightJar_36M_Model_v3_FINAL.xlsx) — Previously sent, resending</w:t>
      </w:r>
    </w:p>
    <w:p>
      <w:pPr>
        <w:pStyle w:val="ListParagraph"/>
        <w:numPr>
          <w:ilvl w:val="0"/>
          <w:numId w:val="1"/>
        </w:numPr>
        <w:spacing w:after="60"/>
      </w:pPr>
      <w:r>
        <w:t xml:space="preserve">Pipeline / Order Book analysis (NightJar_Pipeline_Support.xlsx) — Attached</w:t>
      </w:r>
    </w:p>
    <w:p>
      <w:pPr>
        <w:pStyle w:val="ListParagraph"/>
        <w:numPr>
          <w:ilvl w:val="0"/>
          <w:numId w:val="1"/>
        </w:numPr>
        <w:spacing w:after="60"/>
      </w:pPr>
      <w:r>
        <w:t xml:space="preserve">Updated multi-year financials (full 2026-2028)</w:t>
      </w:r>
    </w:p>
    <w:p>
      <w:pPr>
        <w:pStyle w:val="ListParagraph"/>
        <w:numPr>
          <w:ilvl w:val="0"/>
          <w:numId w:val="1"/>
        </w:numPr>
        <w:spacing w:after="60"/>
      </w:pPr>
      <w:r>
        <w:t xml:space="preserve">Cap table with both tranche scenarios for Stadler pro-rata calculation</w:t>
      </w:r>
    </w:p>
    <w:p>
      <w:pPr>
        <w:pStyle w:val="ListParagraph"/>
        <w:numPr>
          <w:ilvl w:val="0"/>
          <w:numId w:val="1"/>
        </w:numPr>
        <w:spacing w:after="60"/>
      </w:pPr>
      <w:r>
        <w:t xml:space="preserve">Formal participation letter per side letter requirements</w:t>
      </w:r>
    </w:p>
    <w:p>
      <w:pPr>
        <w:pStyle w:val="ListParagraph"/>
        <w:numPr>
          <w:ilvl w:val="0"/>
          <w:numId w:val="1"/>
        </w:numPr>
        <w:spacing w:after="60"/>
      </w:pPr>
      <w:r>
        <w:t xml:space="preserve">Updated balance sheet reflecting Gulik settlement</w:t>
      </w:r>
    </w:p>
    <w:p>
      <w:pPr>
        <w:spacing w:after="240"/>
      </w:pPr>
      <w:r>
        <w:t xml:space="preserve"/>
      </w:r>
    </w:p>
    <w:p>
      <w:pPr>
        <w:spacing w:before="240" w:after="60"/>
        <w:jc w:val="center"/>
      </w:pPr>
      <w:r>
        <w:rPr>
          <w:i/>
          <w:iCs/>
          <w:color w:val="999999"/>
          <w:sz w:val="18"/>
          <w:szCs w:val="18"/>
        </w:rPr>
        <w:t xml:space="preserve">Document prepared for: Carol &amp; Stadler Family Office</w:t>
      </w:r>
    </w:p>
    <w:p>
      <w:pPr>
        <w:spacing w:after="60"/>
        <w:jc w:val="center"/>
      </w:pPr>
      <w:r>
        <w:rPr>
          <w:i/>
          <w:iCs/>
          <w:color w:val="999999"/>
          <w:sz w:val="18"/>
          <w:szCs w:val="18"/>
        </w:rPr>
        <w:t xml:space="preserve">Date: February 12, 2026 | Prepared by: NightJar LLC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2026-02-13T11:38:58.651Z</dcterms:created>
  <dcterms:modified xsi:type="dcterms:W3CDTF">2026-02-13T11:38:58.651Z</dcterms:modified>
</cp:coreProperties>
</file>

<file path=docProps/custom.xml><?xml version="1.0" encoding="utf-8"?>
<Properties xmlns="http://schemas.openxmlformats.org/officeDocument/2006/custom-properties" xmlns:vt="http://schemas.openxmlformats.org/officeDocument/2006/docPropsVTypes"/>
</file>