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pPr>
      <w:r>
        <w:rPr>
          <w:rFonts w:ascii="Arial" w:cs="Arial" w:eastAsia="Arial" w:hAnsi="Arial"/>
          <w:b/>
          <w:bCs/>
          <w:color w:val="003768"/>
          <w:sz w:val="56"/>
          <w:szCs w:val="56"/>
        </w:rPr>
        <w:t xml:space="preserve">Technology Investment Summary</w:t>
      </w:r>
    </w:p>
    <w:p>
      <w:pPr>
        <w:spacing w:after="60"/>
      </w:pPr>
      <w:r>
        <w:rPr>
          <w:rFonts w:ascii="Arial" w:cs="Arial" w:eastAsia="Arial" w:hAnsi="Arial"/>
          <w:color w:val="00A99D"/>
          <w:sz w:val="30"/>
          <w:szCs w:val="30"/>
        </w:rPr>
        <w:t xml:space="preserve">FPG Brand Hub &amp; CPD Platform</w:t>
      </w:r>
    </w:p>
    <w:p>
      <w:pPr>
        <w:pBdr>
          <w:bottom w:val="single" w:color="F5A623" w:sz="8" w:space="6"/>
        </w:pBdr>
        <w:spacing w:after="360"/>
      </w:pPr>
      <w:r>
        <w:rPr>
          <w:rFonts w:ascii="Arial" w:cs="Arial" w:eastAsia="Arial" w:hAnsi="Arial"/>
          <w:color w:val="8898aa"/>
          <w:sz w:val="18"/>
          <w:szCs w:val="18"/>
        </w:rPr>
        <w:t xml:space="preserve">Prepared June 2026</w:t>
      </w:r>
    </w:p>
    <w:p>
      <w:pPr>
        <w:pBdr>
          <w:bottom w:val="single" w:color="003768" w:sz="3" w:space="4"/>
        </w:pBdr>
        <w:spacing w:after="140" w:before="200"/>
      </w:pPr>
      <w:r>
        <w:rPr>
          <w:rFonts w:ascii="Arial" w:cs="Arial" w:eastAsia="Arial" w:hAnsi="Arial"/>
          <w:b/>
          <w:bCs/>
          <w:color w:val="003768"/>
          <w:sz w:val="28"/>
          <w:szCs w:val="28"/>
        </w:rPr>
        <w:t xml:space="preserve">Project Overview</w:t>
      </w:r>
    </w:p>
    <w:p>
      <w:pPr>
        <w:spacing w:after="100" w:before="0"/>
      </w:pPr>
      <w:r>
        <w:rPr>
          <w:rFonts w:ascii="Arial" w:cs="Arial" w:eastAsia="Arial" w:hAnsi="Arial"/>
          <w:i w:val="false"/>
          <w:iCs w:val="false"/>
          <w:color w:val="2D3748"/>
          <w:sz w:val="19"/>
          <w:szCs w:val="19"/>
        </w:rPr>
        <w:t xml:space="preserve">Finance Planning Mortgage &amp; Protection commissioned the design and build of a comprehensive internal platform to support adviser development, compliance, performance management, brand management and CPD tracking. The platform was delivered as a secure, fully hosted single-page web application, auto-deployed from GitHub via Railway, with Airtable as the user directory and data backend. Everything was built from scratch — no templates, no off-the-shelf tools.</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0A99D" w:sz="18"/>
              <w:bottom w:val="none" w:color="FFFFFF" w:sz="0"/>
              <w:right w:val="none" w:color="FFFFFF" w:sz="0"/>
            </w:tcBorders>
            <w:shd w:fill="E8F7F6" w:val="clear"/>
            <w:tcMar>
              <w:top w:type="dxa" w:w="120"/>
              <w:left w:type="dxa" w:w="200"/>
              <w:bottom w:type="dxa" w:w="120"/>
              <w:right w:type="dxa" w:w="200"/>
            </w:tcMar>
          </w:tcPr>
          <w:p>
            <w:r>
              <w:rPr>
                <w:rFonts w:ascii="Arial" w:cs="Arial" w:eastAsia="Arial" w:hAnsi="Arial"/>
                <w:b/>
                <w:bCs/>
                <w:color w:val="003768"/>
                <w:sz w:val="19"/>
                <w:szCs w:val="19"/>
              </w:rPr>
              <w:t xml:space="preserve">The platform went from concept to live in 6 days, serving the entire adviser network immediately on launch.</w:t>
            </w:r>
          </w:p>
        </w:tc>
      </w:tr>
    </w:tbl>
    <w:p>
      <w:pPr>
        <w:spacing w:after="200"/>
      </w:pPr>
    </w:p>
    <w:p>
      <w:pPr>
        <w:pBdr>
          <w:bottom w:val="single" w:color="00A99D" w:sz="3" w:space="4"/>
        </w:pBdr>
        <w:spacing w:after="140" w:before="400"/>
      </w:pPr>
      <w:r>
        <w:rPr>
          <w:rFonts w:ascii="Arial" w:cs="Arial" w:eastAsia="Arial" w:hAnsi="Arial"/>
          <w:b/>
          <w:bCs/>
          <w:color w:val="00A99D"/>
          <w:sz w:val="28"/>
          <w:szCs w:val="28"/>
        </w:rPr>
        <w:t xml:space="preserve">AutoCPD — Intelligent Real-Time CPD Tracking</w:t>
      </w:r>
    </w:p>
    <w:p>
      <w:pPr>
        <w:spacing w:after="100" w:before="0"/>
      </w:pPr>
      <w:r>
        <w:rPr>
          <w:rFonts w:ascii="Arial" w:cs="Arial" w:eastAsia="Arial" w:hAnsi="Arial"/>
          <w:i w:val="false"/>
          <w:iCs w:val="false"/>
          <w:color w:val="2D3748"/>
          <w:sz w:val="19"/>
          <w:szCs w:val="19"/>
        </w:rPr>
        <w:t xml:space="preserve">The centrepiece of the platform is AutoCPD — a fully automatic CPD logging engine that records learning activity in real time without any manual input from the adviser. The system works silently in the background, capturing CPD the moment it happens.</w:t>
      </w:r>
    </w:p>
    <w:p>
      <w:pPr>
        <w:spacing w:after="80"/>
      </w:pPr>
    </w:p>
    <w:p>
      <w:pPr>
        <w:spacing w:after="80" w:before="240"/>
      </w:pPr>
      <w:r>
        <w:rPr>
          <w:rFonts w:ascii="Arial" w:cs="Arial" w:eastAsia="Arial" w:hAnsi="Arial"/>
          <w:b/>
          <w:bCs/>
          <w:color w:val="00A99D"/>
          <w:sz w:val="22"/>
          <w:szCs w:val="22"/>
        </w:rPr>
        <w:t xml:space="preserve">How AutoCPD Works</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Real-time video tracking: </w:t>
      </w:r>
      <w:r>
        <w:rPr>
          <w:rFonts w:ascii="Arial" w:cs="Arial" w:eastAsia="Arial" w:hAnsi="Arial"/>
          <w:color w:val="2D3748"/>
          <w:sz w:val="19"/>
          <w:szCs w:val="19"/>
        </w:rPr>
        <w:t xml:space="preserve">as an adviser watches a Learning Zone video, the system tracks elapsed time and logs CPD the moment they press play — no forms, no manual entry.</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Advice Standards reading: </w:t>
      </w:r>
      <w:r>
        <w:rPr>
          <w:rFonts w:ascii="Arial" w:cs="Arial" w:eastAsia="Arial" w:hAnsi="Arial"/>
          <w:color w:val="2D3748"/>
          <w:sz w:val="19"/>
          <w:szCs w:val="19"/>
        </w:rPr>
        <w:t xml:space="preserve">time spent reading the Mortgage or Protection Advice Standards is tracked automatically and converted into CPD minutes.</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Zoom session attendance: </w:t>
      </w:r>
      <w:r>
        <w:rPr>
          <w:rFonts w:ascii="Arial" w:cs="Arial" w:eastAsia="Arial" w:hAnsi="Arial"/>
          <w:color w:val="2D3748"/>
          <w:sz w:val="19"/>
          <w:szCs w:val="19"/>
        </w:rPr>
        <w:t xml:space="preserve">weekly lender and insurer Zoom sessions are linked directly to AutoCPD — attending a session logs the appropriate CPD type and duration instantly.</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Knowledge Quiz completion: </w:t>
      </w:r>
      <w:r>
        <w:rPr>
          <w:rFonts w:ascii="Arial" w:cs="Arial" w:eastAsia="Arial" w:hAnsi="Arial"/>
          <w:color w:val="2D3748"/>
          <w:sz w:val="19"/>
          <w:szCs w:val="19"/>
        </w:rPr>
        <w:t xml:space="preserve">passing a quiz (75% threshold) automatically logs 30 minutes CPD of the relevant type — mortgage or protection — with no adviser action required.</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Newsletter reading: </w:t>
      </w:r>
      <w:r>
        <w:rPr>
          <w:rFonts w:ascii="Arial" w:cs="Arial" w:eastAsia="Arial" w:hAnsi="Arial"/>
          <w:color w:val="2D3748"/>
          <w:sz w:val="19"/>
          <w:szCs w:val="19"/>
        </w:rPr>
        <w:t xml:space="preserve">opening a CPD Round-up newsletter logs 20 minutes CPD (10 Mortgage + 10 Protection) automatically, sourced as a Learning Zone activity.</w:t>
      </w:r>
    </w:p>
    <w:p>
      <w:pPr>
        <w:spacing w:after="80"/>
      </w:pPr>
    </w:p>
    <w:p>
      <w:pPr>
        <w:spacing w:after="80" w:before="240"/>
      </w:pPr>
      <w:r>
        <w:rPr>
          <w:rFonts w:ascii="Arial" w:cs="Arial" w:eastAsia="Arial" w:hAnsi="Arial"/>
          <w:b/>
          <w:bCs/>
          <w:color w:val="00A99D"/>
          <w:sz w:val="22"/>
          <w:szCs w:val="22"/>
        </w:rPr>
        <w:t xml:space="preserve">CPD Dashboard &amp; Reporting</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Live CPD dashboard: </w:t>
      </w:r>
      <w:r>
        <w:rPr>
          <w:rFonts w:ascii="Arial" w:cs="Arial" w:eastAsia="Arial" w:hAnsi="Arial"/>
          <w:color w:val="2D3748"/>
          <w:sz w:val="19"/>
          <w:szCs w:val="19"/>
        </w:rPr>
        <w:t xml:space="preserve">shows running totals by type (Mortgage / Protection) updated in real time as activity completes.</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Target tracking: </w:t>
      </w:r>
      <w:r>
        <w:rPr>
          <w:rFonts w:ascii="Arial" w:cs="Arial" w:eastAsia="Arial" w:hAnsi="Arial"/>
          <w:color w:val="2D3748"/>
          <w:sz w:val="19"/>
          <w:szCs w:val="19"/>
        </w:rPr>
        <w:t xml:space="preserve">CPD targets can be set and tracked across three periods — monthly, quarterly and annual — with visual progress indicators.</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CPD log history: </w:t>
      </w:r>
      <w:r>
        <w:rPr>
          <w:rFonts w:ascii="Arial" w:cs="Arial" w:eastAsia="Arial" w:hAnsi="Arial"/>
          <w:color w:val="2D3748"/>
          <w:sz w:val="19"/>
          <w:szCs w:val="19"/>
        </w:rPr>
        <w:t xml:space="preserve">every CPD entry is stored with date, activity, duration, type and source — providing a full audit trail.</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One-click PDF export: </w:t>
      </w:r>
      <w:r>
        <w:rPr>
          <w:rFonts w:ascii="Arial" w:cs="Arial" w:eastAsia="Arial" w:hAnsi="Arial"/>
          <w:color w:val="2D3748"/>
          <w:sz w:val="19"/>
          <w:szCs w:val="19"/>
        </w:rPr>
        <w:t xml:space="preserve">advisers can download a professionally formatted PDF of their CPD record for any period, suitable for regulatory review.</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Twin-view CPD log: </w:t>
      </w:r>
      <w:r>
        <w:rPr>
          <w:rFonts w:ascii="Arial" w:cs="Arial" w:eastAsia="Arial" w:hAnsi="Arial"/>
          <w:color w:val="2D3748"/>
          <w:sz w:val="19"/>
          <w:szCs w:val="19"/>
        </w:rPr>
        <w:t xml:space="preserve">a split-view layout allows advisers to watch a Learning Zone video and see their CPD log simultaneously — one button click activates the twin view.</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Archive CPD entries: </w:t>
      </w:r>
      <w:r>
        <w:rPr>
          <w:rFonts w:ascii="Arial" w:cs="Arial" w:eastAsia="Arial" w:hAnsi="Arial"/>
          <w:color w:val="2D3748"/>
          <w:sz w:val="19"/>
          <w:szCs w:val="19"/>
        </w:rPr>
        <w:t xml:space="preserve">older CPD entries can be archived to keep the active dashboard clean, without deleting the underlying record.</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Supervisor CPD view: </w:t>
      </w:r>
      <w:r>
        <w:rPr>
          <w:rFonts w:ascii="Arial" w:cs="Arial" w:eastAsia="Arial" w:hAnsi="Arial"/>
          <w:color w:val="2D3748"/>
          <w:sz w:val="19"/>
          <w:szCs w:val="19"/>
        </w:rPr>
        <w:t xml:space="preserve">supervisors can view CPD totals and history for any adviser in their group.</w:t>
      </w:r>
    </w:p>
    <w:p>
      <w:pPr>
        <w:spacing w:after="200"/>
      </w:pPr>
    </w:p>
    <w:p>
      <w:pPr>
        <w:pBdr>
          <w:bottom w:val="single" w:color="003768" w:sz="3" w:space="4"/>
        </w:pBdr>
        <w:spacing w:after="140" w:before="400"/>
      </w:pPr>
      <w:r>
        <w:rPr>
          <w:rFonts w:ascii="Arial" w:cs="Arial" w:eastAsia="Arial" w:hAnsi="Arial"/>
          <w:b/>
          <w:bCs/>
          <w:color w:val="003768"/>
          <w:sz w:val="28"/>
          <w:szCs w:val="28"/>
        </w:rPr>
        <w:t xml:space="preserve">Learning Zone</w:t>
      </w:r>
    </w:p>
    <w:p>
      <w:pPr>
        <w:spacing w:after="100" w:before="0"/>
      </w:pPr>
      <w:r>
        <w:rPr>
          <w:rFonts w:ascii="Arial" w:cs="Arial" w:eastAsia="Arial" w:hAnsi="Arial"/>
          <w:i w:val="false"/>
          <w:iCs w:val="false"/>
          <w:color w:val="2D3748"/>
          <w:sz w:val="19"/>
          <w:szCs w:val="19"/>
        </w:rPr>
        <w:t xml:space="preserve">A full-featured video learning library organised into three streams, each fully integrated with AutoCPD. Every second of learning is captured and logged automatically.</w:t>
      </w:r>
    </w:p>
    <w:p>
      <w:pPr>
        <w:spacing w:after="80"/>
      </w:pP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Weekly recordings: </w:t>
      </w:r>
      <w:r>
        <w:rPr>
          <w:rFonts w:ascii="Arial" w:cs="Arial" w:eastAsia="Arial" w:hAnsi="Arial"/>
          <w:color w:val="2D3748"/>
          <w:sz w:val="19"/>
          <w:szCs w:val="19"/>
        </w:rPr>
        <w:t xml:space="preserve">a curated library of lender and insurer weekly briefings, with featured and archive sections. All videos log CPD automatically on play.</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Induction recordings: </w:t>
      </w:r>
      <w:r>
        <w:rPr>
          <w:rFonts w:ascii="Arial" w:cs="Arial" w:eastAsia="Arial" w:hAnsi="Arial"/>
          <w:color w:val="2D3748"/>
          <w:sz w:val="19"/>
          <w:szCs w:val="19"/>
        </w:rPr>
        <w:t xml:space="preserve">10-module induction programme for new advisers, with completion tracking.</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Revalidation recordings: </w:t>
      </w:r>
      <w:r>
        <w:rPr>
          <w:rFonts w:ascii="Arial" w:cs="Arial" w:eastAsia="Arial" w:hAnsi="Arial"/>
          <w:color w:val="2D3748"/>
          <w:sz w:val="19"/>
          <w:szCs w:val="19"/>
        </w:rPr>
        <w:t xml:space="preserve">10-module annual revalidation programme with progress tracking.</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Monthly Newsletter library: </w:t>
      </w:r>
      <w:r>
        <w:rPr>
          <w:rFonts w:ascii="Arial" w:cs="Arial" w:eastAsia="Arial" w:hAnsi="Arial"/>
          <w:color w:val="2D3748"/>
          <w:sz w:val="19"/>
          <w:szCs w:val="19"/>
        </w:rPr>
        <w:t xml:space="preserve">a searchable archive of all CPD Round-up newsletters going back over a year, with one-click open and automatic CPD logging. Each newsletter card shows date, title and the Finance Planning branded cover image.</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Newsletter upload (supervisors): </w:t>
      </w:r>
      <w:r>
        <w:rPr>
          <w:rFonts w:ascii="Arial" w:cs="Arial" w:eastAsia="Arial" w:hAnsi="Arial"/>
          <w:color w:val="2D3748"/>
          <w:sz w:val="19"/>
          <w:szCs w:val="19"/>
        </w:rPr>
        <w:t xml:space="preserve">supervisors and admins can upload new newsletter PDFs directly from within the platform — no server access required. The system automatically names, sorts and displays the new issue with the correct cover.</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Email share: </w:t>
      </w:r>
      <w:r>
        <w:rPr>
          <w:rFonts w:ascii="Arial" w:cs="Arial" w:eastAsia="Arial" w:hAnsi="Arial"/>
          <w:color w:val="2D3748"/>
          <w:sz w:val="19"/>
          <w:szCs w:val="19"/>
        </w:rPr>
        <w:t xml:space="preserve">each newsletter card has a built-in email share button that pre-populates a correctly formatted email with the newsletter link and CPD details for easy sharing with colleagues.</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Zoom session library: </w:t>
      </w:r>
      <w:r>
        <w:rPr>
          <w:rFonts w:ascii="Arial" w:cs="Arial" w:eastAsia="Arial" w:hAnsi="Arial"/>
          <w:color w:val="2D3748"/>
          <w:sz w:val="19"/>
          <w:szCs w:val="19"/>
        </w:rPr>
        <w:t xml:space="preserve">past Zoom CPD sessions are archived in the Learning Zone and linked to AutoCPD — viewing a recorded session logs the same CPD as attending live.</w:t>
      </w:r>
    </w:p>
    <w:p>
      <w:pPr>
        <w:spacing w:after="200"/>
      </w:pPr>
    </w:p>
    <w:p>
      <w:pPr>
        <w:pBdr>
          <w:bottom w:val="single" w:color="003768" w:sz="3" w:space="4"/>
        </w:pBdr>
        <w:spacing w:after="140" w:before="400"/>
      </w:pPr>
      <w:r>
        <w:rPr>
          <w:rFonts w:ascii="Arial" w:cs="Arial" w:eastAsia="Arial" w:hAnsi="Arial"/>
          <w:b/>
          <w:bCs/>
          <w:color w:val="003768"/>
          <w:sz w:val="28"/>
          <w:szCs w:val="28"/>
        </w:rPr>
        <w:t xml:space="preserve">Knowledge Quiz System</w:t>
      </w:r>
    </w:p>
    <w:p>
      <w:pPr>
        <w:spacing w:after="100" w:before="0"/>
      </w:pPr>
      <w:r>
        <w:rPr>
          <w:rFonts w:ascii="Arial" w:cs="Arial" w:eastAsia="Arial" w:hAnsi="Arial"/>
          <w:i w:val="false"/>
          <w:iCs w:val="false"/>
          <w:color w:val="2D3748"/>
          <w:sz w:val="19"/>
          <w:szCs w:val="19"/>
        </w:rPr>
        <w:t xml:space="preserve">Eight self-scoring knowledge quizzes covering the full Mortgage and Protection Advice Standards curriculum. The quiz system is designed to reinforce learning and automatically reward completion.</w:t>
      </w:r>
    </w:p>
    <w:p>
      <w:pPr>
        <w:spacing w:after="80"/>
      </w:pP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8 quizzes: </w:t>
      </w:r>
      <w:r>
        <w:rPr>
          <w:rFonts w:ascii="Arial" w:cs="Arial" w:eastAsia="Arial" w:hAnsi="Arial"/>
          <w:color w:val="2D3748"/>
          <w:sz w:val="19"/>
          <w:szCs w:val="19"/>
        </w:rPr>
        <w:t xml:space="preserve">covering Mortgage Advice Standards, Protection Advice Standards, Lifetime Mortgages, Serious Illness Cover, Income Protection, Relevant Life Plan, Business Protection, Whole of Life and PMI.</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20 questions per quiz: </w:t>
      </w:r>
      <w:r>
        <w:rPr>
          <w:rFonts w:ascii="Arial" w:cs="Arial" w:eastAsia="Arial" w:hAnsi="Arial"/>
          <w:color w:val="2D3748"/>
          <w:sz w:val="19"/>
          <w:szCs w:val="19"/>
        </w:rPr>
        <w:t xml:space="preserve">randomised from a large question bank to prevent repetition.</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75% passmark: </w:t>
      </w:r>
      <w:r>
        <w:rPr>
          <w:rFonts w:ascii="Arial" w:cs="Arial" w:eastAsia="Arial" w:hAnsi="Arial"/>
          <w:color w:val="2D3748"/>
          <w:sz w:val="19"/>
          <w:szCs w:val="19"/>
        </w:rPr>
        <w:t xml:space="preserve">with instant results and question-by-question review on completion.</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AutoCPD on pass: </w:t>
      </w:r>
      <w:r>
        <w:rPr>
          <w:rFonts w:ascii="Arial" w:cs="Arial" w:eastAsia="Arial" w:hAnsi="Arial"/>
          <w:color w:val="2D3748"/>
          <w:sz w:val="19"/>
          <w:szCs w:val="19"/>
        </w:rPr>
        <w:t xml:space="preserve">passing a quiz automatically logs 30 minutes CPD of the appropriate type — no manual logging required.</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Review mode: </w:t>
      </w:r>
      <w:r>
        <w:rPr>
          <w:rFonts w:ascii="Arial" w:cs="Arial" w:eastAsia="Arial" w:hAnsi="Arial"/>
          <w:color w:val="2D3748"/>
          <w:sz w:val="19"/>
          <w:szCs w:val="19"/>
        </w:rPr>
        <w:t xml:space="preserve">advisers can review all their answers before submitting, with clear flagging of unanswered questions.</w:t>
      </w:r>
    </w:p>
    <w:p>
      <w:pPr>
        <w:spacing w:after="200"/>
      </w:pPr>
    </w:p>
    <w:p>
      <w:pPr>
        <w:pBdr>
          <w:bottom w:val="single" w:color="003768" w:sz="3" w:space="4"/>
        </w:pBdr>
        <w:spacing w:after="140" w:before="400"/>
      </w:pPr>
      <w:r>
        <w:rPr>
          <w:rFonts w:ascii="Arial" w:cs="Arial" w:eastAsia="Arial" w:hAnsi="Arial"/>
          <w:b/>
          <w:bCs/>
          <w:color w:val="003768"/>
          <w:sz w:val="28"/>
          <w:szCs w:val="28"/>
        </w:rPr>
        <w:t xml:space="preserve">Advice Standards</w:t>
      </w:r>
    </w:p>
    <w:p>
      <w:pPr>
        <w:spacing w:after="100" w:before="0"/>
      </w:pPr>
      <w:r>
        <w:rPr>
          <w:rFonts w:ascii="Arial" w:cs="Arial" w:eastAsia="Arial" w:hAnsi="Arial"/>
          <w:i w:val="false"/>
          <w:iCs w:val="false"/>
          <w:color w:val="2D3748"/>
          <w:sz w:val="19"/>
          <w:szCs w:val="19"/>
        </w:rPr>
        <w:t xml:space="preserve">The full Mortgage and Protection Advice Standards are built into the platform as interactive, readable documents — not static PDFs. Time spent reading is tracked and fed into AutoCPD automatically.</w:t>
      </w:r>
    </w:p>
    <w:p>
      <w:pPr>
        <w:spacing w:after="80"/>
      </w:pP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Mortgage Advice Standards: </w:t>
      </w:r>
      <w:r>
        <w:rPr>
          <w:rFonts w:ascii="Arial" w:cs="Arial" w:eastAsia="Arial" w:hAnsi="Arial"/>
          <w:color w:val="2D3748"/>
          <w:sz w:val="19"/>
          <w:szCs w:val="19"/>
        </w:rPr>
        <w:t xml:space="preserve">fully formatted and searchable, with appendices covering specialist lending types.</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Protection Advice Standards: </w:t>
      </w:r>
      <w:r>
        <w:rPr>
          <w:rFonts w:ascii="Arial" w:cs="Arial" w:eastAsia="Arial" w:hAnsi="Arial"/>
          <w:color w:val="2D3748"/>
          <w:sz w:val="19"/>
          <w:szCs w:val="19"/>
        </w:rPr>
        <w:t xml:space="preserve">complete with 8 product appendices covering all protection product types.</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AutoCPD integration: </w:t>
      </w:r>
      <w:r>
        <w:rPr>
          <w:rFonts w:ascii="Arial" w:cs="Arial" w:eastAsia="Arial" w:hAnsi="Arial"/>
          <w:color w:val="2D3748"/>
          <w:sz w:val="19"/>
          <w:szCs w:val="19"/>
        </w:rPr>
        <w:t xml:space="preserve">reading time is tracked in real time and logged as Mortgage or Protection CPD — the longer an adviser reads, the more CPD they earn.</w:t>
      </w:r>
    </w:p>
    <w:p>
      <w:pPr>
        <w:spacing w:after="200"/>
      </w:pPr>
    </w:p>
    <w:p>
      <w:pPr>
        <w:pBdr>
          <w:bottom w:val="single" w:color="003768" w:sz="3" w:space="4"/>
        </w:pBdr>
        <w:spacing w:after="140" w:before="400"/>
      </w:pPr>
      <w:r>
        <w:rPr>
          <w:rFonts w:ascii="Arial" w:cs="Arial" w:eastAsia="Arial" w:hAnsi="Arial"/>
          <w:b/>
          <w:bCs/>
          <w:color w:val="003768"/>
          <w:sz w:val="28"/>
          <w:szCs w:val="28"/>
        </w:rPr>
        <w:t xml:space="preserve">Marketing, Brand &amp; Personalisation</w:t>
      </w:r>
    </w:p>
    <w:p>
      <w:pPr>
        <w:spacing w:after="100" w:before="0"/>
      </w:pPr>
      <w:r>
        <w:rPr>
          <w:rFonts w:ascii="Arial" w:cs="Arial" w:eastAsia="Arial" w:hAnsi="Arial"/>
          <w:i w:val="false"/>
          <w:iCs w:val="false"/>
          <w:color w:val="2D3748"/>
          <w:sz w:val="19"/>
          <w:szCs w:val="19"/>
        </w:rPr>
        <w:t xml:space="preserve">A complete brand hub giving every adviser access to professional marketing materials — personalised to their own details, instantly downloadable.</w:t>
      </w:r>
    </w:p>
    <w:p>
      <w:pPr>
        <w:spacing w:after="80"/>
      </w:pPr>
    </w:p>
    <w:p>
      <w:pPr>
        <w:spacing w:after="80" w:before="240"/>
      </w:pPr>
      <w:r>
        <w:rPr>
          <w:rFonts w:ascii="Arial" w:cs="Arial" w:eastAsia="Arial" w:hAnsi="Arial"/>
          <w:b/>
          <w:bCs/>
          <w:color w:val="00A99D"/>
          <w:sz w:val="22"/>
          <w:szCs w:val="22"/>
        </w:rPr>
        <w:t xml:space="preserve">Personalised Broker Brochures</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Dynamic brochure generation: </w:t>
      </w:r>
      <w:r>
        <w:rPr>
          <w:rFonts w:ascii="Arial" w:cs="Arial" w:eastAsia="Arial" w:hAnsi="Arial"/>
          <w:color w:val="2D3748"/>
          <w:sz w:val="19"/>
          <w:szCs w:val="19"/>
        </w:rPr>
        <w:t xml:space="preserve">advisers can generate a fully personalised Finance Planning brochure pre-populated with their name, photo, contact details and specialisms — pulled automatically from their profile.</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One-click download: </w:t>
      </w:r>
      <w:r>
        <w:rPr>
          <w:rFonts w:ascii="Arial" w:cs="Arial" w:eastAsia="Arial" w:hAnsi="Arial"/>
          <w:color w:val="2D3748"/>
          <w:sz w:val="19"/>
          <w:szCs w:val="19"/>
        </w:rPr>
        <w:t xml:space="preserve">the personalised brochure is generated as a high-quality PDF and downloaded instantly — no design software required.</w:t>
      </w:r>
    </w:p>
    <w:p>
      <w:pPr>
        <w:spacing w:after="80"/>
      </w:pPr>
    </w:p>
    <w:p>
      <w:pPr>
        <w:spacing w:after="80" w:before="240"/>
      </w:pPr>
      <w:r>
        <w:rPr>
          <w:rFonts w:ascii="Arial" w:cs="Arial" w:eastAsia="Arial" w:hAnsi="Arial"/>
          <w:b/>
          <w:bCs/>
          <w:color w:val="00A99D"/>
          <w:sz w:val="22"/>
          <w:szCs w:val="22"/>
        </w:rPr>
        <w:t xml:space="preserve">Logo Creator</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Own logo builder: </w:t>
      </w:r>
      <w:r>
        <w:rPr>
          <w:rFonts w:ascii="Arial" w:cs="Arial" w:eastAsia="Arial" w:hAnsi="Arial"/>
          <w:color w:val="2D3748"/>
          <w:sz w:val="19"/>
          <w:szCs w:val="19"/>
        </w:rPr>
        <w:t xml:space="preserve">advisers can create a personalised version of the Finance Planning logo incorporating their name or trading style, using the brand-compliant colour palette and typography.</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Instant download: </w:t>
      </w:r>
      <w:r>
        <w:rPr>
          <w:rFonts w:ascii="Arial" w:cs="Arial" w:eastAsia="Arial" w:hAnsi="Arial"/>
          <w:color w:val="2D3748"/>
          <w:sz w:val="19"/>
          <w:szCs w:val="19"/>
        </w:rPr>
        <w:t xml:space="preserve">logos are generated at print quality and available in multiple formats.</w:t>
      </w:r>
    </w:p>
    <w:p>
      <w:pPr>
        <w:spacing w:after="80"/>
      </w:pPr>
    </w:p>
    <w:p>
      <w:pPr>
        <w:spacing w:after="80" w:before="240"/>
      </w:pPr>
      <w:r>
        <w:rPr>
          <w:rFonts w:ascii="Arial" w:cs="Arial" w:eastAsia="Arial" w:hAnsi="Arial"/>
          <w:b/>
          <w:bCs/>
          <w:color w:val="00A99D"/>
          <w:sz w:val="22"/>
          <w:szCs w:val="22"/>
        </w:rPr>
        <w:t xml:space="preserve">Business Cards</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Own business card designer: </w:t>
      </w:r>
      <w:r>
        <w:rPr>
          <w:rFonts w:ascii="Arial" w:cs="Arial" w:eastAsia="Arial" w:hAnsi="Arial"/>
          <w:color w:val="2D3748"/>
          <w:sz w:val="19"/>
          <w:szCs w:val="19"/>
        </w:rPr>
        <w:t xml:space="preserve">advisers can design and preview their own Finance Planning branded business card, personalised with their details and photo.</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Stationery pricing: </w:t>
      </w:r>
      <w:r>
        <w:rPr>
          <w:rFonts w:ascii="Arial" w:cs="Arial" w:eastAsia="Arial" w:hAnsi="Arial"/>
          <w:color w:val="2D3748"/>
          <w:sz w:val="19"/>
          <w:szCs w:val="19"/>
        </w:rPr>
        <w:t xml:space="preserve">integrated pricing for physical stationery orders — business cards, letterheads and compliment slips — with quantities and costs displayed clearly for budgeting.</w:t>
      </w:r>
    </w:p>
    <w:p>
      <w:pPr>
        <w:spacing w:after="80"/>
      </w:pPr>
    </w:p>
    <w:p>
      <w:pPr>
        <w:spacing w:after="80" w:before="240"/>
      </w:pPr>
      <w:r>
        <w:rPr>
          <w:rFonts w:ascii="Arial" w:cs="Arial" w:eastAsia="Arial" w:hAnsi="Arial"/>
          <w:b/>
          <w:bCs/>
          <w:color w:val="00A99D"/>
          <w:sz w:val="22"/>
          <w:szCs w:val="22"/>
        </w:rPr>
        <w:t xml:space="preserve">Social Media Kit</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Complete social media kit: </w:t>
      </w:r>
      <w:r>
        <w:rPr>
          <w:rFonts w:ascii="Arial" w:cs="Arial" w:eastAsia="Arial" w:hAnsi="Arial"/>
          <w:color w:val="2D3748"/>
          <w:sz w:val="19"/>
          <w:szCs w:val="19"/>
        </w:rPr>
        <w:t xml:space="preserve">a full suite of branded social media assets including profile images, cover photos and post templates for LinkedIn, Facebook and Instagram — all in the correct dimensions for each platform.</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Social media content library: </w:t>
      </w:r>
      <w:r>
        <w:rPr>
          <w:rFonts w:ascii="Arial" w:cs="Arial" w:eastAsia="Arial" w:hAnsi="Arial"/>
          <w:color w:val="2D3748"/>
          <w:sz w:val="19"/>
          <w:szCs w:val="19"/>
        </w:rPr>
        <w:t xml:space="preserve">a curated library of ready-to-use social media post copy and imagery, updated regularly with new content covering mortgage, protection and market topics.</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Social media video library: </w:t>
      </w:r>
      <w:r>
        <w:rPr>
          <w:rFonts w:ascii="Arial" w:cs="Arial" w:eastAsia="Arial" w:hAnsi="Arial"/>
          <w:color w:val="2D3748"/>
          <w:sz w:val="19"/>
          <w:szCs w:val="19"/>
        </w:rPr>
        <w:t xml:space="preserve">a library of short-form branded video content suitable for social media, covering key adviser talking points and product highlights.</w:t>
      </w:r>
    </w:p>
    <w:p>
      <w:pPr>
        <w:spacing w:after="200"/>
      </w:pPr>
    </w:p>
    <w:p>
      <w:pPr>
        <w:pBdr>
          <w:bottom w:val="single" w:color="003768" w:sz="3" w:space="4"/>
        </w:pBdr>
        <w:spacing w:after="140" w:before="400"/>
      </w:pPr>
      <w:r>
        <w:rPr>
          <w:rFonts w:ascii="Arial" w:cs="Arial" w:eastAsia="Arial" w:hAnsi="Arial"/>
          <w:b/>
          <w:bCs/>
          <w:color w:val="003768"/>
          <w:sz w:val="28"/>
          <w:szCs w:val="28"/>
        </w:rPr>
        <w:t xml:space="preserve">Performance Zone</w:t>
      </w:r>
    </w:p>
    <w:p>
      <w:pPr>
        <w:spacing w:after="100" w:before="0"/>
      </w:pPr>
      <w:r>
        <w:rPr>
          <w:rFonts w:ascii="Arial" w:cs="Arial" w:eastAsia="Arial" w:hAnsi="Arial"/>
          <w:i w:val="false"/>
          <w:iCs w:val="false"/>
          <w:color w:val="2D3748"/>
          <w:sz w:val="19"/>
          <w:szCs w:val="19"/>
        </w:rPr>
        <w:t xml:space="preserve">A live performance management dashboard giving supervisors a real-time view of broker activity, built from 33,000+ rows of production data.</w:t>
      </w:r>
    </w:p>
    <w:p>
      <w:pPr>
        <w:spacing w:after="80"/>
      </w:pP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116 brokers: </w:t>
      </w:r>
      <w:r>
        <w:rPr>
          <w:rFonts w:ascii="Arial" w:cs="Arial" w:eastAsia="Arial" w:hAnsi="Arial"/>
          <w:color w:val="2D3748"/>
          <w:sz w:val="19"/>
          <w:szCs w:val="19"/>
        </w:rPr>
        <w:t xml:space="preserve">with full YTD and monthly statistics across 10 metrics: mortgage submissions, protection submissions, GI submissions, mortgage value, mortgage proc fees, mortgage completions, protection completions, product transfers, NIC and quality flags.</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12-month date filter: </w:t>
      </w:r>
      <w:r>
        <w:rPr>
          <w:rFonts w:ascii="Arial" w:cs="Arial" w:eastAsia="Arial" w:hAnsi="Arial"/>
          <w:color w:val="2D3748"/>
          <w:sz w:val="19"/>
          <w:szCs w:val="19"/>
        </w:rPr>
        <w:t xml:space="preserve">interactive month-range picker allows supervisors to analyse any period from one month to the full year.</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Supervisor grouping: </w:t>
      </w:r>
      <w:r>
        <w:rPr>
          <w:rFonts w:ascii="Arial" w:cs="Arial" w:eastAsia="Arial" w:hAnsi="Arial"/>
          <w:color w:val="2D3748"/>
          <w:sz w:val="19"/>
          <w:szCs w:val="19"/>
        </w:rPr>
        <w:t xml:space="preserve">brokers are automatically grouped by their supervisor, sourced live from Airtable.</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Monthly bar chart: </w:t>
      </w:r>
      <w:r>
        <w:rPr>
          <w:rFonts w:ascii="Arial" w:cs="Arial" w:eastAsia="Arial" w:hAnsi="Arial"/>
          <w:color w:val="2D3748"/>
          <w:sz w:val="19"/>
          <w:szCs w:val="19"/>
        </w:rPr>
        <w:t xml:space="preserve">visual activity chart per broker with in-range months highlighted and out-of-range months greyed out dynamically.</w:t>
      </w:r>
    </w:p>
    <w:p>
      <w:pPr>
        <w:spacing w:after="90"/>
        <w:ind w:left="300" w:hanging="220"/>
      </w:pPr>
      <w:r>
        <w:rPr>
          <w:rFonts w:ascii="Arial" w:cs="Arial" w:eastAsia="Arial" w:hAnsi="Arial"/>
          <w:b/>
          <w:bCs/>
          <w:color w:val="00A99D"/>
          <w:sz w:val="19"/>
          <w:szCs w:val="19"/>
        </w:rPr>
        <w:t xml:space="preserve">•  </w:t>
      </w:r>
      <w:r>
        <w:rPr>
          <w:rFonts w:ascii="Arial" w:cs="Arial" w:eastAsia="Arial" w:hAnsi="Arial"/>
          <w:b/>
          <w:bCs/>
          <w:color w:val="003768"/>
          <w:sz w:val="19"/>
          <w:szCs w:val="19"/>
        </w:rPr>
        <w:t xml:space="preserve">Linked protection rate: </w:t>
      </w:r>
      <w:r>
        <w:rPr>
          <w:rFonts w:ascii="Arial" w:cs="Arial" w:eastAsia="Arial" w:hAnsi="Arial"/>
          <w:color w:val="2D3748"/>
          <w:sz w:val="19"/>
          <w:szCs w:val="19"/>
        </w:rPr>
        <w:t xml:space="preserve">LP% displayed at portfolio level for full-year view.</w:t>
      </w:r>
    </w:p>
    <w:p>
      <w:pPr>
        <w:spacing w:after="200"/>
      </w:pPr>
    </w:p>
    <w:p>
      <w:pPr>
        <w:pBdr>
          <w:bottom w:val="single" w:color="003768" w:sz="3" w:space="4"/>
        </w:pBdr>
        <w:spacing w:after="140" w:before="400"/>
      </w:pPr>
      <w:r>
        <w:rPr>
          <w:rFonts w:ascii="Arial" w:cs="Arial" w:eastAsia="Arial" w:hAnsi="Arial"/>
          <w:b/>
          <w:bCs/>
          <w:color w:val="003768"/>
          <w:sz w:val="28"/>
          <w:szCs w:val="28"/>
        </w:rPr>
        <w:t xml:space="preserve">Traditional Development Cost Estimate</w:t>
      </w:r>
    </w:p>
    <w:p>
      <w:pPr>
        <w:spacing w:after="100" w:before="0"/>
      </w:pPr>
      <w:r>
        <w:rPr>
          <w:rFonts w:ascii="Arial" w:cs="Arial" w:eastAsia="Arial" w:hAnsi="Arial"/>
          <w:i w:val="false"/>
          <w:iCs w:val="false"/>
          <w:color w:val="2D3748"/>
          <w:sz w:val="19"/>
          <w:szCs w:val="19"/>
        </w:rPr>
        <w:t xml:space="preserve">The following estimates reflect current UK market rates for a digital agency or freelance team delivering an equivalent specification:</w:t>
      </w:r>
    </w:p>
    <w:p>
      <w:pPr>
        <w:spacing w:after="140"/>
      </w:pP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300"/>
        <w:gridCol w:w="2000"/>
      </w:tblGrid>
      <w:tr>
        <w:trPr>
          <w:tblHeader/>
        </w:trPr>
        <w:tc>
          <w:tcPr>
            <w:tcW w:type="dxa" w:w="3600"/>
            <w:tcBorders>
              <w:top w:val="single" w:color="E0E4E8" w:sz="1"/>
              <w:left w:val="single" w:color="E0E4E8" w:sz="1"/>
              <w:bottom w:val="single" w:color="E0E4E8" w:sz="1"/>
              <w:right w:val="single" w:color="E0E4E8" w:sz="1"/>
            </w:tcBorders>
            <w:shd w:fill="003768"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Role</w:t>
            </w:r>
          </w:p>
        </w:tc>
        <w:tc>
          <w:tcPr>
            <w:tcW w:type="dxa" w:w="1200"/>
            <w:tcBorders>
              <w:top w:val="single" w:color="E0E4E8" w:sz="1"/>
              <w:left w:val="single" w:color="E0E4E8" w:sz="1"/>
              <w:bottom w:val="single" w:color="E0E4E8" w:sz="1"/>
              <w:right w:val="single" w:color="E0E4E8" w:sz="1"/>
            </w:tcBorders>
            <w:shd w:fill="003768"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Days</w:t>
            </w:r>
          </w:p>
        </w:tc>
        <w:tc>
          <w:tcPr>
            <w:tcW w:type="dxa" w:w="1300"/>
            <w:tcBorders>
              <w:top w:val="single" w:color="E0E4E8" w:sz="1"/>
              <w:left w:val="single" w:color="E0E4E8" w:sz="1"/>
              <w:bottom w:val="single" w:color="E0E4E8" w:sz="1"/>
              <w:right w:val="single" w:color="E0E4E8" w:sz="1"/>
            </w:tcBorders>
            <w:shd w:fill="003768"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Day Rate</w:t>
            </w:r>
          </w:p>
        </w:tc>
        <w:tc>
          <w:tcPr>
            <w:tcW w:type="dxa" w:w="2000"/>
            <w:tcBorders>
              <w:top w:val="single" w:color="E0E4E8" w:sz="1"/>
              <w:left w:val="single" w:color="E0E4E8" w:sz="1"/>
              <w:bottom w:val="single" w:color="E0E4E8" w:sz="1"/>
              <w:right w:val="single" w:color="E0E4E8" w:sz="1"/>
            </w:tcBorders>
            <w:shd w:fill="003768"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Cost</w:t>
            </w:r>
          </w:p>
        </w:tc>
      </w:tr>
      <w:tr>
        <w:tc>
          <w:tcPr>
            <w:tcW w:type="dxa" w:w="3600"/>
            <w:tcBorders>
              <w:top w:val="single" w:color="E0E4E8" w:sz="1"/>
              <w:left w:val="single" w:color="E0E4E8" w:sz="1"/>
              <w:bottom w:val="single" w:color="E0E4E8" w:sz="1"/>
              <w:right w:val="single" w:color="E0E4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D3748"/>
                <w:sz w:val="19"/>
                <w:szCs w:val="19"/>
              </w:rPr>
              <w:t xml:space="preserve">Project Manager</w:t>
            </w:r>
          </w:p>
        </w:tc>
        <w:tc>
          <w:tcPr>
            <w:tcW w:type="dxa" w:w="1200"/>
            <w:tcBorders>
              <w:top w:val="single" w:color="E0E4E8" w:sz="1"/>
              <w:left w:val="single" w:color="E0E4E8" w:sz="1"/>
              <w:bottom w:val="single" w:color="E0E4E8" w:sz="1"/>
              <w:right w:val="single" w:color="E0E4E8"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D3748"/>
                <w:sz w:val="19"/>
                <w:szCs w:val="19"/>
              </w:rPr>
              <w:t xml:space="preserve">5</w:t>
            </w:r>
          </w:p>
        </w:tc>
        <w:tc>
          <w:tcPr>
            <w:tcW w:type="dxa" w:w="1300"/>
            <w:tcBorders>
              <w:top w:val="single" w:color="E0E4E8" w:sz="1"/>
              <w:left w:val="single" w:color="E0E4E8" w:sz="1"/>
              <w:bottom w:val="single" w:color="E0E4E8" w:sz="1"/>
              <w:right w:val="single" w:color="E0E4E8"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D3748"/>
                <w:sz w:val="19"/>
                <w:szCs w:val="19"/>
              </w:rPr>
              <w:t xml:space="preserve">£600</w:t>
            </w:r>
          </w:p>
        </w:tc>
        <w:tc>
          <w:tcPr>
            <w:tcW w:type="dxa" w:w="2000"/>
            <w:tcBorders>
              <w:top w:val="single" w:color="E0E4E8" w:sz="1"/>
              <w:left w:val="single" w:color="E0E4E8" w:sz="1"/>
              <w:bottom w:val="single" w:color="E0E4E8" w:sz="1"/>
              <w:right w:val="single" w:color="E0E4E8"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D3748"/>
                <w:sz w:val="19"/>
                <w:szCs w:val="19"/>
              </w:rPr>
              <w:t xml:space="preserve">£3,000</w:t>
            </w:r>
          </w:p>
        </w:tc>
      </w:tr>
      <w:tr>
        <w:tc>
          <w:tcPr>
            <w:tcW w:type="dxa" w:w="3600"/>
            <w:tcBorders>
              <w:top w:val="single" w:color="E0E4E8" w:sz="1"/>
              <w:left w:val="single" w:color="E0E4E8" w:sz="1"/>
              <w:bottom w:val="single" w:color="E0E4E8" w:sz="1"/>
              <w:right w:val="single" w:color="E0E4E8" w:sz="1"/>
            </w:tcBorders>
            <w:shd w:fill="F2F4F6" w:val="clear"/>
            <w:tcMar>
              <w:top w:type="dxa" w:w="100"/>
              <w:left w:type="dxa" w:w="140"/>
              <w:bottom w:type="dxa" w:w="100"/>
              <w:right w:type="dxa" w:w="140"/>
            </w:tcMar>
          </w:tcPr>
          <w:p>
            <w:pPr>
              <w:jc w:val="left"/>
            </w:pPr>
            <w:r>
              <w:rPr>
                <w:rFonts w:ascii="Arial" w:cs="Arial" w:eastAsia="Arial" w:hAnsi="Arial"/>
                <w:b w:val="false"/>
                <w:bCs w:val="false"/>
                <w:color w:val="2D3748"/>
                <w:sz w:val="19"/>
                <w:szCs w:val="19"/>
              </w:rPr>
              <w:t xml:space="preserve">Backend Developer</w:t>
            </w:r>
          </w:p>
        </w:tc>
        <w:tc>
          <w:tcPr>
            <w:tcW w:type="dxa" w:w="1200"/>
            <w:tcBorders>
              <w:top w:val="single" w:color="E0E4E8" w:sz="1"/>
              <w:left w:val="single" w:color="E0E4E8" w:sz="1"/>
              <w:bottom w:val="single" w:color="E0E4E8" w:sz="1"/>
              <w:right w:val="single" w:color="E0E4E8" w:sz="1"/>
            </w:tcBorders>
            <w:shd w:fill="F2F4F6" w:val="clear"/>
            <w:tcMar>
              <w:top w:type="dxa" w:w="100"/>
              <w:left w:type="dxa" w:w="140"/>
              <w:bottom w:type="dxa" w:w="100"/>
              <w:right w:type="dxa" w:w="140"/>
            </w:tcMar>
          </w:tcPr>
          <w:p>
            <w:pPr>
              <w:jc w:val="center"/>
            </w:pPr>
            <w:r>
              <w:rPr>
                <w:rFonts w:ascii="Arial" w:cs="Arial" w:eastAsia="Arial" w:hAnsi="Arial"/>
                <w:b w:val="false"/>
                <w:bCs w:val="false"/>
                <w:color w:val="2D3748"/>
                <w:sz w:val="19"/>
                <w:szCs w:val="19"/>
              </w:rPr>
              <w:t xml:space="preserve">12</w:t>
            </w:r>
          </w:p>
        </w:tc>
        <w:tc>
          <w:tcPr>
            <w:tcW w:type="dxa" w:w="1300"/>
            <w:tcBorders>
              <w:top w:val="single" w:color="E0E4E8" w:sz="1"/>
              <w:left w:val="single" w:color="E0E4E8" w:sz="1"/>
              <w:bottom w:val="single" w:color="E0E4E8" w:sz="1"/>
              <w:right w:val="single" w:color="E0E4E8" w:sz="1"/>
            </w:tcBorders>
            <w:shd w:fill="F2F4F6" w:val="clear"/>
            <w:tcMar>
              <w:top w:type="dxa" w:w="100"/>
              <w:left w:type="dxa" w:w="140"/>
              <w:bottom w:type="dxa" w:w="100"/>
              <w:right w:type="dxa" w:w="140"/>
            </w:tcMar>
          </w:tcPr>
          <w:p>
            <w:pPr>
              <w:jc w:val="center"/>
            </w:pPr>
            <w:r>
              <w:rPr>
                <w:rFonts w:ascii="Arial" w:cs="Arial" w:eastAsia="Arial" w:hAnsi="Arial"/>
                <w:b w:val="false"/>
                <w:bCs w:val="false"/>
                <w:color w:val="2D3748"/>
                <w:sz w:val="19"/>
                <w:szCs w:val="19"/>
              </w:rPr>
              <w:t xml:space="preserve">£600</w:t>
            </w:r>
          </w:p>
        </w:tc>
        <w:tc>
          <w:tcPr>
            <w:tcW w:type="dxa" w:w="2000"/>
            <w:tcBorders>
              <w:top w:val="single" w:color="E0E4E8" w:sz="1"/>
              <w:left w:val="single" w:color="E0E4E8" w:sz="1"/>
              <w:bottom w:val="single" w:color="E0E4E8" w:sz="1"/>
              <w:right w:val="single" w:color="E0E4E8" w:sz="1"/>
            </w:tcBorders>
            <w:shd w:fill="F2F4F6" w:val="clear"/>
            <w:tcMar>
              <w:top w:type="dxa" w:w="100"/>
              <w:left w:type="dxa" w:w="140"/>
              <w:bottom w:type="dxa" w:w="100"/>
              <w:right w:type="dxa" w:w="140"/>
            </w:tcMar>
          </w:tcPr>
          <w:p>
            <w:pPr>
              <w:jc w:val="center"/>
            </w:pPr>
            <w:r>
              <w:rPr>
                <w:rFonts w:ascii="Arial" w:cs="Arial" w:eastAsia="Arial" w:hAnsi="Arial"/>
                <w:b w:val="false"/>
                <w:bCs w:val="false"/>
                <w:color w:val="2D3748"/>
                <w:sz w:val="19"/>
                <w:szCs w:val="19"/>
              </w:rPr>
              <w:t xml:space="preserve">£7,200</w:t>
            </w:r>
          </w:p>
        </w:tc>
      </w:tr>
      <w:tr>
        <w:tc>
          <w:tcPr>
            <w:tcW w:type="dxa" w:w="3600"/>
            <w:tcBorders>
              <w:top w:val="single" w:color="E0E4E8" w:sz="1"/>
              <w:left w:val="single" w:color="E0E4E8" w:sz="1"/>
              <w:bottom w:val="single" w:color="E0E4E8" w:sz="1"/>
              <w:right w:val="single" w:color="E0E4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D3748"/>
                <w:sz w:val="19"/>
                <w:szCs w:val="19"/>
              </w:rPr>
              <w:t xml:space="preserve">Frontend Developer</w:t>
            </w:r>
          </w:p>
        </w:tc>
        <w:tc>
          <w:tcPr>
            <w:tcW w:type="dxa" w:w="1200"/>
            <w:tcBorders>
              <w:top w:val="single" w:color="E0E4E8" w:sz="1"/>
              <w:left w:val="single" w:color="E0E4E8" w:sz="1"/>
              <w:bottom w:val="single" w:color="E0E4E8" w:sz="1"/>
              <w:right w:val="single" w:color="E0E4E8"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D3748"/>
                <w:sz w:val="19"/>
                <w:szCs w:val="19"/>
              </w:rPr>
              <w:t xml:space="preserve">15</w:t>
            </w:r>
          </w:p>
        </w:tc>
        <w:tc>
          <w:tcPr>
            <w:tcW w:type="dxa" w:w="1300"/>
            <w:tcBorders>
              <w:top w:val="single" w:color="E0E4E8" w:sz="1"/>
              <w:left w:val="single" w:color="E0E4E8" w:sz="1"/>
              <w:bottom w:val="single" w:color="E0E4E8" w:sz="1"/>
              <w:right w:val="single" w:color="E0E4E8"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D3748"/>
                <w:sz w:val="19"/>
                <w:szCs w:val="19"/>
              </w:rPr>
              <w:t xml:space="preserve">£600</w:t>
            </w:r>
          </w:p>
        </w:tc>
        <w:tc>
          <w:tcPr>
            <w:tcW w:type="dxa" w:w="2000"/>
            <w:tcBorders>
              <w:top w:val="single" w:color="E0E4E8" w:sz="1"/>
              <w:left w:val="single" w:color="E0E4E8" w:sz="1"/>
              <w:bottom w:val="single" w:color="E0E4E8" w:sz="1"/>
              <w:right w:val="single" w:color="E0E4E8"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D3748"/>
                <w:sz w:val="19"/>
                <w:szCs w:val="19"/>
              </w:rPr>
              <w:t xml:space="preserve">£9,000</w:t>
            </w:r>
          </w:p>
        </w:tc>
      </w:tr>
      <w:tr>
        <w:tc>
          <w:tcPr>
            <w:tcW w:type="dxa" w:w="3600"/>
            <w:tcBorders>
              <w:top w:val="single" w:color="E0E4E8" w:sz="1"/>
              <w:left w:val="single" w:color="E0E4E8" w:sz="1"/>
              <w:bottom w:val="single" w:color="E0E4E8" w:sz="1"/>
              <w:right w:val="single" w:color="E0E4E8" w:sz="1"/>
            </w:tcBorders>
            <w:shd w:fill="F2F4F6" w:val="clear"/>
            <w:tcMar>
              <w:top w:type="dxa" w:w="100"/>
              <w:left w:type="dxa" w:w="140"/>
              <w:bottom w:type="dxa" w:w="100"/>
              <w:right w:type="dxa" w:w="140"/>
            </w:tcMar>
          </w:tcPr>
          <w:p>
            <w:pPr>
              <w:jc w:val="left"/>
            </w:pPr>
            <w:r>
              <w:rPr>
                <w:rFonts w:ascii="Arial" w:cs="Arial" w:eastAsia="Arial" w:hAnsi="Arial"/>
                <w:b w:val="false"/>
                <w:bCs w:val="false"/>
                <w:color w:val="2D3748"/>
                <w:sz w:val="19"/>
                <w:szCs w:val="19"/>
              </w:rPr>
              <w:t xml:space="preserve">UX / UI Designer</w:t>
            </w:r>
          </w:p>
        </w:tc>
        <w:tc>
          <w:tcPr>
            <w:tcW w:type="dxa" w:w="1200"/>
            <w:tcBorders>
              <w:top w:val="single" w:color="E0E4E8" w:sz="1"/>
              <w:left w:val="single" w:color="E0E4E8" w:sz="1"/>
              <w:bottom w:val="single" w:color="E0E4E8" w:sz="1"/>
              <w:right w:val="single" w:color="E0E4E8" w:sz="1"/>
            </w:tcBorders>
            <w:shd w:fill="F2F4F6" w:val="clear"/>
            <w:tcMar>
              <w:top w:type="dxa" w:w="100"/>
              <w:left w:type="dxa" w:w="140"/>
              <w:bottom w:type="dxa" w:w="100"/>
              <w:right w:type="dxa" w:w="140"/>
            </w:tcMar>
          </w:tcPr>
          <w:p>
            <w:pPr>
              <w:jc w:val="center"/>
            </w:pPr>
            <w:r>
              <w:rPr>
                <w:rFonts w:ascii="Arial" w:cs="Arial" w:eastAsia="Arial" w:hAnsi="Arial"/>
                <w:b w:val="false"/>
                <w:bCs w:val="false"/>
                <w:color w:val="2D3748"/>
                <w:sz w:val="19"/>
                <w:szCs w:val="19"/>
              </w:rPr>
              <w:t xml:space="preserve">6</w:t>
            </w:r>
          </w:p>
        </w:tc>
        <w:tc>
          <w:tcPr>
            <w:tcW w:type="dxa" w:w="1300"/>
            <w:tcBorders>
              <w:top w:val="single" w:color="E0E4E8" w:sz="1"/>
              <w:left w:val="single" w:color="E0E4E8" w:sz="1"/>
              <w:bottom w:val="single" w:color="E0E4E8" w:sz="1"/>
              <w:right w:val="single" w:color="E0E4E8" w:sz="1"/>
            </w:tcBorders>
            <w:shd w:fill="F2F4F6" w:val="clear"/>
            <w:tcMar>
              <w:top w:type="dxa" w:w="100"/>
              <w:left w:type="dxa" w:w="140"/>
              <w:bottom w:type="dxa" w:w="100"/>
              <w:right w:type="dxa" w:w="140"/>
            </w:tcMar>
          </w:tcPr>
          <w:p>
            <w:pPr>
              <w:jc w:val="center"/>
            </w:pPr>
            <w:r>
              <w:rPr>
                <w:rFonts w:ascii="Arial" w:cs="Arial" w:eastAsia="Arial" w:hAnsi="Arial"/>
                <w:b w:val="false"/>
                <w:bCs w:val="false"/>
                <w:color w:val="2D3748"/>
                <w:sz w:val="19"/>
                <w:szCs w:val="19"/>
              </w:rPr>
              <w:t xml:space="preserve">£550</w:t>
            </w:r>
          </w:p>
        </w:tc>
        <w:tc>
          <w:tcPr>
            <w:tcW w:type="dxa" w:w="2000"/>
            <w:tcBorders>
              <w:top w:val="single" w:color="E0E4E8" w:sz="1"/>
              <w:left w:val="single" w:color="E0E4E8" w:sz="1"/>
              <w:bottom w:val="single" w:color="E0E4E8" w:sz="1"/>
              <w:right w:val="single" w:color="E0E4E8" w:sz="1"/>
            </w:tcBorders>
            <w:shd w:fill="F2F4F6" w:val="clear"/>
            <w:tcMar>
              <w:top w:type="dxa" w:w="100"/>
              <w:left w:type="dxa" w:w="140"/>
              <w:bottom w:type="dxa" w:w="100"/>
              <w:right w:type="dxa" w:w="140"/>
            </w:tcMar>
          </w:tcPr>
          <w:p>
            <w:pPr>
              <w:jc w:val="center"/>
            </w:pPr>
            <w:r>
              <w:rPr>
                <w:rFonts w:ascii="Arial" w:cs="Arial" w:eastAsia="Arial" w:hAnsi="Arial"/>
                <w:b w:val="false"/>
                <w:bCs w:val="false"/>
                <w:color w:val="2D3748"/>
                <w:sz w:val="19"/>
                <w:szCs w:val="19"/>
              </w:rPr>
              <w:t xml:space="preserve">£3,300</w:t>
            </w:r>
          </w:p>
        </w:tc>
      </w:tr>
      <w:tr>
        <w:tc>
          <w:tcPr>
            <w:tcW w:type="dxa" w:w="3600"/>
            <w:tcBorders>
              <w:top w:val="single" w:color="E0E4E8" w:sz="1"/>
              <w:left w:val="single" w:color="E0E4E8" w:sz="1"/>
              <w:bottom w:val="single" w:color="E0E4E8" w:sz="1"/>
              <w:right w:val="single" w:color="E0E4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D3748"/>
                <w:sz w:val="19"/>
                <w:szCs w:val="19"/>
              </w:rPr>
              <w:t xml:space="preserve">Data Engineer</w:t>
            </w:r>
          </w:p>
        </w:tc>
        <w:tc>
          <w:tcPr>
            <w:tcW w:type="dxa" w:w="1200"/>
            <w:tcBorders>
              <w:top w:val="single" w:color="E0E4E8" w:sz="1"/>
              <w:left w:val="single" w:color="E0E4E8" w:sz="1"/>
              <w:bottom w:val="single" w:color="E0E4E8" w:sz="1"/>
              <w:right w:val="single" w:color="E0E4E8"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D3748"/>
                <w:sz w:val="19"/>
                <w:szCs w:val="19"/>
              </w:rPr>
              <w:t xml:space="preserve">3</w:t>
            </w:r>
          </w:p>
        </w:tc>
        <w:tc>
          <w:tcPr>
            <w:tcW w:type="dxa" w:w="1300"/>
            <w:tcBorders>
              <w:top w:val="single" w:color="E0E4E8" w:sz="1"/>
              <w:left w:val="single" w:color="E0E4E8" w:sz="1"/>
              <w:bottom w:val="single" w:color="E0E4E8" w:sz="1"/>
              <w:right w:val="single" w:color="E0E4E8"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D3748"/>
                <w:sz w:val="19"/>
                <w:szCs w:val="19"/>
              </w:rPr>
              <w:t xml:space="preserve">£600</w:t>
            </w:r>
          </w:p>
        </w:tc>
        <w:tc>
          <w:tcPr>
            <w:tcW w:type="dxa" w:w="2000"/>
            <w:tcBorders>
              <w:top w:val="single" w:color="E0E4E8" w:sz="1"/>
              <w:left w:val="single" w:color="E0E4E8" w:sz="1"/>
              <w:bottom w:val="single" w:color="E0E4E8" w:sz="1"/>
              <w:right w:val="single" w:color="E0E4E8"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D3748"/>
                <w:sz w:val="19"/>
                <w:szCs w:val="19"/>
              </w:rPr>
              <w:t xml:space="preserve">£1,800</w:t>
            </w:r>
          </w:p>
        </w:tc>
      </w:tr>
      <w:tr>
        <w:tc>
          <w:tcPr>
            <w:tcW w:type="dxa" w:w="3600"/>
            <w:tcBorders>
              <w:top w:val="single" w:color="E0E4E8" w:sz="1"/>
              <w:left w:val="single" w:color="E0E4E8" w:sz="1"/>
              <w:bottom w:val="single" w:color="E0E4E8" w:sz="1"/>
              <w:right w:val="single" w:color="E0E4E8" w:sz="1"/>
            </w:tcBorders>
            <w:shd w:fill="F2F4F6" w:val="clear"/>
            <w:tcMar>
              <w:top w:type="dxa" w:w="100"/>
              <w:left w:type="dxa" w:w="140"/>
              <w:bottom w:type="dxa" w:w="100"/>
              <w:right w:type="dxa" w:w="140"/>
            </w:tcMar>
          </w:tcPr>
          <w:p>
            <w:pPr>
              <w:jc w:val="left"/>
            </w:pPr>
            <w:r>
              <w:rPr>
                <w:rFonts w:ascii="Arial" w:cs="Arial" w:eastAsia="Arial" w:hAnsi="Arial"/>
                <w:b w:val="false"/>
                <w:bCs w:val="false"/>
                <w:color w:val="2D3748"/>
                <w:sz w:val="19"/>
                <w:szCs w:val="19"/>
              </w:rPr>
              <w:t xml:space="preserve">Graphic Designer</w:t>
            </w:r>
          </w:p>
        </w:tc>
        <w:tc>
          <w:tcPr>
            <w:tcW w:type="dxa" w:w="1200"/>
            <w:tcBorders>
              <w:top w:val="single" w:color="E0E4E8" w:sz="1"/>
              <w:left w:val="single" w:color="E0E4E8" w:sz="1"/>
              <w:bottom w:val="single" w:color="E0E4E8" w:sz="1"/>
              <w:right w:val="single" w:color="E0E4E8" w:sz="1"/>
            </w:tcBorders>
            <w:shd w:fill="F2F4F6" w:val="clear"/>
            <w:tcMar>
              <w:top w:type="dxa" w:w="100"/>
              <w:left w:type="dxa" w:w="140"/>
              <w:bottom w:type="dxa" w:w="100"/>
              <w:right w:type="dxa" w:w="140"/>
            </w:tcMar>
          </w:tcPr>
          <w:p>
            <w:pPr>
              <w:jc w:val="center"/>
            </w:pPr>
            <w:r>
              <w:rPr>
                <w:rFonts w:ascii="Arial" w:cs="Arial" w:eastAsia="Arial" w:hAnsi="Arial"/>
                <w:b w:val="false"/>
                <w:bCs w:val="false"/>
                <w:color w:val="2D3748"/>
                <w:sz w:val="19"/>
                <w:szCs w:val="19"/>
              </w:rPr>
              <w:t xml:space="preserve">4</w:t>
            </w:r>
          </w:p>
        </w:tc>
        <w:tc>
          <w:tcPr>
            <w:tcW w:type="dxa" w:w="1300"/>
            <w:tcBorders>
              <w:top w:val="single" w:color="E0E4E8" w:sz="1"/>
              <w:left w:val="single" w:color="E0E4E8" w:sz="1"/>
              <w:bottom w:val="single" w:color="E0E4E8" w:sz="1"/>
              <w:right w:val="single" w:color="E0E4E8" w:sz="1"/>
            </w:tcBorders>
            <w:shd w:fill="F2F4F6" w:val="clear"/>
            <w:tcMar>
              <w:top w:type="dxa" w:w="100"/>
              <w:left w:type="dxa" w:w="140"/>
              <w:bottom w:type="dxa" w:w="100"/>
              <w:right w:type="dxa" w:w="140"/>
            </w:tcMar>
          </w:tcPr>
          <w:p>
            <w:pPr>
              <w:jc w:val="center"/>
            </w:pPr>
            <w:r>
              <w:rPr>
                <w:rFonts w:ascii="Arial" w:cs="Arial" w:eastAsia="Arial" w:hAnsi="Arial"/>
                <w:b w:val="false"/>
                <w:bCs w:val="false"/>
                <w:color w:val="2D3748"/>
                <w:sz w:val="19"/>
                <w:szCs w:val="19"/>
              </w:rPr>
              <w:t xml:space="preserve">£500</w:t>
            </w:r>
          </w:p>
        </w:tc>
        <w:tc>
          <w:tcPr>
            <w:tcW w:type="dxa" w:w="2000"/>
            <w:tcBorders>
              <w:top w:val="single" w:color="E0E4E8" w:sz="1"/>
              <w:left w:val="single" w:color="E0E4E8" w:sz="1"/>
              <w:bottom w:val="single" w:color="E0E4E8" w:sz="1"/>
              <w:right w:val="single" w:color="E0E4E8" w:sz="1"/>
            </w:tcBorders>
            <w:shd w:fill="F2F4F6" w:val="clear"/>
            <w:tcMar>
              <w:top w:type="dxa" w:w="100"/>
              <w:left w:type="dxa" w:w="140"/>
              <w:bottom w:type="dxa" w:w="100"/>
              <w:right w:type="dxa" w:w="140"/>
            </w:tcMar>
          </w:tcPr>
          <w:p>
            <w:pPr>
              <w:jc w:val="center"/>
            </w:pPr>
            <w:r>
              <w:rPr>
                <w:rFonts w:ascii="Arial" w:cs="Arial" w:eastAsia="Arial" w:hAnsi="Arial"/>
                <w:b w:val="false"/>
                <w:bCs w:val="false"/>
                <w:color w:val="2D3748"/>
                <w:sz w:val="19"/>
                <w:szCs w:val="19"/>
              </w:rPr>
              <w:t xml:space="preserve">£2,000</w:t>
            </w:r>
          </w:p>
        </w:tc>
      </w:tr>
      <w:tr>
        <w:tc>
          <w:tcPr>
            <w:tcW w:type="dxa" w:w="3600"/>
            <w:tcBorders>
              <w:top w:val="single" w:color="E0E4E8" w:sz="1"/>
              <w:left w:val="single" w:color="E0E4E8" w:sz="1"/>
              <w:bottom w:val="single" w:color="E0E4E8" w:sz="1"/>
              <w:right w:val="single" w:color="E0E4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D3748"/>
                <w:sz w:val="19"/>
                <w:szCs w:val="19"/>
              </w:rPr>
              <w:t xml:space="preserve">QA / Testing</w:t>
            </w:r>
          </w:p>
        </w:tc>
        <w:tc>
          <w:tcPr>
            <w:tcW w:type="dxa" w:w="1200"/>
            <w:tcBorders>
              <w:top w:val="single" w:color="E0E4E8" w:sz="1"/>
              <w:left w:val="single" w:color="E0E4E8" w:sz="1"/>
              <w:bottom w:val="single" w:color="E0E4E8" w:sz="1"/>
              <w:right w:val="single" w:color="E0E4E8"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D3748"/>
                <w:sz w:val="19"/>
                <w:szCs w:val="19"/>
              </w:rPr>
              <w:t xml:space="preserve">4</w:t>
            </w:r>
          </w:p>
        </w:tc>
        <w:tc>
          <w:tcPr>
            <w:tcW w:type="dxa" w:w="1300"/>
            <w:tcBorders>
              <w:top w:val="single" w:color="E0E4E8" w:sz="1"/>
              <w:left w:val="single" w:color="E0E4E8" w:sz="1"/>
              <w:bottom w:val="single" w:color="E0E4E8" w:sz="1"/>
              <w:right w:val="single" w:color="E0E4E8"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D3748"/>
                <w:sz w:val="19"/>
                <w:szCs w:val="19"/>
              </w:rPr>
              <w:t xml:space="preserve">£450</w:t>
            </w:r>
          </w:p>
        </w:tc>
        <w:tc>
          <w:tcPr>
            <w:tcW w:type="dxa" w:w="2000"/>
            <w:tcBorders>
              <w:top w:val="single" w:color="E0E4E8" w:sz="1"/>
              <w:left w:val="single" w:color="E0E4E8" w:sz="1"/>
              <w:bottom w:val="single" w:color="E0E4E8" w:sz="1"/>
              <w:right w:val="single" w:color="E0E4E8"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D3748"/>
                <w:sz w:val="19"/>
                <w:szCs w:val="19"/>
              </w:rPr>
              <w:t xml:space="preserve">£1,800</w:t>
            </w:r>
          </w:p>
        </w:tc>
      </w:tr>
      <w:tr>
        <w:tc>
          <w:tcPr>
            <w:tcW w:type="dxa" w:w="3600"/>
            <w:tcBorders>
              <w:top w:val="single" w:color="E0E4E8" w:sz="1"/>
              <w:left w:val="single" w:color="E0E4E8" w:sz="1"/>
              <w:bottom w:val="single" w:color="E0E4E8" w:sz="1"/>
              <w:right w:val="single" w:color="E0E4E8" w:sz="1"/>
            </w:tcBorders>
            <w:shd w:fill="F5A623"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TOTAL ESTIMATE</w:t>
            </w:r>
          </w:p>
        </w:tc>
        <w:tc>
          <w:tcPr>
            <w:tcW w:type="dxa" w:w="1200"/>
            <w:tcBorders>
              <w:top w:val="single" w:color="E0E4E8" w:sz="1"/>
              <w:left w:val="single" w:color="E0E4E8" w:sz="1"/>
              <w:bottom w:val="single" w:color="E0E4E8" w:sz="1"/>
              <w:right w:val="single" w:color="E0E4E8" w:sz="1"/>
            </w:tcBorders>
            <w:shd w:fill="F5A623"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49 days</w:t>
            </w:r>
          </w:p>
        </w:tc>
        <w:tc>
          <w:tcPr>
            <w:tcW w:type="dxa" w:w="1300"/>
            <w:tcBorders>
              <w:top w:val="single" w:color="E0E4E8" w:sz="1"/>
              <w:left w:val="single" w:color="E0E4E8" w:sz="1"/>
              <w:bottom w:val="single" w:color="E0E4E8" w:sz="1"/>
              <w:right w:val="single" w:color="E0E4E8" w:sz="1"/>
            </w:tcBorders>
            <w:shd w:fill="F5A623" w:val="clear"/>
            <w:tcMar>
              <w:top w:type="dxa" w:w="100"/>
              <w:left w:type="dxa" w:w="140"/>
              <w:bottom w:type="dxa" w:w="100"/>
              <w:right w:type="dxa" w:w="140"/>
            </w:tcMar>
          </w:tcPr>
          <w:p>
            <w:pPr>
              <w:jc w:val="left"/>
            </w:pPr>
            <w:r>
              <w:rPr>
                <w:rFonts w:ascii="Arial" w:cs="Arial" w:eastAsia="Arial" w:hAnsi="Arial"/>
                <w:b w:val="false"/>
                <w:bCs w:val="false"/>
                <w:color w:val="2D3748"/>
                <w:sz w:val="19"/>
                <w:szCs w:val="19"/>
              </w:rPr>
              <w:t xml:space="preserve"/>
            </w:r>
          </w:p>
        </w:tc>
        <w:tc>
          <w:tcPr>
            <w:tcW w:type="dxa" w:w="2000"/>
            <w:tcBorders>
              <w:top w:val="single" w:color="E0E4E8" w:sz="1"/>
              <w:left w:val="single" w:color="E0E4E8" w:sz="1"/>
              <w:bottom w:val="single" w:color="E0E4E8" w:sz="1"/>
              <w:right w:val="single" w:color="E0E4E8" w:sz="1"/>
            </w:tcBorders>
            <w:shd w:fill="F5A623"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£28,100</w:t>
            </w:r>
          </w:p>
        </w:tc>
      </w:tr>
    </w:tbl>
    <w:p>
      <w:pPr>
        <w:spacing w:after="80"/>
      </w:pPr>
    </w:p>
    <w:p>
      <w:pPr>
        <w:spacing w:after="100" w:before="0"/>
      </w:pPr>
      <w:r>
        <w:rPr>
          <w:rFonts w:ascii="Arial" w:cs="Arial" w:eastAsia="Arial" w:hAnsi="Arial"/>
          <w:i/>
          <w:iCs/>
          <w:color w:val="8898aa"/>
          <w:sz w:val="19"/>
          <w:szCs w:val="19"/>
        </w:rPr>
        <w:t xml:space="preserve">Agency overhead and project management typically adds 30–40% on top of these figures. VAT at 20% would apply. A junior agency team would likely take longer and deliver less.</w:t>
      </w:r>
    </w:p>
    <w:p>
      <w:pPr>
        <w:spacing w:after="200"/>
      </w:pPr>
    </w:p>
    <w:p>
      <w:pPr>
        <w:pBdr>
          <w:bottom w:val="single" w:color="003768" w:sz="3" w:space="4"/>
        </w:pBdr>
        <w:spacing w:after="140" w:before="400"/>
      </w:pPr>
      <w:r>
        <w:rPr>
          <w:rFonts w:ascii="Arial" w:cs="Arial" w:eastAsia="Arial" w:hAnsi="Arial"/>
          <w:b/>
          <w:bCs/>
          <w:color w:val="003768"/>
          <w:sz w:val="28"/>
          <w:szCs w:val="28"/>
        </w:rPr>
        <w:t xml:space="preserve">Value Comparison</w:t>
      </w:r>
    </w:p>
    <w:p>
      <w:pPr>
        <w:spacing w:after="120"/>
      </w:pP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5200"/>
        <w:gridCol w:w="2900"/>
      </w:tblGrid>
      <w:tr>
        <w:trPr>
          <w:tblHeader/>
        </w:trPr>
        <w:tc>
          <w:tcPr>
            <w:tcW w:type="dxa" w:w="5200"/>
            <w:tcBorders>
              <w:top w:val="single" w:color="E0E4E8" w:sz="1"/>
              <w:left w:val="single" w:color="E0E4E8" w:sz="1"/>
              <w:bottom w:val="single" w:color="E0E4E8" w:sz="1"/>
              <w:right w:val="single" w:color="E0E4E8" w:sz="1"/>
            </w:tcBorders>
            <w:shd w:fill="00A99D"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Metric</w:t>
            </w:r>
          </w:p>
        </w:tc>
        <w:tc>
          <w:tcPr>
            <w:tcW w:type="dxa" w:w="2900"/>
            <w:tcBorders>
              <w:top w:val="single" w:color="E0E4E8" w:sz="1"/>
              <w:left w:val="single" w:color="E0E4E8" w:sz="1"/>
              <w:bottom w:val="single" w:color="E0E4E8" w:sz="1"/>
              <w:right w:val="single" w:color="E0E4E8" w:sz="1"/>
            </w:tcBorders>
            <w:shd w:fill="00A99D"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Value</w:t>
            </w:r>
          </w:p>
        </w:tc>
      </w:tr>
      <w:tr>
        <w:tc>
          <w:tcPr>
            <w:tcW w:type="dxa" w:w="5200"/>
            <w:tcBorders>
              <w:top w:val="single" w:color="E0E4E8" w:sz="1"/>
              <w:left w:val="single" w:color="E0E4E8" w:sz="1"/>
              <w:bottom w:val="single" w:color="E0E4E8" w:sz="1"/>
              <w:right w:val="single" w:color="E0E4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D3748"/>
                <w:sz w:val="19"/>
                <w:szCs w:val="19"/>
              </w:rPr>
              <w:t xml:space="preserve">Traditional agency cost (est.)</w:t>
            </w:r>
          </w:p>
        </w:tc>
        <w:tc>
          <w:tcPr>
            <w:tcW w:type="dxa" w:w="2900"/>
            <w:tcBorders>
              <w:top w:val="single" w:color="E0E4E8" w:sz="1"/>
              <w:left w:val="single" w:color="E0E4E8" w:sz="1"/>
              <w:bottom w:val="single" w:color="E0E4E8" w:sz="1"/>
              <w:right w:val="single" w:color="E0E4E8"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D3748"/>
                <w:sz w:val="19"/>
                <w:szCs w:val="19"/>
              </w:rPr>
              <w:t xml:space="preserve">£25,000 – £35,000 + VAT</w:t>
            </w:r>
          </w:p>
        </w:tc>
      </w:tr>
      <w:tr>
        <w:tc>
          <w:tcPr>
            <w:tcW w:type="dxa" w:w="5200"/>
            <w:tcBorders>
              <w:top w:val="single" w:color="E0E4E8" w:sz="1"/>
              <w:left w:val="single" w:color="E0E4E8" w:sz="1"/>
              <w:bottom w:val="single" w:color="E0E4E8" w:sz="1"/>
              <w:right w:val="single" w:color="E0E4E8" w:sz="1"/>
            </w:tcBorders>
            <w:shd w:fill="F2F4F6" w:val="clear"/>
            <w:tcMar>
              <w:top w:type="dxa" w:w="100"/>
              <w:left w:type="dxa" w:w="140"/>
              <w:bottom w:type="dxa" w:w="100"/>
              <w:right w:type="dxa" w:w="140"/>
            </w:tcMar>
          </w:tcPr>
          <w:p>
            <w:pPr>
              <w:jc w:val="left"/>
            </w:pPr>
            <w:r>
              <w:rPr>
                <w:rFonts w:ascii="Arial" w:cs="Arial" w:eastAsia="Arial" w:hAnsi="Arial"/>
                <w:b w:val="false"/>
                <w:bCs w:val="false"/>
                <w:color w:val="2D3748"/>
                <w:sz w:val="19"/>
                <w:szCs w:val="19"/>
              </w:rPr>
              <w:t xml:space="preserve">Traditional freelancer cost</w:t>
            </w:r>
          </w:p>
        </w:tc>
        <w:tc>
          <w:tcPr>
            <w:tcW w:type="dxa" w:w="2900"/>
            <w:tcBorders>
              <w:top w:val="single" w:color="E0E4E8" w:sz="1"/>
              <w:left w:val="single" w:color="E0E4E8" w:sz="1"/>
              <w:bottom w:val="single" w:color="E0E4E8" w:sz="1"/>
              <w:right w:val="single" w:color="E0E4E8" w:sz="1"/>
            </w:tcBorders>
            <w:shd w:fill="F2F4F6" w:val="clear"/>
            <w:tcMar>
              <w:top w:type="dxa" w:w="100"/>
              <w:left w:type="dxa" w:w="140"/>
              <w:bottom w:type="dxa" w:w="100"/>
              <w:right w:type="dxa" w:w="140"/>
            </w:tcMar>
          </w:tcPr>
          <w:p>
            <w:pPr>
              <w:jc w:val="center"/>
            </w:pPr>
            <w:r>
              <w:rPr>
                <w:rFonts w:ascii="Arial" w:cs="Arial" w:eastAsia="Arial" w:hAnsi="Arial"/>
                <w:b w:val="false"/>
                <w:bCs w:val="false"/>
                <w:color w:val="2D3748"/>
                <w:sz w:val="19"/>
                <w:szCs w:val="19"/>
              </w:rPr>
              <w:t xml:space="preserve">£14,000 – £20,000</w:t>
            </w:r>
          </w:p>
        </w:tc>
      </w:tr>
      <w:tr>
        <w:tc>
          <w:tcPr>
            <w:tcW w:type="dxa" w:w="5200"/>
            <w:tcBorders>
              <w:top w:val="single" w:color="E0E4E8" w:sz="1"/>
              <w:left w:val="single" w:color="E0E4E8" w:sz="1"/>
              <w:bottom w:val="single" w:color="E0E4E8" w:sz="1"/>
              <w:right w:val="single" w:color="E0E4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D3748"/>
                <w:sz w:val="19"/>
                <w:szCs w:val="19"/>
              </w:rPr>
              <w:t xml:space="preserve">Traditional delivery time</w:t>
            </w:r>
          </w:p>
        </w:tc>
        <w:tc>
          <w:tcPr>
            <w:tcW w:type="dxa" w:w="2900"/>
            <w:tcBorders>
              <w:top w:val="single" w:color="E0E4E8" w:sz="1"/>
              <w:left w:val="single" w:color="E0E4E8" w:sz="1"/>
              <w:bottom w:val="single" w:color="E0E4E8" w:sz="1"/>
              <w:right w:val="single" w:color="E0E4E8"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D3748"/>
                <w:sz w:val="19"/>
                <w:szCs w:val="19"/>
              </w:rPr>
              <w:t xml:space="preserve">10 – 14 weeks</w:t>
            </w:r>
          </w:p>
        </w:tc>
      </w:tr>
      <w:tr>
        <w:tc>
          <w:tcPr>
            <w:tcW w:type="dxa" w:w="5200"/>
            <w:tcBorders>
              <w:top w:val="single" w:color="E0E4E8" w:sz="1"/>
              <w:left w:val="single" w:color="E0E4E8" w:sz="1"/>
              <w:bottom w:val="single" w:color="E0E4E8" w:sz="1"/>
              <w:right w:val="single" w:color="E0E4E8" w:sz="1"/>
            </w:tcBorders>
            <w:shd w:fill="E8F7F6" w:val="clear"/>
            <w:tcMar>
              <w:top w:type="dxa" w:w="100"/>
              <w:left w:type="dxa" w:w="140"/>
              <w:bottom w:type="dxa" w:w="100"/>
              <w:right w:type="dxa" w:w="140"/>
            </w:tcMar>
          </w:tcPr>
          <w:p>
            <w:pPr>
              <w:jc w:val="left"/>
            </w:pPr>
            <w:r>
              <w:rPr>
                <w:rFonts w:ascii="Arial" w:cs="Arial" w:eastAsia="Arial" w:hAnsi="Arial"/>
                <w:b/>
                <w:bCs/>
                <w:color w:val="2D3748"/>
                <w:sz w:val="19"/>
                <w:szCs w:val="19"/>
              </w:rPr>
              <w:t xml:space="preserve">Actual delivery time</w:t>
            </w:r>
          </w:p>
        </w:tc>
        <w:tc>
          <w:tcPr>
            <w:tcW w:type="dxa" w:w="2900"/>
            <w:tcBorders>
              <w:top w:val="single" w:color="E0E4E8" w:sz="1"/>
              <w:left w:val="single" w:color="E0E4E8" w:sz="1"/>
              <w:bottom w:val="single" w:color="E0E4E8" w:sz="1"/>
              <w:right w:val="single" w:color="E0E4E8" w:sz="1"/>
            </w:tcBorders>
            <w:shd w:fill="E8F7F6" w:val="clear"/>
            <w:tcMar>
              <w:top w:type="dxa" w:w="100"/>
              <w:left w:type="dxa" w:w="140"/>
              <w:bottom w:type="dxa" w:w="100"/>
              <w:right w:type="dxa" w:w="140"/>
            </w:tcMar>
          </w:tcPr>
          <w:p>
            <w:pPr>
              <w:jc w:val="center"/>
            </w:pPr>
            <w:r>
              <w:rPr>
                <w:rFonts w:ascii="Arial" w:cs="Arial" w:eastAsia="Arial" w:hAnsi="Arial"/>
                <w:b/>
                <w:bCs/>
                <w:color w:val="2D3748"/>
                <w:sz w:val="19"/>
                <w:szCs w:val="19"/>
              </w:rPr>
              <w:t xml:space="preserve">6 days</w:t>
            </w:r>
          </w:p>
        </w:tc>
      </w:tr>
      <w:tr>
        <w:tc>
          <w:tcPr>
            <w:tcW w:type="dxa" w:w="5200"/>
            <w:tcBorders>
              <w:top w:val="single" w:color="E0E4E8" w:sz="1"/>
              <w:left w:val="single" w:color="E0E4E8" w:sz="1"/>
              <w:bottom w:val="single" w:color="E0E4E8" w:sz="1"/>
              <w:right w:val="single" w:color="E0E4E8" w:sz="1"/>
            </w:tcBorders>
            <w:shd w:fill="E8F7F6" w:val="clear"/>
            <w:tcMar>
              <w:top w:type="dxa" w:w="100"/>
              <w:left w:type="dxa" w:w="140"/>
              <w:bottom w:type="dxa" w:w="100"/>
              <w:right w:type="dxa" w:w="140"/>
            </w:tcMar>
          </w:tcPr>
          <w:p>
            <w:pPr>
              <w:jc w:val="left"/>
            </w:pPr>
            <w:r>
              <w:rPr>
                <w:rFonts w:ascii="Arial" w:cs="Arial" w:eastAsia="Arial" w:hAnsi="Arial"/>
                <w:b/>
                <w:bCs/>
                <w:color w:val="2D3748"/>
                <w:sz w:val="19"/>
                <w:szCs w:val="19"/>
              </w:rPr>
              <w:t xml:space="preserve">Estimated saving vs agency</w:t>
            </w:r>
          </w:p>
        </w:tc>
        <w:tc>
          <w:tcPr>
            <w:tcW w:type="dxa" w:w="2900"/>
            <w:tcBorders>
              <w:top w:val="single" w:color="E0E4E8" w:sz="1"/>
              <w:left w:val="single" w:color="E0E4E8" w:sz="1"/>
              <w:bottom w:val="single" w:color="E0E4E8" w:sz="1"/>
              <w:right w:val="single" w:color="E0E4E8" w:sz="1"/>
            </w:tcBorders>
            <w:shd w:fill="E8F7F6" w:val="clear"/>
            <w:tcMar>
              <w:top w:type="dxa" w:w="100"/>
              <w:left w:type="dxa" w:w="140"/>
              <w:bottom w:type="dxa" w:w="100"/>
              <w:right w:type="dxa" w:w="140"/>
            </w:tcMar>
          </w:tcPr>
          <w:p>
            <w:pPr>
              <w:jc w:val="center"/>
            </w:pPr>
            <w:r>
              <w:rPr>
                <w:rFonts w:ascii="Arial" w:cs="Arial" w:eastAsia="Arial" w:hAnsi="Arial"/>
                <w:b/>
                <w:bCs/>
                <w:color w:val="2D3748"/>
                <w:sz w:val="19"/>
                <w:szCs w:val="19"/>
              </w:rPr>
              <w:t xml:space="preserve">£25,000+</w:t>
            </w:r>
          </w:p>
        </w:tc>
      </w:tr>
    </w:tbl>
    <w:p>
      <w:pPr>
        <w:spacing w:after="200"/>
      </w:pPr>
    </w:p>
    <w:p>
      <w:pPr>
        <w:pBdr>
          <w:bottom w:val="single" w:color="003768" w:sz="3" w:space="4"/>
        </w:pBdr>
        <w:spacing w:after="140" w:before="400"/>
      </w:pPr>
      <w:r>
        <w:rPr>
          <w:rFonts w:ascii="Arial" w:cs="Arial" w:eastAsia="Arial" w:hAnsi="Arial"/>
          <w:b/>
          <w:bCs/>
          <w:color w:val="003768"/>
          <w:sz w:val="28"/>
          <w:szCs w:val="28"/>
        </w:rPr>
        <w:t xml:space="preserve">Summary</w:t>
      </w:r>
    </w:p>
    <w:p>
      <w:pPr>
        <w:spacing w:after="100" w:before="0"/>
      </w:pPr>
      <w:r>
        <w:rPr>
          <w:rFonts w:ascii="Arial" w:cs="Arial" w:eastAsia="Arial" w:hAnsi="Arial"/>
          <w:i w:val="false"/>
          <w:iCs w:val="false"/>
          <w:color w:val="2D3748"/>
          <w:sz w:val="19"/>
          <w:szCs w:val="19"/>
        </w:rPr>
        <w:t xml:space="preserve">The FPG Brand Hub and CPD Platform is a production-grade, fully hosted web application that would ordinarily take a digital agency 10–14 weeks and £25,000–£35,000 plus VAT to deliver. A freelance team would charge £14,000–£20,000 for a comparable spec, typically over a similar timeframe.</w:t>
      </w:r>
    </w:p>
    <w:p>
      <w:pPr>
        <w:spacing w:after="100"/>
      </w:pPr>
    </w:p>
    <w:p>
      <w:pPr>
        <w:spacing w:after="100" w:before="0"/>
      </w:pPr>
      <w:r>
        <w:rPr>
          <w:rFonts w:ascii="Arial" w:cs="Arial" w:eastAsia="Arial" w:hAnsi="Arial"/>
          <w:i w:val="false"/>
          <w:iCs w:val="false"/>
          <w:color w:val="2D3748"/>
          <w:sz w:val="19"/>
          <w:szCs w:val="19"/>
        </w:rPr>
        <w:t xml:space="preserve">This platform was delivered in 6 days — fully live, tested and serving the entire adviser network from day one. Every feature described in this document is active and in use.</w:t>
      </w:r>
    </w:p>
    <w:p>
      <w:pPr>
        <w:spacing w:after="100"/>
      </w:pPr>
    </w:p>
    <w:p>
      <w:pPr>
        <w:spacing w:after="100" w:before="0"/>
      </w:pPr>
      <w:r>
        <w:rPr>
          <w:rFonts w:ascii="Arial" w:cs="Arial" w:eastAsia="Arial" w:hAnsi="Arial"/>
          <w:i w:val="false"/>
          <w:iCs w:val="false"/>
          <w:color w:val="2D3748"/>
          <w:sz w:val="19"/>
          <w:szCs w:val="19"/>
        </w:rPr>
        <w:t xml:space="preserve">The platform is built to grow. New content — videos, newsletters, quizzes, advice standards — can be added without any code changes. New features can be deployed in minutes via the GitHub auto-deployment pipeline.</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0A99D" w:sz="18"/>
              <w:bottom w:val="none" w:color="FFFFFF" w:sz="0"/>
              <w:right w:val="none" w:color="FFFFFF" w:sz="0"/>
            </w:tcBorders>
            <w:shd w:fill="E8F7F6" w:val="clear"/>
            <w:tcMar>
              <w:top w:type="dxa" w:w="120"/>
              <w:left w:type="dxa" w:w="200"/>
              <w:bottom w:type="dxa" w:w="120"/>
              <w:right w:type="dxa" w:w="200"/>
            </w:tcMar>
          </w:tcPr>
          <w:p>
            <w:r>
              <w:rPr>
                <w:rFonts w:ascii="Arial" w:cs="Arial" w:eastAsia="Arial" w:hAnsi="Arial"/>
                <w:b/>
                <w:bCs/>
                <w:color w:val="003768"/>
                <w:sz w:val="19"/>
                <w:szCs w:val="19"/>
              </w:rPr>
              <w:t xml:space="preserve">Estimated total saving vs traditional agency delivery: £25,000+ and 10+ weeks of elapsed time.</w:t>
            </w:r>
          </w:p>
        </w:tc>
      </w:tr>
    </w:tbl>
    <w:sectPr>
      <w:headerReference w:type="default" r:id="rId7"/>
      <w:footerReference w:type="default" r:id="rId8"/>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4E8" w:sz="2" w:space="4"/>
      </w:pBdr>
      <w:jc w:val="center"/>
    </w:pPr>
    <w:r>
      <w:rPr>
        <w:rFonts w:ascii="Arial" w:cs="Arial" w:eastAsia="Arial" w:hAnsi="Arial"/>
        <w:color w:val="8898aa"/>
        <w:sz w:val="16"/>
        <w:szCs w:val="16"/>
      </w:rPr>
      <w:t xml:space="preserve">Finance Planning Mortgage &amp; Protection  |  Technology Investment Summary  |  Internal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6500"/>
      <w:gridCol w:w="2606"/>
    </w:tblGrid>
    <w:tr>
      <w:tc>
        <w:tcPr>
          <w:tcW w:type="dxa" w:w="6500"/>
          <w:tcBorders>
            <w:top w:val="none" w:color="FFFFFF" w:sz="0"/>
            <w:left w:val="none" w:color="FFFFFF" w:sz="0"/>
            <w:bottom w:val="none" w:color="FFFFFF" w:sz="0"/>
            <w:right w:val="none" w:color="FFFFFF" w:sz="0"/>
          </w:tcBorders>
        </w:tcPr>
        <w:p>
          <w:r>
            <w:rPr>
              <w:rFonts w:ascii="Arial" w:cs="Arial" w:eastAsia="Arial" w:hAnsi="Arial"/>
              <w:b/>
              <w:bCs/>
              <w:color w:val="003768"/>
              <w:sz w:val="18"/>
              <w:szCs w:val="18"/>
            </w:rPr>
            <w:t xml:space="preserve">Finance Planning Mortgage &amp; Protection</w:t>
          </w:r>
        </w:p>
      </w:tc>
      <w:tc>
        <w:tcPr>
          <w:tcW w:type="dxa" w:w="2606"/>
          <w:tcBorders>
            <w:top w:val="none" w:color="FFFFFF" w:sz="0"/>
            <w:left w:val="none" w:color="FFFFFF" w:sz="0"/>
            <w:bottom w:val="none" w:color="FFFFFF" w:sz="0"/>
            <w:right w:val="none" w:color="FFFFFF" w:sz="0"/>
          </w:tcBorders>
        </w:tcPr>
        <w:p>
          <w:pPr>
            <w:jc w:val="right"/>
          </w:pPr>
          <w:r>
            <w:rPr>
              <w:rFonts w:ascii="Arial" w:cs="Arial" w:eastAsia="Arial" w:hAnsi="Arial"/>
              <w:color w:val="8898aa"/>
              <w:sz w:val="17"/>
              <w:szCs w:val="17"/>
            </w:rPr>
            <w:t xml:space="preserve">June 2026  |  Confidential</w:t>
          </w:r>
        </w:p>
      </w:tc>
    </w:tr>
  </w:tbl>
  <w:p>
    <w:pPr>
      <w:pBdr>
        <w:bottom w:val="single" w:color="003768" w:sz="6" w:space="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2026-06-26T19:58:58.096Z</dcterms:created>
  <dcterms:modified xsi:type="dcterms:W3CDTF">2026-06-26T19:58:58.097Z</dcterms:modified>
</cp:coreProperties>
</file>

<file path=docProps/custom.xml><?xml version="1.0" encoding="utf-8"?>
<Properties xmlns="http://schemas.openxmlformats.org/officeDocument/2006/custom-properties" xmlns:vt="http://schemas.openxmlformats.org/officeDocument/2006/docPropsVTypes"/>
</file>