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8936" w14:textId="77777777" w:rsidR="00E87D4B" w:rsidRDefault="00E87D4B" w:rsidP="00D42477">
      <w:pPr>
        <w:pStyle w:val="Title"/>
      </w:pPr>
    </w:p>
    <w:p w14:paraId="2DF1EA36" w14:textId="77777777" w:rsidR="00E87D4B" w:rsidRDefault="00E87D4B" w:rsidP="00D42477">
      <w:pPr>
        <w:pStyle w:val="Title"/>
      </w:pPr>
    </w:p>
    <w:p w14:paraId="4CAC09C9" w14:textId="77777777" w:rsidR="00E87D4B" w:rsidRDefault="00E87D4B" w:rsidP="00D42477">
      <w:pPr>
        <w:pStyle w:val="Title"/>
      </w:pPr>
    </w:p>
    <w:p w14:paraId="45B40537" w14:textId="77777777" w:rsidR="00E87D4B" w:rsidRDefault="00E87D4B" w:rsidP="00D42477">
      <w:pPr>
        <w:pStyle w:val="Title"/>
      </w:pPr>
    </w:p>
    <w:p w14:paraId="72E933B2" w14:textId="77777777" w:rsidR="00E87D4B" w:rsidRDefault="00E87D4B" w:rsidP="00D42477">
      <w:pPr>
        <w:pStyle w:val="Title"/>
      </w:pPr>
    </w:p>
    <w:p w14:paraId="4C052739" w14:textId="77777777" w:rsidR="00E87D4B" w:rsidRDefault="00E87D4B" w:rsidP="00D42477">
      <w:pPr>
        <w:pStyle w:val="Title"/>
      </w:pPr>
    </w:p>
    <w:p w14:paraId="3784294A" w14:textId="77777777" w:rsidR="00E87D4B" w:rsidRDefault="00E87D4B" w:rsidP="00D42477">
      <w:pPr>
        <w:pStyle w:val="Title"/>
      </w:pPr>
    </w:p>
    <w:p w14:paraId="33913AE1" w14:textId="77777777" w:rsidR="00E87D4B" w:rsidRDefault="00E87D4B" w:rsidP="00D42477">
      <w:pPr>
        <w:pStyle w:val="Title"/>
      </w:pPr>
    </w:p>
    <w:p w14:paraId="089DB0F5" w14:textId="7AA4F5ED" w:rsidR="00E87D4B" w:rsidRDefault="00E87D4B" w:rsidP="008109C6">
      <w:pPr>
        <w:pStyle w:val="Title"/>
        <w:jc w:val="center"/>
      </w:pPr>
      <w:r w:rsidRPr="00E87D4B">
        <w:t>TB-PACTS Hackathon: Guide to Sample Trial Datasets for Analysis and Data Wrangling</w:t>
      </w:r>
    </w:p>
    <w:p w14:paraId="257B6FF3" w14:textId="77777777" w:rsidR="00E87D4B" w:rsidRDefault="00E87D4B" w:rsidP="00D42477">
      <w:pPr>
        <w:rPr>
          <w:rFonts w:asciiTheme="majorHAnsi" w:eastAsiaTheme="majorEastAsia" w:hAnsiTheme="majorHAnsi" w:cstheme="majorBidi"/>
          <w:spacing w:val="-10"/>
          <w:kern w:val="28"/>
          <w:sz w:val="56"/>
          <w:szCs w:val="56"/>
        </w:rPr>
      </w:pPr>
      <w:r>
        <w:br w:type="page"/>
      </w:r>
    </w:p>
    <w:sdt>
      <w:sdtPr>
        <w:rPr>
          <w:rFonts w:ascii="Calibri" w:eastAsiaTheme="minorHAnsi" w:hAnsi="Calibri" w:cs="Calibri"/>
          <w:b w:val="0"/>
          <w:bCs w:val="0"/>
          <w:color w:val="auto"/>
          <w:sz w:val="22"/>
          <w:szCs w:val="22"/>
        </w:rPr>
        <w:id w:val="314612480"/>
        <w:docPartObj>
          <w:docPartGallery w:val="Table of Contents"/>
          <w:docPartUnique/>
        </w:docPartObj>
      </w:sdtPr>
      <w:sdtEndPr>
        <w:rPr>
          <w:noProof/>
        </w:rPr>
      </w:sdtEndPr>
      <w:sdtContent>
        <w:p w14:paraId="4F3EAEBD" w14:textId="12E53B1C" w:rsidR="00E87D4B" w:rsidRDefault="00E87D4B" w:rsidP="00D42477">
          <w:pPr>
            <w:pStyle w:val="TOCHeading"/>
          </w:pPr>
          <w:r>
            <w:t>Table of Contents</w:t>
          </w:r>
        </w:p>
        <w:p w14:paraId="78AE0EFB" w14:textId="672F3156" w:rsidR="00A328F3" w:rsidRDefault="00E87D4B">
          <w:pPr>
            <w:pStyle w:val="TOC2"/>
            <w:tabs>
              <w:tab w:val="left" w:pos="720"/>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6117287" w:history="1">
            <w:r w:rsidR="00A328F3" w:rsidRPr="00513967">
              <w:rPr>
                <w:rStyle w:val="Hyperlink"/>
                <w:noProof/>
              </w:rPr>
              <w:t>1.</w:t>
            </w:r>
            <w:r w:rsidR="00A328F3">
              <w:rPr>
                <w:rFonts w:eastAsiaTheme="minorEastAsia" w:cstheme="minorBidi"/>
                <w:b w:val="0"/>
                <w:bCs w:val="0"/>
                <w:noProof/>
                <w:kern w:val="2"/>
                <w:sz w:val="24"/>
                <w:szCs w:val="24"/>
                <w14:ligatures w14:val="standardContextual"/>
              </w:rPr>
              <w:tab/>
            </w:r>
            <w:r w:rsidR="00A328F3" w:rsidRPr="00513967">
              <w:rPr>
                <w:rStyle w:val="Hyperlink"/>
                <w:noProof/>
              </w:rPr>
              <w:t>Overview of example dataset pack</w:t>
            </w:r>
            <w:r w:rsidR="00A328F3">
              <w:rPr>
                <w:noProof/>
                <w:webHidden/>
              </w:rPr>
              <w:tab/>
            </w:r>
            <w:r w:rsidR="00A328F3">
              <w:rPr>
                <w:noProof/>
                <w:webHidden/>
              </w:rPr>
              <w:fldChar w:fldCharType="begin"/>
            </w:r>
            <w:r w:rsidR="00A328F3">
              <w:rPr>
                <w:noProof/>
                <w:webHidden/>
              </w:rPr>
              <w:instrText xml:space="preserve"> PAGEREF _Toc216117287 \h </w:instrText>
            </w:r>
            <w:r w:rsidR="00A328F3">
              <w:rPr>
                <w:noProof/>
                <w:webHidden/>
              </w:rPr>
            </w:r>
            <w:r w:rsidR="00A328F3">
              <w:rPr>
                <w:noProof/>
                <w:webHidden/>
              </w:rPr>
              <w:fldChar w:fldCharType="separate"/>
            </w:r>
            <w:r w:rsidR="00A328F3">
              <w:rPr>
                <w:noProof/>
                <w:webHidden/>
              </w:rPr>
              <w:t>3</w:t>
            </w:r>
            <w:r w:rsidR="00A328F3">
              <w:rPr>
                <w:noProof/>
                <w:webHidden/>
              </w:rPr>
              <w:fldChar w:fldCharType="end"/>
            </w:r>
          </w:hyperlink>
        </w:p>
        <w:p w14:paraId="4881A54D" w14:textId="3474E278" w:rsidR="00A328F3" w:rsidRDefault="00A328F3">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16117288" w:history="1">
            <w:r w:rsidRPr="00513967">
              <w:rPr>
                <w:rStyle w:val="Hyperlink"/>
                <w:noProof/>
              </w:rPr>
              <w:t>2.</w:t>
            </w:r>
            <w:r>
              <w:rPr>
                <w:rFonts w:eastAsiaTheme="minorEastAsia" w:cstheme="minorBidi"/>
                <w:b w:val="0"/>
                <w:bCs w:val="0"/>
                <w:noProof/>
                <w:kern w:val="2"/>
                <w:sz w:val="24"/>
                <w:szCs w:val="24"/>
                <w14:ligatures w14:val="standardContextual"/>
              </w:rPr>
              <w:tab/>
            </w:r>
            <w:r w:rsidRPr="00513967">
              <w:rPr>
                <w:rStyle w:val="Hyperlink"/>
                <w:noProof/>
              </w:rPr>
              <w:t>Sheet Descriptions</w:t>
            </w:r>
            <w:r>
              <w:rPr>
                <w:noProof/>
                <w:webHidden/>
              </w:rPr>
              <w:tab/>
            </w:r>
            <w:r>
              <w:rPr>
                <w:noProof/>
                <w:webHidden/>
              </w:rPr>
              <w:fldChar w:fldCharType="begin"/>
            </w:r>
            <w:r>
              <w:rPr>
                <w:noProof/>
                <w:webHidden/>
              </w:rPr>
              <w:instrText xml:space="preserve"> PAGEREF _Toc216117288 \h </w:instrText>
            </w:r>
            <w:r>
              <w:rPr>
                <w:noProof/>
                <w:webHidden/>
              </w:rPr>
            </w:r>
            <w:r>
              <w:rPr>
                <w:noProof/>
                <w:webHidden/>
              </w:rPr>
              <w:fldChar w:fldCharType="separate"/>
            </w:r>
            <w:r>
              <w:rPr>
                <w:noProof/>
                <w:webHidden/>
              </w:rPr>
              <w:t>3</w:t>
            </w:r>
            <w:r>
              <w:rPr>
                <w:noProof/>
                <w:webHidden/>
              </w:rPr>
              <w:fldChar w:fldCharType="end"/>
            </w:r>
          </w:hyperlink>
        </w:p>
        <w:p w14:paraId="30AF4707" w14:textId="1E582BFC" w:rsidR="00A328F3" w:rsidRDefault="00A328F3">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16117289" w:history="1">
            <w:r w:rsidRPr="00513967">
              <w:rPr>
                <w:rStyle w:val="Hyperlink"/>
                <w:noProof/>
              </w:rPr>
              <w:t>3.</w:t>
            </w:r>
            <w:r>
              <w:rPr>
                <w:rFonts w:eastAsiaTheme="minorEastAsia" w:cstheme="minorBidi"/>
                <w:b w:val="0"/>
                <w:bCs w:val="0"/>
                <w:noProof/>
                <w:kern w:val="2"/>
                <w:sz w:val="24"/>
                <w:szCs w:val="24"/>
                <w14:ligatures w14:val="standardContextual"/>
              </w:rPr>
              <w:tab/>
            </w:r>
            <w:r w:rsidRPr="00513967">
              <w:rPr>
                <w:rStyle w:val="Hyperlink"/>
                <w:noProof/>
              </w:rPr>
              <w:t>Variable Descriptions</w:t>
            </w:r>
            <w:r>
              <w:rPr>
                <w:noProof/>
                <w:webHidden/>
              </w:rPr>
              <w:tab/>
            </w:r>
            <w:r>
              <w:rPr>
                <w:noProof/>
                <w:webHidden/>
              </w:rPr>
              <w:fldChar w:fldCharType="begin"/>
            </w:r>
            <w:r>
              <w:rPr>
                <w:noProof/>
                <w:webHidden/>
              </w:rPr>
              <w:instrText xml:space="preserve"> PAGEREF _Toc216117289 \h </w:instrText>
            </w:r>
            <w:r>
              <w:rPr>
                <w:noProof/>
                <w:webHidden/>
              </w:rPr>
            </w:r>
            <w:r>
              <w:rPr>
                <w:noProof/>
                <w:webHidden/>
              </w:rPr>
              <w:fldChar w:fldCharType="separate"/>
            </w:r>
            <w:r>
              <w:rPr>
                <w:noProof/>
                <w:webHidden/>
              </w:rPr>
              <w:t>5</w:t>
            </w:r>
            <w:r>
              <w:rPr>
                <w:noProof/>
                <w:webHidden/>
              </w:rPr>
              <w:fldChar w:fldCharType="end"/>
            </w:r>
          </w:hyperlink>
        </w:p>
        <w:p w14:paraId="4F449908" w14:textId="7E1C1DC7" w:rsidR="00A328F3" w:rsidRDefault="00A328F3">
          <w:pPr>
            <w:pStyle w:val="TOC2"/>
            <w:tabs>
              <w:tab w:val="left" w:pos="720"/>
              <w:tab w:val="right" w:leader="dot" w:pos="9350"/>
            </w:tabs>
            <w:rPr>
              <w:rFonts w:eastAsiaTheme="minorEastAsia" w:cstheme="minorBidi"/>
              <w:b w:val="0"/>
              <w:bCs w:val="0"/>
              <w:noProof/>
              <w:kern w:val="2"/>
              <w:sz w:val="24"/>
              <w:szCs w:val="24"/>
              <w14:ligatures w14:val="standardContextual"/>
            </w:rPr>
          </w:pPr>
          <w:hyperlink w:anchor="_Toc216117290" w:history="1">
            <w:r w:rsidRPr="00513967">
              <w:rPr>
                <w:rStyle w:val="Hyperlink"/>
                <w:noProof/>
              </w:rPr>
              <w:t>4.</w:t>
            </w:r>
            <w:r>
              <w:rPr>
                <w:rFonts w:eastAsiaTheme="minorEastAsia" w:cstheme="minorBidi"/>
                <w:b w:val="0"/>
                <w:bCs w:val="0"/>
                <w:noProof/>
                <w:kern w:val="2"/>
                <w:sz w:val="24"/>
                <w:szCs w:val="24"/>
                <w14:ligatures w14:val="standardContextual"/>
              </w:rPr>
              <w:tab/>
            </w:r>
            <w:r w:rsidRPr="00513967">
              <w:rPr>
                <w:rStyle w:val="Hyperlink"/>
                <w:noProof/>
              </w:rPr>
              <w:t>Suggested Output</w:t>
            </w:r>
            <w:r>
              <w:rPr>
                <w:noProof/>
                <w:webHidden/>
              </w:rPr>
              <w:tab/>
            </w:r>
            <w:r>
              <w:rPr>
                <w:noProof/>
                <w:webHidden/>
              </w:rPr>
              <w:fldChar w:fldCharType="begin"/>
            </w:r>
            <w:r>
              <w:rPr>
                <w:noProof/>
                <w:webHidden/>
              </w:rPr>
              <w:instrText xml:space="preserve"> PAGEREF _Toc216117290 \h </w:instrText>
            </w:r>
            <w:r>
              <w:rPr>
                <w:noProof/>
                <w:webHidden/>
              </w:rPr>
            </w:r>
            <w:r>
              <w:rPr>
                <w:noProof/>
                <w:webHidden/>
              </w:rPr>
              <w:fldChar w:fldCharType="separate"/>
            </w:r>
            <w:r>
              <w:rPr>
                <w:noProof/>
                <w:webHidden/>
              </w:rPr>
              <w:t>9</w:t>
            </w:r>
            <w:r>
              <w:rPr>
                <w:noProof/>
                <w:webHidden/>
              </w:rPr>
              <w:fldChar w:fldCharType="end"/>
            </w:r>
          </w:hyperlink>
        </w:p>
        <w:p w14:paraId="32C27409" w14:textId="15AF984F" w:rsidR="00E87D4B" w:rsidRDefault="00E87D4B" w:rsidP="00D42477">
          <w:r>
            <w:rPr>
              <w:noProof/>
            </w:rPr>
            <w:fldChar w:fldCharType="end"/>
          </w:r>
        </w:p>
      </w:sdtContent>
    </w:sdt>
    <w:p w14:paraId="453418B7" w14:textId="77777777" w:rsidR="00E87D4B" w:rsidRPr="00E87D4B" w:rsidRDefault="00E87D4B" w:rsidP="00D42477">
      <w:pPr>
        <w:pStyle w:val="Title"/>
      </w:pPr>
    </w:p>
    <w:p w14:paraId="01D0AC59" w14:textId="6F8A6C73" w:rsidR="00E87D4B" w:rsidRDefault="00E87D4B" w:rsidP="00D42477">
      <w:pPr>
        <w:rPr>
          <w:rFonts w:asciiTheme="majorHAnsi" w:eastAsiaTheme="majorEastAsia" w:hAnsiTheme="majorHAnsi" w:cstheme="majorBidi"/>
          <w:spacing w:val="-10"/>
          <w:kern w:val="28"/>
          <w:sz w:val="56"/>
          <w:szCs w:val="56"/>
        </w:rPr>
      </w:pPr>
      <w:r>
        <w:br w:type="page"/>
      </w:r>
    </w:p>
    <w:p w14:paraId="6BF9AE51" w14:textId="7C7480D9" w:rsidR="00E87D4B" w:rsidRDefault="00E87D4B" w:rsidP="00D42477">
      <w:pPr>
        <w:pStyle w:val="Heading2"/>
        <w:numPr>
          <w:ilvl w:val="0"/>
          <w:numId w:val="3"/>
        </w:numPr>
      </w:pPr>
      <w:bookmarkStart w:id="0" w:name="_Toc216117287"/>
      <w:r>
        <w:lastRenderedPageBreak/>
        <w:t>Overview of example dataset pack</w:t>
      </w:r>
      <w:bookmarkEnd w:id="0"/>
    </w:p>
    <w:p w14:paraId="1ADA5E84" w14:textId="4F2A9C0A" w:rsidR="00B43FB5" w:rsidRDefault="00D42477" w:rsidP="00775C04">
      <w:pPr>
        <w:pStyle w:val="NoSpacing"/>
        <w:ind w:firstLine="0"/>
      </w:pPr>
      <w:r>
        <w:t xml:space="preserve">Clinical trial databases are comprehensive records of data recorded during the trial itself. Although all variables collected have a purpose, many analyses can be conducted with a core set of variables. The purpose of `TB Pacts Hackathon </w:t>
      </w:r>
      <w:r w:rsidRPr="00D42477">
        <w:t>Dataset Example.xlsx</w:t>
      </w:r>
      <w:r>
        <w:t>, '</w:t>
      </w:r>
      <w:r w:rsidRPr="00D42477">
        <w:t xml:space="preserve"> along with this document, is to provide an overview of some useful core datasets, the variables contained within these datasets, and the types of analyses that can be completed with these datasets.</w:t>
      </w:r>
      <w:r>
        <w:t xml:space="preserve"> These datasets can be considered mostly “analysis-ready” and can be used for a variety of tasks, from constructing tables and figures to constructing models. In some cases, these datasets need to be </w:t>
      </w:r>
      <w:r w:rsidR="00B43FB5">
        <w:t>combined</w:t>
      </w:r>
      <w:r>
        <w:t xml:space="preserve"> to identify trial populations, construct event windows, or </w:t>
      </w:r>
      <w:r w:rsidR="00B43FB5">
        <w:t xml:space="preserve">incorporate covariates for models. The Excel file is organized into 7 sheets, each representing a distinct exemplar. Each sheet </w:t>
      </w:r>
      <w:r w:rsidR="00775C04">
        <w:t xml:space="preserve">in this document </w:t>
      </w:r>
      <w:r w:rsidR="00B43FB5">
        <w:t>has a separate chapter, covering the purpose of the dataset, a general sense of how this variable is used, and the types of analyses that might be undertaken with this dataset or in conjunction with other datasets.</w:t>
      </w:r>
    </w:p>
    <w:p w14:paraId="070FA8B4" w14:textId="77777777" w:rsidR="00B43FB5" w:rsidRDefault="00B43FB5" w:rsidP="00B43FB5">
      <w:pPr>
        <w:pStyle w:val="NoSpacing"/>
      </w:pPr>
    </w:p>
    <w:p w14:paraId="7AD86A22" w14:textId="77777777" w:rsidR="00B43FB5" w:rsidRDefault="00B43FB5" w:rsidP="00B43FB5">
      <w:pPr>
        <w:pStyle w:val="NoSpacing"/>
        <w:keepNext/>
      </w:pPr>
      <w:r w:rsidRPr="00B43FB5">
        <w:rPr>
          <w:noProof/>
        </w:rPr>
        <w:drawing>
          <wp:inline distT="0" distB="0" distL="0" distR="0" wp14:anchorId="58080B9D" wp14:editId="768BE170">
            <wp:extent cx="5943600" cy="1018540"/>
            <wp:effectExtent l="0" t="0" r="0" b="0"/>
            <wp:docPr id="63527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6490" name=""/>
                    <pic:cNvPicPr/>
                  </pic:nvPicPr>
                  <pic:blipFill>
                    <a:blip r:embed="rId5"/>
                    <a:stretch>
                      <a:fillRect/>
                    </a:stretch>
                  </pic:blipFill>
                  <pic:spPr>
                    <a:xfrm>
                      <a:off x="0" y="0"/>
                      <a:ext cx="5943600" cy="1018540"/>
                    </a:xfrm>
                    <a:prstGeom prst="rect">
                      <a:avLst/>
                    </a:prstGeom>
                  </pic:spPr>
                </pic:pic>
              </a:graphicData>
            </a:graphic>
          </wp:inline>
        </w:drawing>
      </w:r>
    </w:p>
    <w:p w14:paraId="7358ED96" w14:textId="4622EB27" w:rsidR="00B43FB5" w:rsidRDefault="00B43FB5" w:rsidP="00B43FB5">
      <w:pPr>
        <w:pStyle w:val="Caption"/>
      </w:pPr>
      <w:r>
        <w:t xml:space="preserve">Figure </w:t>
      </w:r>
      <w:r>
        <w:fldChar w:fldCharType="begin"/>
      </w:r>
      <w:r>
        <w:instrText xml:space="preserve"> SEQ Figure \* ARABIC </w:instrText>
      </w:r>
      <w:r>
        <w:fldChar w:fldCharType="separate"/>
      </w:r>
      <w:r>
        <w:rPr>
          <w:noProof/>
        </w:rPr>
        <w:t>1</w:t>
      </w:r>
      <w:r>
        <w:fldChar w:fldCharType="end"/>
      </w:r>
      <w:r>
        <w:t>: Example screenshot of a sheet in the Excel file</w:t>
      </w:r>
    </w:p>
    <w:p w14:paraId="04ACB64D" w14:textId="77777777" w:rsidR="00B43FB5" w:rsidRDefault="00B43FB5" w:rsidP="00B43FB5">
      <w:pPr>
        <w:pStyle w:val="NoSpacing"/>
      </w:pPr>
    </w:p>
    <w:p w14:paraId="2FACFBA2" w14:textId="36B4464D" w:rsidR="00775C04" w:rsidRDefault="00B43FB5" w:rsidP="007F11AE">
      <w:pPr>
        <w:pStyle w:val="NoSpacing"/>
        <w:ind w:firstLine="0"/>
      </w:pPr>
      <w:r>
        <w:t xml:space="preserve">A couple of general notes about the sheets in general. The sheet contains a sample of </w:t>
      </w:r>
      <w:r w:rsidR="00AC66D4">
        <w:t>common var</w:t>
      </w:r>
      <w:r w:rsidR="00AD30A1">
        <w:t>ia</w:t>
      </w:r>
      <w:r w:rsidR="00AC66D4">
        <w:t xml:space="preserve">bles per dataset. </w:t>
      </w:r>
      <w:r w:rsidR="00775C04">
        <w:t>These values represent the typical types and ranges of values for that variable but are not actual data. The sheets themselves are usually not what you might expect from raw trial data; many must be either derived, manipulated, or formatted. Think of these as final “target” datasets that are ready or near ready for use in analyses.</w:t>
      </w:r>
      <w:r w:rsidR="007F11AE">
        <w:t xml:space="preserve"> None of these datasets is complete on </w:t>
      </w:r>
      <w:r w:rsidR="006067EA">
        <w:t>their</w:t>
      </w:r>
      <w:r w:rsidR="007F11AE">
        <w:t xml:space="preserve"> own, so producing </w:t>
      </w:r>
      <w:r w:rsidR="006067EA">
        <w:t xml:space="preserve">output </w:t>
      </w:r>
      <w:r w:rsidR="007F11AE">
        <w:t xml:space="preserve">based on these datasets is not recommended. However, it may be helpful to use them to create “shell” tables that can then be applied to real analyses. </w:t>
      </w:r>
      <w:r w:rsidR="00775C04">
        <w:t>One goal of the hackathon will be to t</w:t>
      </w:r>
      <w:r w:rsidR="007F11AE">
        <w:t>ransform</w:t>
      </w:r>
      <w:r w:rsidR="00775C04">
        <w:t xml:space="preserve"> these raw trial data </w:t>
      </w:r>
      <w:r w:rsidR="007F11AE">
        <w:t>into datasets</w:t>
      </w:r>
      <w:r w:rsidR="00775C04">
        <w:t xml:space="preserve"> as close to the</w:t>
      </w:r>
      <w:r w:rsidR="007F11AE">
        <w:t xml:space="preserve"> original</w:t>
      </w:r>
      <w:r w:rsidR="00775C04">
        <w:t xml:space="preserve"> as possible. </w:t>
      </w:r>
    </w:p>
    <w:p w14:paraId="0B0CEEC8" w14:textId="77777777" w:rsidR="00775C04" w:rsidRDefault="00775C04" w:rsidP="00775C04">
      <w:pPr>
        <w:pStyle w:val="NoSpacing"/>
        <w:ind w:firstLine="0"/>
      </w:pPr>
    </w:p>
    <w:p w14:paraId="1A8F9D2C" w14:textId="563ED835" w:rsidR="00775C04" w:rsidRDefault="00775C04" w:rsidP="00775C04">
      <w:pPr>
        <w:pStyle w:val="NoSpacing"/>
        <w:ind w:firstLine="0"/>
      </w:pPr>
      <w:r>
        <w:t xml:space="preserve">Finally, these sheets are not all encompassing, either in totality or even within a single variable itself. Differences in how individual trials are conducted may result in some data being missing, present, or having different levels. There is a huge variation in how trial data is recorded and outputted. We have selected a few trials that produce similar output to these as a good starting point for the day, but even these trials may not have a 1-1 correspondence to the output you see here. </w:t>
      </w:r>
    </w:p>
    <w:p w14:paraId="41548529" w14:textId="77777777" w:rsidR="00A41CF6" w:rsidRDefault="00A41CF6" w:rsidP="00775C04">
      <w:pPr>
        <w:pStyle w:val="NoSpacing"/>
        <w:ind w:firstLine="0"/>
      </w:pPr>
    </w:p>
    <w:p w14:paraId="145740C2" w14:textId="58E44511" w:rsidR="00A41CF6" w:rsidRDefault="00A41CF6" w:rsidP="00A41CF6">
      <w:pPr>
        <w:pStyle w:val="Heading2"/>
        <w:numPr>
          <w:ilvl w:val="0"/>
          <w:numId w:val="3"/>
        </w:numPr>
      </w:pPr>
      <w:bookmarkStart w:id="1" w:name="_Toc216117288"/>
      <w:r>
        <w:t>Sheet Descriptions</w:t>
      </w:r>
      <w:bookmarkEnd w:id="1"/>
    </w:p>
    <w:p w14:paraId="06FA3A5C" w14:textId="185C2B24" w:rsidR="00A41CF6" w:rsidRDefault="00A41CF6" w:rsidP="00A41CF6">
      <w:pPr>
        <w:ind w:firstLine="0"/>
      </w:pPr>
      <w:r>
        <w:t xml:space="preserve">Each sheet, as noted above, represents a prototypical dataset needed to produce analyses, tables, figures, or other output summarizing the results of a trial. A brief description of each dataset follows; individual variables within the datasets are contained in section 3. Suggestions for the type of outputs that might be possible from each dataset </w:t>
      </w:r>
      <w:r w:rsidR="0017663E">
        <w:t>are</w:t>
      </w:r>
      <w:r>
        <w:t xml:space="preserve"> contained in </w:t>
      </w:r>
      <w:r w:rsidR="0017663E">
        <w:t>S</w:t>
      </w:r>
      <w:r>
        <w:t>ection 4.</w:t>
      </w:r>
    </w:p>
    <w:tbl>
      <w:tblPr>
        <w:tblStyle w:val="TableGrid"/>
        <w:tblW w:w="9553" w:type="dxa"/>
        <w:tblInd w:w="72" w:type="dxa"/>
        <w:tblLook w:val="04A0" w:firstRow="1" w:lastRow="0" w:firstColumn="1" w:lastColumn="0" w:noHBand="0" w:noVBand="1"/>
      </w:tblPr>
      <w:tblGrid>
        <w:gridCol w:w="3093"/>
        <w:gridCol w:w="6460"/>
      </w:tblGrid>
      <w:tr w:rsidR="00A41CF6" w14:paraId="44A3151D" w14:textId="77777777" w:rsidTr="00A41CF6">
        <w:tc>
          <w:tcPr>
            <w:tcW w:w="3093" w:type="dxa"/>
            <w:shd w:val="clear" w:color="auto" w:fill="83CAEB" w:themeFill="accent1" w:themeFillTint="66"/>
          </w:tcPr>
          <w:p w14:paraId="4D8F6E3E" w14:textId="12DCE9C0" w:rsidR="00A41CF6" w:rsidRPr="00A41CF6" w:rsidRDefault="00A41CF6" w:rsidP="00A41CF6">
            <w:pPr>
              <w:ind w:left="0" w:firstLine="0"/>
              <w:jc w:val="center"/>
              <w:rPr>
                <w:color w:val="0D0D0D" w:themeColor="text1" w:themeTint="F2"/>
                <w:sz w:val="28"/>
                <w:szCs w:val="28"/>
              </w:rPr>
            </w:pPr>
            <w:r w:rsidRPr="00A41CF6">
              <w:rPr>
                <w:color w:val="0D0D0D" w:themeColor="text1" w:themeTint="F2"/>
                <w:sz w:val="28"/>
                <w:szCs w:val="28"/>
              </w:rPr>
              <w:t>Dataset Name</w:t>
            </w:r>
          </w:p>
        </w:tc>
        <w:tc>
          <w:tcPr>
            <w:tcW w:w="6460" w:type="dxa"/>
            <w:shd w:val="clear" w:color="auto" w:fill="83CAEB" w:themeFill="accent1" w:themeFillTint="66"/>
          </w:tcPr>
          <w:p w14:paraId="12851A37" w14:textId="10E54AD0" w:rsidR="00A41CF6" w:rsidRPr="00A41CF6" w:rsidRDefault="00A41CF6" w:rsidP="00A41CF6">
            <w:pPr>
              <w:ind w:left="0" w:firstLine="0"/>
              <w:jc w:val="center"/>
              <w:rPr>
                <w:color w:val="0D0D0D" w:themeColor="text1" w:themeTint="F2"/>
                <w:sz w:val="28"/>
                <w:szCs w:val="28"/>
              </w:rPr>
            </w:pPr>
            <w:r w:rsidRPr="00A41CF6">
              <w:rPr>
                <w:color w:val="0D0D0D" w:themeColor="text1" w:themeTint="F2"/>
                <w:sz w:val="28"/>
                <w:szCs w:val="28"/>
              </w:rPr>
              <w:t>Description of Dataset</w:t>
            </w:r>
          </w:p>
        </w:tc>
      </w:tr>
      <w:tr w:rsidR="00A41CF6" w14:paraId="7865AB04" w14:textId="77777777" w:rsidTr="00A41CF6">
        <w:tc>
          <w:tcPr>
            <w:tcW w:w="3093" w:type="dxa"/>
          </w:tcPr>
          <w:p w14:paraId="3F6DC703" w14:textId="0779C3BF" w:rsidR="00A41CF6" w:rsidRDefault="00A41CF6" w:rsidP="00A41CF6">
            <w:pPr>
              <w:ind w:left="0" w:firstLine="0"/>
            </w:pPr>
            <w:proofErr w:type="spellStart"/>
            <w:r>
              <w:lastRenderedPageBreak/>
              <w:t>study_populations</w:t>
            </w:r>
            <w:proofErr w:type="spellEnd"/>
          </w:p>
        </w:tc>
        <w:tc>
          <w:tcPr>
            <w:tcW w:w="6460" w:type="dxa"/>
          </w:tcPr>
          <w:p w14:paraId="0B1637B3" w14:textId="437C39D6" w:rsidR="004645BB" w:rsidRPr="004645BB" w:rsidRDefault="004645BB" w:rsidP="004645BB">
            <w:pPr>
              <w:ind w:left="0" w:firstLine="0"/>
            </w:pPr>
            <w:r w:rsidRPr="004645BB">
              <w:t xml:space="preserve">This dataset contains </w:t>
            </w:r>
            <w:r>
              <w:t xml:space="preserve">an example of </w:t>
            </w:r>
            <w:r w:rsidRPr="004645BB">
              <w:t>logical variables indicating membership in key trial analysis populations, such as the ITT (intent-to-treat) and PP (per-protocol) populations. While this dataset is not especially informative on its own, these population flags are essential derivations and are used in almost all downstream analyses, since they determine which participants are included for which endpoints.</w:t>
            </w:r>
          </w:p>
          <w:p w14:paraId="717890E2" w14:textId="4E0B6F0B" w:rsidR="00A41CF6" w:rsidRDefault="004645BB" w:rsidP="00A41CF6">
            <w:pPr>
              <w:ind w:left="0" w:firstLine="0"/>
            </w:pPr>
            <w:r w:rsidRPr="004645BB">
              <w:t>Deriving these populations can be challenging in a hackathon setting, as the definitions typically require detailed knowledge of the trial protocol and statistical analysis plan. However, it is entirely possible for participants to define their own populations based on the available variables if they wish to explore this aspect of trial data processing.</w:t>
            </w:r>
            <w:r>
              <w:t xml:space="preserve"> You may also use all participants with data for today, recognizing that this would be more of an exploratory analysis if done in this fashion.</w:t>
            </w:r>
          </w:p>
        </w:tc>
      </w:tr>
      <w:tr w:rsidR="00A41CF6" w14:paraId="21158FD7" w14:textId="77777777" w:rsidTr="00A41CF6">
        <w:tc>
          <w:tcPr>
            <w:tcW w:w="3093" w:type="dxa"/>
          </w:tcPr>
          <w:p w14:paraId="6F5EB030" w14:textId="7CA7D981" w:rsidR="00A41CF6" w:rsidRDefault="00A41CF6" w:rsidP="00A41CF6">
            <w:pPr>
              <w:ind w:left="0" w:firstLine="0"/>
            </w:pPr>
            <w:proofErr w:type="spellStart"/>
            <w:r>
              <w:t>visit_windows</w:t>
            </w:r>
            <w:proofErr w:type="spellEnd"/>
          </w:p>
        </w:tc>
        <w:tc>
          <w:tcPr>
            <w:tcW w:w="6460" w:type="dxa"/>
          </w:tcPr>
          <w:p w14:paraId="7E3D46EC" w14:textId="55F1DFBB" w:rsidR="00A41CF6" w:rsidRDefault="008109C6" w:rsidP="00A41CF6">
            <w:pPr>
              <w:ind w:left="0" w:firstLine="0"/>
            </w:pPr>
            <w:r>
              <w:t xml:space="preserve">The </w:t>
            </w:r>
            <w:proofErr w:type="spellStart"/>
            <w:r>
              <w:t>visit_windows</w:t>
            </w:r>
            <w:proofErr w:type="spellEnd"/>
            <w:r>
              <w:t xml:space="preserve"> dataset reconciles the dates of participants in the trial based on the official schedule of events. While this dataset is not usually front and center, it helps with assigning output values to visits, especially in the case of multiple visits. It also helps check for lost to follow up (LTFU) and </w:t>
            </w:r>
            <w:r w:rsidR="006067EA">
              <w:t>attendance and</w:t>
            </w:r>
            <w:r>
              <w:t xml:space="preserve"> may help check adherence to study drug.</w:t>
            </w:r>
          </w:p>
          <w:p w14:paraId="1E9A0552" w14:textId="5563E316" w:rsidR="008109C6" w:rsidRDefault="008109C6" w:rsidP="00A41CF6">
            <w:pPr>
              <w:ind w:left="0" w:firstLine="0"/>
            </w:pPr>
            <w:r>
              <w:t>The example dataset shows how this dataset might look for a few participants against a hypothetical baseline, week 4, and week 8 visit, along with some unscheduled visits.</w:t>
            </w:r>
            <w:r w:rsidR="006067EA">
              <w:t xml:space="preserve"> Under normal circumstances, there would be more visits. </w:t>
            </w:r>
          </w:p>
        </w:tc>
      </w:tr>
      <w:tr w:rsidR="00A41CF6" w14:paraId="1A2C19C9" w14:textId="77777777" w:rsidTr="00A41CF6">
        <w:tc>
          <w:tcPr>
            <w:tcW w:w="3093" w:type="dxa"/>
          </w:tcPr>
          <w:p w14:paraId="533C010C" w14:textId="72411F45" w:rsidR="00A41CF6" w:rsidRDefault="006067EA" w:rsidP="00A41CF6">
            <w:pPr>
              <w:ind w:left="0" w:firstLine="0"/>
            </w:pPr>
            <w:r>
              <w:t>demographics</w:t>
            </w:r>
          </w:p>
        </w:tc>
        <w:tc>
          <w:tcPr>
            <w:tcW w:w="6460" w:type="dxa"/>
          </w:tcPr>
          <w:p w14:paraId="40011050" w14:textId="35F71460" w:rsidR="00A41CF6" w:rsidRDefault="006067EA" w:rsidP="00A41CF6">
            <w:pPr>
              <w:ind w:left="0" w:firstLine="0"/>
            </w:pPr>
            <w:r>
              <w:t xml:space="preserve">The demographics dataset contains variables normally associated with a “Table 1” output or a description of the study population. It contains several classical variables such as age, sex, race, height, weight, ethnicity as well as other variables of interest in tuberculosis trials specifically. For more information on the variables, consult section 3. Race and ethnicity  </w:t>
            </w:r>
            <w:r>
              <w:br/>
            </w:r>
            <w:r>
              <w:br/>
              <w:t xml:space="preserve">Note: the sex variable in this dataset is shorthand for biological sex. </w:t>
            </w:r>
          </w:p>
        </w:tc>
      </w:tr>
      <w:tr w:rsidR="00A41CF6" w14:paraId="2F342342" w14:textId="77777777" w:rsidTr="00A41CF6">
        <w:tc>
          <w:tcPr>
            <w:tcW w:w="3093" w:type="dxa"/>
          </w:tcPr>
          <w:p w14:paraId="28E5F715" w14:textId="3952513B" w:rsidR="00A41CF6" w:rsidRDefault="002E3334" w:rsidP="00A41CF6">
            <w:pPr>
              <w:ind w:left="0" w:firstLine="0"/>
            </w:pPr>
            <w:proofErr w:type="spellStart"/>
            <w:r>
              <w:t>efficacy_ttp</w:t>
            </w:r>
            <w:proofErr w:type="spellEnd"/>
          </w:p>
        </w:tc>
        <w:tc>
          <w:tcPr>
            <w:tcW w:w="6460" w:type="dxa"/>
          </w:tcPr>
          <w:p w14:paraId="1944A9E9" w14:textId="165DAD47" w:rsidR="00A41CF6" w:rsidRDefault="002E3334" w:rsidP="00A41CF6">
            <w:pPr>
              <w:ind w:left="0" w:firstLine="0"/>
            </w:pPr>
            <w:r>
              <w:t xml:space="preserve">The </w:t>
            </w:r>
            <w:proofErr w:type="spellStart"/>
            <w:r>
              <w:t>efficacy_ttp</w:t>
            </w:r>
            <w:proofErr w:type="spellEnd"/>
            <w:r>
              <w:t xml:space="preserve"> dataset has example measurements associated with time-to-positivity, a common method used to measure bacterial load among tuberculosis </w:t>
            </w:r>
            <w:proofErr w:type="gramStart"/>
            <w:r>
              <w:t>research</w:t>
            </w:r>
            <w:proofErr w:type="gramEnd"/>
            <w:r>
              <w:t xml:space="preserve">. These data are in long format, with 1 row representing 1 participant and visit combination.  </w:t>
            </w:r>
          </w:p>
        </w:tc>
      </w:tr>
      <w:tr w:rsidR="002E3334" w14:paraId="031F4DE8" w14:textId="77777777" w:rsidTr="00A41CF6">
        <w:tc>
          <w:tcPr>
            <w:tcW w:w="3093" w:type="dxa"/>
          </w:tcPr>
          <w:p w14:paraId="6635C816" w14:textId="3D8AA5D6" w:rsidR="002E3334" w:rsidRDefault="002E3334" w:rsidP="00A41CF6">
            <w:pPr>
              <w:ind w:left="0" w:firstLine="0"/>
            </w:pPr>
            <w:proofErr w:type="spellStart"/>
            <w:r>
              <w:t>efficacy_ttcc</w:t>
            </w:r>
            <w:proofErr w:type="spellEnd"/>
          </w:p>
        </w:tc>
        <w:tc>
          <w:tcPr>
            <w:tcW w:w="6460" w:type="dxa"/>
          </w:tcPr>
          <w:p w14:paraId="3849D28D" w14:textId="78C1CEA5" w:rsidR="002E3334" w:rsidRDefault="002E3334" w:rsidP="00A41CF6">
            <w:pPr>
              <w:ind w:left="0" w:firstLine="0"/>
            </w:pPr>
            <w:r>
              <w:t xml:space="preserve">The </w:t>
            </w:r>
            <w:proofErr w:type="spellStart"/>
            <w:r>
              <w:t>efficacy_ttcc</w:t>
            </w:r>
            <w:proofErr w:type="spellEnd"/>
            <w:r>
              <w:t xml:space="preserve"> dataset shows the layout of a dataset that calculates time to culture conversion (TTCC), a measurement of </w:t>
            </w:r>
            <w:r w:rsidR="00807E58">
              <w:t xml:space="preserve">sustained </w:t>
            </w:r>
            <w:r>
              <w:t xml:space="preserve">cure. The derivation of time-to-culture-conversion varies, </w:t>
            </w:r>
            <w:r>
              <w:lastRenderedPageBreak/>
              <w:t>but usually involves some indication of cure using TTP, with a cure date being marked as the variable t.</w:t>
            </w:r>
            <w:r w:rsidR="00807E58">
              <w:t xml:space="preserve"> </w:t>
            </w:r>
          </w:p>
        </w:tc>
      </w:tr>
      <w:tr w:rsidR="00807E58" w14:paraId="6D96FB82" w14:textId="77777777" w:rsidTr="00A41CF6">
        <w:tc>
          <w:tcPr>
            <w:tcW w:w="3093" w:type="dxa"/>
          </w:tcPr>
          <w:p w14:paraId="262BE875" w14:textId="67B2D3CA" w:rsidR="00807E58" w:rsidRDefault="00807E58" w:rsidP="00A41CF6">
            <w:pPr>
              <w:ind w:left="0" w:firstLine="0"/>
            </w:pPr>
            <w:proofErr w:type="spellStart"/>
            <w:r>
              <w:t>safety_adverse_events</w:t>
            </w:r>
            <w:proofErr w:type="spellEnd"/>
          </w:p>
        </w:tc>
        <w:tc>
          <w:tcPr>
            <w:tcW w:w="6460" w:type="dxa"/>
          </w:tcPr>
          <w:p w14:paraId="7D8189F8" w14:textId="0DFFEE9F" w:rsidR="00807E58" w:rsidRDefault="00807E58" w:rsidP="00A41CF6">
            <w:pPr>
              <w:ind w:left="0" w:firstLine="0"/>
            </w:pPr>
            <w:r>
              <w:t xml:space="preserve">The </w:t>
            </w:r>
            <w:proofErr w:type="spellStart"/>
            <w:r>
              <w:t>safety_adverse_events</w:t>
            </w:r>
            <w:proofErr w:type="spellEnd"/>
            <w:r>
              <w:t xml:space="preserve"> data frame is a cleaned version that shows an example of important data needed for outputs that include adverse events, or negative safety events that happen to the participant, as measurement of safety. Although the recording of which adverse events, under what conditions, and even naming and grading of adverse events can vary by trial, all trials analyses will include information about adverse events.</w:t>
            </w:r>
          </w:p>
        </w:tc>
      </w:tr>
      <w:tr w:rsidR="00807E58" w14:paraId="0ACA3E86" w14:textId="77777777" w:rsidTr="00A41CF6">
        <w:tc>
          <w:tcPr>
            <w:tcW w:w="3093" w:type="dxa"/>
          </w:tcPr>
          <w:p w14:paraId="67D1C90F" w14:textId="42FAAE39" w:rsidR="00807E58" w:rsidRDefault="00807E58" w:rsidP="00A41CF6">
            <w:pPr>
              <w:ind w:left="0" w:firstLine="0"/>
            </w:pPr>
            <w:proofErr w:type="spellStart"/>
            <w:r>
              <w:t>safety_ecg</w:t>
            </w:r>
            <w:proofErr w:type="spellEnd"/>
          </w:p>
        </w:tc>
        <w:tc>
          <w:tcPr>
            <w:tcW w:w="6460" w:type="dxa"/>
          </w:tcPr>
          <w:p w14:paraId="761B2794" w14:textId="1DD9B55A" w:rsidR="00807E58" w:rsidRDefault="00807E58" w:rsidP="00A41CF6">
            <w:pPr>
              <w:ind w:left="0" w:firstLine="0"/>
            </w:pPr>
            <w:r>
              <w:t xml:space="preserve">The </w:t>
            </w:r>
            <w:proofErr w:type="spellStart"/>
            <w:r>
              <w:t>safety_ecg</w:t>
            </w:r>
            <w:proofErr w:type="spellEnd"/>
            <w:r>
              <w:t xml:space="preserve"> </w:t>
            </w:r>
            <w:r w:rsidR="00301BC7">
              <w:t xml:space="preserve">dataset is an example of a typical safety measurement dataset. It includes several different measurements outputted by an electrocardiogram, in long format by participant and visit date. For this example, we chose to show one common output, but many other safety datasets exist in a typical trial dataset, focusing on lab, hematology, vital signs and other measurements. </w:t>
            </w:r>
          </w:p>
        </w:tc>
      </w:tr>
    </w:tbl>
    <w:p w14:paraId="6FF33917" w14:textId="46572F18" w:rsidR="00A41CF6" w:rsidRDefault="00A41CF6" w:rsidP="00855307">
      <w:pPr>
        <w:spacing w:before="0" w:after="0"/>
        <w:ind w:left="0" w:firstLine="0"/>
      </w:pPr>
    </w:p>
    <w:p w14:paraId="4CB10905" w14:textId="4A607E60" w:rsidR="006D7C14" w:rsidRDefault="006D7C14" w:rsidP="006D7C14">
      <w:pPr>
        <w:pStyle w:val="Heading2"/>
        <w:numPr>
          <w:ilvl w:val="0"/>
          <w:numId w:val="3"/>
        </w:numPr>
      </w:pPr>
      <w:bookmarkStart w:id="2" w:name="_Toc216117289"/>
      <w:r>
        <w:t>Variable Descriptions</w:t>
      </w:r>
      <w:bookmarkEnd w:id="2"/>
    </w:p>
    <w:p w14:paraId="41357DD9" w14:textId="32E61564" w:rsidR="006D7C14" w:rsidRPr="006D7C14" w:rsidRDefault="00066B7B" w:rsidP="006D7C14">
      <w:r>
        <w:t>This section describes several key variables present in the datasets, particularly those that are trial-specific, tuberculosis-specific, or warrant additional mention due to the structure or peculiarity of the data.</w:t>
      </w:r>
    </w:p>
    <w:tbl>
      <w:tblPr>
        <w:tblStyle w:val="TableGrid"/>
        <w:tblW w:w="0" w:type="auto"/>
        <w:tblInd w:w="72" w:type="dxa"/>
        <w:tblLook w:val="04A0" w:firstRow="1" w:lastRow="0" w:firstColumn="1" w:lastColumn="0" w:noHBand="0" w:noVBand="1"/>
      </w:tblPr>
      <w:tblGrid>
        <w:gridCol w:w="2083"/>
        <w:gridCol w:w="2273"/>
        <w:gridCol w:w="4922"/>
      </w:tblGrid>
      <w:tr w:rsidR="006D7C14" w14:paraId="5B6FE63A" w14:textId="77777777" w:rsidTr="0035780A">
        <w:tc>
          <w:tcPr>
            <w:tcW w:w="2083" w:type="dxa"/>
          </w:tcPr>
          <w:p w14:paraId="771E7FCF" w14:textId="3BDBFAD3" w:rsidR="006D7C14" w:rsidRPr="006D7C14" w:rsidRDefault="006D7C14" w:rsidP="00D467D1">
            <w:r w:rsidRPr="006D7C14">
              <w:t>Variable Name</w:t>
            </w:r>
          </w:p>
        </w:tc>
        <w:tc>
          <w:tcPr>
            <w:tcW w:w="2273" w:type="dxa"/>
          </w:tcPr>
          <w:p w14:paraId="681A0EA0" w14:textId="3665A57D" w:rsidR="006D7C14" w:rsidRPr="006D7C14" w:rsidRDefault="006D7C14" w:rsidP="00D467D1">
            <w:r w:rsidRPr="006D7C14">
              <w:t>Sheet(s) Present</w:t>
            </w:r>
          </w:p>
        </w:tc>
        <w:tc>
          <w:tcPr>
            <w:tcW w:w="4922" w:type="dxa"/>
          </w:tcPr>
          <w:p w14:paraId="4AAFF5A7" w14:textId="349F34C9" w:rsidR="006D7C14" w:rsidRPr="006D7C14" w:rsidRDefault="006D7C14" w:rsidP="00D467D1">
            <w:r w:rsidRPr="006D7C14">
              <w:t>Description</w:t>
            </w:r>
          </w:p>
        </w:tc>
      </w:tr>
      <w:tr w:rsidR="006D7C14" w14:paraId="0D3BB815" w14:textId="77777777" w:rsidTr="0035780A">
        <w:tc>
          <w:tcPr>
            <w:tcW w:w="2083" w:type="dxa"/>
          </w:tcPr>
          <w:p w14:paraId="6EE021C0" w14:textId="7847CA67" w:rsidR="006D7C14" w:rsidRPr="006D7C14" w:rsidRDefault="006D7C14" w:rsidP="00D467D1">
            <w:pPr>
              <w:rPr>
                <w:color w:val="0D0D0D" w:themeColor="text1" w:themeTint="F2"/>
              </w:rPr>
            </w:pPr>
            <w:r w:rsidRPr="006D7C14">
              <w:rPr>
                <w:color w:val="0D0D0D" w:themeColor="text1" w:themeTint="F2"/>
              </w:rPr>
              <w:t>subject_id</w:t>
            </w:r>
          </w:p>
        </w:tc>
        <w:tc>
          <w:tcPr>
            <w:tcW w:w="2273" w:type="dxa"/>
          </w:tcPr>
          <w:p w14:paraId="277BA50F" w14:textId="23E0E448" w:rsidR="006D7C14" w:rsidRPr="006D7C14" w:rsidRDefault="006D7C14" w:rsidP="00D467D1">
            <w:pPr>
              <w:rPr>
                <w:color w:val="0D0D0D" w:themeColor="text1" w:themeTint="F2"/>
              </w:rPr>
            </w:pPr>
            <w:r w:rsidRPr="006D7C14">
              <w:rPr>
                <w:color w:val="0D0D0D" w:themeColor="text1" w:themeTint="F2"/>
              </w:rPr>
              <w:t>All sheets</w:t>
            </w:r>
          </w:p>
        </w:tc>
        <w:tc>
          <w:tcPr>
            <w:tcW w:w="4922" w:type="dxa"/>
          </w:tcPr>
          <w:p w14:paraId="4D77EFEA" w14:textId="284DADD3" w:rsidR="006D7C14" w:rsidRPr="006D7C14" w:rsidRDefault="006D7C14" w:rsidP="00D467D1">
            <w:pPr>
              <w:rPr>
                <w:color w:val="0D0D0D" w:themeColor="text1" w:themeTint="F2"/>
              </w:rPr>
            </w:pPr>
            <w:r>
              <w:rPr>
                <w:color w:val="0D0D0D" w:themeColor="text1" w:themeTint="F2"/>
              </w:rPr>
              <w:t xml:space="preserve">This is the primary participant identifier. It should be present in all datasets as a linking </w:t>
            </w:r>
            <w:proofErr w:type="gramStart"/>
            <w:r>
              <w:rPr>
                <w:color w:val="0D0D0D" w:themeColor="text1" w:themeTint="F2"/>
              </w:rPr>
              <w:t>variable, but</w:t>
            </w:r>
            <w:proofErr w:type="gramEnd"/>
            <w:r>
              <w:rPr>
                <w:color w:val="0D0D0D" w:themeColor="text1" w:themeTint="F2"/>
              </w:rPr>
              <w:t xml:space="preserve"> may be dropped when creating tables by another grouping variable.</w:t>
            </w:r>
          </w:p>
        </w:tc>
      </w:tr>
      <w:tr w:rsidR="006D7C14" w14:paraId="78BBD471" w14:textId="77777777" w:rsidTr="0035780A">
        <w:tc>
          <w:tcPr>
            <w:tcW w:w="2083" w:type="dxa"/>
          </w:tcPr>
          <w:p w14:paraId="4711A976" w14:textId="58CCF207" w:rsidR="006D7C14" w:rsidRPr="006D7C14" w:rsidRDefault="006D7C14" w:rsidP="00D467D1">
            <w:pPr>
              <w:rPr>
                <w:color w:val="0D0D0D" w:themeColor="text1" w:themeTint="F2"/>
              </w:rPr>
            </w:pPr>
            <w:proofErr w:type="spellStart"/>
            <w:r>
              <w:rPr>
                <w:color w:val="0D0D0D" w:themeColor="text1" w:themeTint="F2"/>
              </w:rPr>
              <w:t>site_name</w:t>
            </w:r>
            <w:proofErr w:type="spellEnd"/>
          </w:p>
        </w:tc>
        <w:tc>
          <w:tcPr>
            <w:tcW w:w="2273" w:type="dxa"/>
          </w:tcPr>
          <w:p w14:paraId="0B9EF7AD" w14:textId="5C8A6646" w:rsidR="006D7C14" w:rsidRPr="006D7C14" w:rsidRDefault="006D7C14" w:rsidP="00D467D1">
            <w:pPr>
              <w:rPr>
                <w:color w:val="0D0D0D" w:themeColor="text1" w:themeTint="F2"/>
              </w:rPr>
            </w:pPr>
            <w:r>
              <w:rPr>
                <w:color w:val="0D0D0D" w:themeColor="text1" w:themeTint="F2"/>
              </w:rPr>
              <w:t>All sheets</w:t>
            </w:r>
          </w:p>
        </w:tc>
        <w:tc>
          <w:tcPr>
            <w:tcW w:w="4922" w:type="dxa"/>
          </w:tcPr>
          <w:p w14:paraId="6C905939" w14:textId="66ABC105" w:rsidR="006D7C14" w:rsidRPr="006D7C14" w:rsidRDefault="006D7C14" w:rsidP="00D467D1">
            <w:pPr>
              <w:rPr>
                <w:color w:val="0D0D0D" w:themeColor="text1" w:themeTint="F2"/>
              </w:rPr>
            </w:pPr>
            <w:r>
              <w:rPr>
                <w:color w:val="0D0D0D" w:themeColor="text1" w:themeTint="F2"/>
              </w:rPr>
              <w:t xml:space="preserve">Present as another linking variable, it identifies the site, hospital, or clinic where the participant was enrolled in the study. </w:t>
            </w:r>
          </w:p>
        </w:tc>
      </w:tr>
      <w:tr w:rsidR="006D7C14" w14:paraId="097C1E9A" w14:textId="77777777" w:rsidTr="0035780A">
        <w:tc>
          <w:tcPr>
            <w:tcW w:w="2083" w:type="dxa"/>
          </w:tcPr>
          <w:p w14:paraId="653DC0D3" w14:textId="15AE5503" w:rsidR="006D7C14" w:rsidRDefault="006D7C14" w:rsidP="00D467D1">
            <w:pPr>
              <w:rPr>
                <w:color w:val="0D0D0D" w:themeColor="text1" w:themeTint="F2"/>
              </w:rPr>
            </w:pPr>
            <w:proofErr w:type="spellStart"/>
            <w:r>
              <w:rPr>
                <w:color w:val="0D0D0D" w:themeColor="text1" w:themeTint="F2"/>
              </w:rPr>
              <w:t>study_arm</w:t>
            </w:r>
            <w:proofErr w:type="spellEnd"/>
          </w:p>
        </w:tc>
        <w:tc>
          <w:tcPr>
            <w:tcW w:w="2273" w:type="dxa"/>
          </w:tcPr>
          <w:p w14:paraId="0D1B509F" w14:textId="5EB903F9" w:rsidR="006D7C14" w:rsidRDefault="006D7C14" w:rsidP="00D467D1">
            <w:pPr>
              <w:rPr>
                <w:color w:val="0D0D0D" w:themeColor="text1" w:themeTint="F2"/>
              </w:rPr>
            </w:pPr>
            <w:r>
              <w:rPr>
                <w:color w:val="0D0D0D" w:themeColor="text1" w:themeTint="F2"/>
              </w:rPr>
              <w:t>All Sheets</w:t>
            </w:r>
          </w:p>
        </w:tc>
        <w:tc>
          <w:tcPr>
            <w:tcW w:w="4922" w:type="dxa"/>
          </w:tcPr>
          <w:p w14:paraId="6BF0A1CD" w14:textId="76919935" w:rsidR="006D7C14" w:rsidRDefault="006D7C14" w:rsidP="00D467D1">
            <w:pPr>
              <w:rPr>
                <w:color w:val="0D0D0D" w:themeColor="text1" w:themeTint="F2"/>
              </w:rPr>
            </w:pPr>
            <w:r>
              <w:rPr>
                <w:color w:val="0D0D0D" w:themeColor="text1" w:themeTint="F2"/>
              </w:rPr>
              <w:t>Most often the primary randomization variable</w:t>
            </w:r>
            <w:r w:rsidR="003B7A62">
              <w:rPr>
                <w:color w:val="0D0D0D" w:themeColor="text1" w:themeTint="F2"/>
              </w:rPr>
              <w:t xml:space="preserve">. </w:t>
            </w:r>
          </w:p>
        </w:tc>
      </w:tr>
      <w:tr w:rsidR="006D7C14" w14:paraId="3DFC370B" w14:textId="77777777" w:rsidTr="0035780A">
        <w:tc>
          <w:tcPr>
            <w:tcW w:w="2083" w:type="dxa"/>
          </w:tcPr>
          <w:p w14:paraId="035B3C5B" w14:textId="693AC217" w:rsidR="006D7C14" w:rsidRDefault="003B7A62" w:rsidP="00D467D1">
            <w:pPr>
              <w:rPr>
                <w:color w:val="0D0D0D" w:themeColor="text1" w:themeTint="F2"/>
              </w:rPr>
            </w:pPr>
            <w:proofErr w:type="spellStart"/>
            <w:r>
              <w:rPr>
                <w:color w:val="0D0D0D" w:themeColor="text1" w:themeTint="F2"/>
              </w:rPr>
              <w:t>rand_flag</w:t>
            </w:r>
            <w:proofErr w:type="spellEnd"/>
          </w:p>
        </w:tc>
        <w:tc>
          <w:tcPr>
            <w:tcW w:w="2273" w:type="dxa"/>
          </w:tcPr>
          <w:p w14:paraId="5E271678" w14:textId="4BB83E00" w:rsidR="006D7C14" w:rsidRDefault="003B7A62" w:rsidP="00D467D1">
            <w:pPr>
              <w:rPr>
                <w:color w:val="0D0D0D" w:themeColor="text1" w:themeTint="F2"/>
              </w:rPr>
            </w:pPr>
            <w:proofErr w:type="spellStart"/>
            <w:r>
              <w:rPr>
                <w:color w:val="0D0D0D" w:themeColor="text1" w:themeTint="F2"/>
              </w:rPr>
              <w:t>study_populations</w:t>
            </w:r>
            <w:proofErr w:type="spellEnd"/>
          </w:p>
        </w:tc>
        <w:tc>
          <w:tcPr>
            <w:tcW w:w="4922" w:type="dxa"/>
          </w:tcPr>
          <w:p w14:paraId="1C95E844" w14:textId="5AFA32D4" w:rsidR="006D7C14" w:rsidRDefault="003B7A62" w:rsidP="00D467D1">
            <w:pPr>
              <w:rPr>
                <w:color w:val="0D0D0D" w:themeColor="text1" w:themeTint="F2"/>
              </w:rPr>
            </w:pPr>
            <w:r>
              <w:rPr>
                <w:color w:val="0D0D0D" w:themeColor="text1" w:themeTint="F2"/>
              </w:rPr>
              <w:t xml:space="preserve">A logical that flags individuals as part of the randomization set or not. Limited information is usually collected for screened but not randomized participants, so this flag is useful when choosing to include or exclude these individuals. </w:t>
            </w:r>
          </w:p>
        </w:tc>
      </w:tr>
      <w:tr w:rsidR="003B7A62" w14:paraId="5BD0FF8E" w14:textId="77777777" w:rsidTr="0035780A">
        <w:tc>
          <w:tcPr>
            <w:tcW w:w="2083" w:type="dxa"/>
          </w:tcPr>
          <w:p w14:paraId="08E54D46" w14:textId="6B489706" w:rsidR="003B7A62" w:rsidRDefault="003B7A62" w:rsidP="00D467D1">
            <w:pPr>
              <w:rPr>
                <w:color w:val="0D0D0D" w:themeColor="text1" w:themeTint="F2"/>
              </w:rPr>
            </w:pPr>
            <w:proofErr w:type="spellStart"/>
            <w:r>
              <w:rPr>
                <w:color w:val="0D0D0D" w:themeColor="text1" w:themeTint="F2"/>
              </w:rPr>
              <w:lastRenderedPageBreak/>
              <w:t>itt_flag</w:t>
            </w:r>
            <w:proofErr w:type="spellEnd"/>
          </w:p>
        </w:tc>
        <w:tc>
          <w:tcPr>
            <w:tcW w:w="2273" w:type="dxa"/>
          </w:tcPr>
          <w:p w14:paraId="5FD21F44" w14:textId="584A0E08" w:rsidR="003B7A62" w:rsidRDefault="003B7A62" w:rsidP="00D467D1">
            <w:pPr>
              <w:rPr>
                <w:color w:val="0D0D0D" w:themeColor="text1" w:themeTint="F2"/>
              </w:rPr>
            </w:pPr>
            <w:proofErr w:type="spellStart"/>
            <w:r>
              <w:rPr>
                <w:color w:val="0D0D0D" w:themeColor="text1" w:themeTint="F2"/>
              </w:rPr>
              <w:t>study_populations</w:t>
            </w:r>
            <w:proofErr w:type="spellEnd"/>
          </w:p>
        </w:tc>
        <w:tc>
          <w:tcPr>
            <w:tcW w:w="4922" w:type="dxa"/>
          </w:tcPr>
          <w:p w14:paraId="1B064D52" w14:textId="6C949862" w:rsidR="003B7A62" w:rsidRDefault="003B7A62" w:rsidP="00D467D1">
            <w:pPr>
              <w:rPr>
                <w:color w:val="0D0D0D" w:themeColor="text1" w:themeTint="F2"/>
              </w:rPr>
            </w:pPr>
            <w:r>
              <w:rPr>
                <w:color w:val="0D0D0D" w:themeColor="text1" w:themeTint="F2"/>
              </w:rPr>
              <w:t>A logical that flags individuals as part of the intent-to-treat (ITT) set or not. In general, the ITT population includes any participant who has enrolled in the study or taken at least 1 dose of study drugs, but exact definitions can vary by trial.</w:t>
            </w:r>
          </w:p>
        </w:tc>
      </w:tr>
      <w:tr w:rsidR="003B7A62" w14:paraId="09D6C24C" w14:textId="77777777" w:rsidTr="0035780A">
        <w:tc>
          <w:tcPr>
            <w:tcW w:w="2083" w:type="dxa"/>
          </w:tcPr>
          <w:p w14:paraId="40AA9284" w14:textId="12F8E7C6" w:rsidR="003B7A62" w:rsidRDefault="003B7A62" w:rsidP="00D467D1">
            <w:pPr>
              <w:rPr>
                <w:color w:val="0D0D0D" w:themeColor="text1" w:themeTint="F2"/>
              </w:rPr>
            </w:pPr>
            <w:proofErr w:type="spellStart"/>
            <w:r>
              <w:rPr>
                <w:color w:val="0D0D0D" w:themeColor="text1" w:themeTint="F2"/>
              </w:rPr>
              <w:t>mitt_flag</w:t>
            </w:r>
            <w:proofErr w:type="spellEnd"/>
          </w:p>
        </w:tc>
        <w:tc>
          <w:tcPr>
            <w:tcW w:w="2273" w:type="dxa"/>
          </w:tcPr>
          <w:p w14:paraId="6AC3A42F" w14:textId="652C041F" w:rsidR="003B7A62" w:rsidRDefault="003B7A62" w:rsidP="00D467D1">
            <w:pPr>
              <w:rPr>
                <w:color w:val="0D0D0D" w:themeColor="text1" w:themeTint="F2"/>
              </w:rPr>
            </w:pPr>
            <w:proofErr w:type="spellStart"/>
            <w:r>
              <w:rPr>
                <w:color w:val="0D0D0D" w:themeColor="text1" w:themeTint="F2"/>
              </w:rPr>
              <w:t>study_populations</w:t>
            </w:r>
            <w:proofErr w:type="spellEnd"/>
          </w:p>
        </w:tc>
        <w:tc>
          <w:tcPr>
            <w:tcW w:w="4922" w:type="dxa"/>
          </w:tcPr>
          <w:p w14:paraId="6E7E9994" w14:textId="41B394F3" w:rsidR="003B7A62" w:rsidRDefault="003B7A62" w:rsidP="00D467D1">
            <w:pPr>
              <w:rPr>
                <w:color w:val="0D0D0D" w:themeColor="text1" w:themeTint="F2"/>
              </w:rPr>
            </w:pPr>
            <w:r>
              <w:rPr>
                <w:color w:val="0D0D0D" w:themeColor="text1" w:themeTint="F2"/>
              </w:rPr>
              <w:t>A logical that flags individuals as part of the modified intent-to-treat (</w:t>
            </w:r>
            <w:proofErr w:type="spellStart"/>
            <w:r>
              <w:rPr>
                <w:color w:val="0D0D0D" w:themeColor="text1" w:themeTint="F2"/>
              </w:rPr>
              <w:t>mITT</w:t>
            </w:r>
            <w:proofErr w:type="spellEnd"/>
            <w:r>
              <w:rPr>
                <w:color w:val="0D0D0D" w:themeColor="text1" w:themeTint="F2"/>
              </w:rPr>
              <w:t xml:space="preserve">) set or not. Because confirmation of active TB can take </w:t>
            </w:r>
            <w:r>
              <w:rPr>
                <w:color w:val="0D0D0D" w:themeColor="text1" w:themeTint="F2"/>
              </w:rPr>
              <w:t>several</w:t>
            </w:r>
            <w:r>
              <w:rPr>
                <w:color w:val="0D0D0D" w:themeColor="text1" w:themeTint="F2"/>
              </w:rPr>
              <w:t xml:space="preserve"> days and it would be unethical to withhold treatment for bacteriological confirmation,  the </w:t>
            </w:r>
            <w:proofErr w:type="spellStart"/>
            <w:r>
              <w:rPr>
                <w:color w:val="0D0D0D" w:themeColor="text1" w:themeTint="F2"/>
              </w:rPr>
              <w:t>mITT</w:t>
            </w:r>
            <w:proofErr w:type="spellEnd"/>
            <w:r>
              <w:rPr>
                <w:color w:val="0D0D0D" w:themeColor="text1" w:themeTint="F2"/>
              </w:rPr>
              <w:t xml:space="preserve"> set usually includes all individuals who have confirmed active TB in addition to the definition of ITT, but exact criteria can vary by trial.</w:t>
            </w:r>
          </w:p>
        </w:tc>
      </w:tr>
      <w:tr w:rsidR="003B7A62" w14:paraId="11FB6D3E" w14:textId="77777777" w:rsidTr="0035780A">
        <w:tc>
          <w:tcPr>
            <w:tcW w:w="2083" w:type="dxa"/>
          </w:tcPr>
          <w:p w14:paraId="22481E68" w14:textId="0E103412" w:rsidR="003B7A62" w:rsidRDefault="003B7A62" w:rsidP="00D467D1">
            <w:pPr>
              <w:rPr>
                <w:color w:val="0D0D0D" w:themeColor="text1" w:themeTint="F2"/>
              </w:rPr>
            </w:pPr>
            <w:proofErr w:type="spellStart"/>
            <w:r>
              <w:rPr>
                <w:color w:val="0D0D0D" w:themeColor="text1" w:themeTint="F2"/>
              </w:rPr>
              <w:t>pp_flag</w:t>
            </w:r>
            <w:proofErr w:type="spellEnd"/>
          </w:p>
        </w:tc>
        <w:tc>
          <w:tcPr>
            <w:tcW w:w="2273" w:type="dxa"/>
          </w:tcPr>
          <w:p w14:paraId="43C34AFB" w14:textId="7B76B0BD" w:rsidR="003B7A62" w:rsidRDefault="00855307" w:rsidP="00D467D1">
            <w:pPr>
              <w:rPr>
                <w:color w:val="0D0D0D" w:themeColor="text1" w:themeTint="F2"/>
              </w:rPr>
            </w:pPr>
            <w:proofErr w:type="spellStart"/>
            <w:r>
              <w:rPr>
                <w:color w:val="0D0D0D" w:themeColor="text1" w:themeTint="F2"/>
              </w:rPr>
              <w:t>study_populations</w:t>
            </w:r>
            <w:proofErr w:type="spellEnd"/>
          </w:p>
        </w:tc>
        <w:tc>
          <w:tcPr>
            <w:tcW w:w="4922" w:type="dxa"/>
          </w:tcPr>
          <w:p w14:paraId="362058CC" w14:textId="0153EF3A" w:rsidR="003B7A62" w:rsidRDefault="00855307" w:rsidP="00D467D1">
            <w:pPr>
              <w:rPr>
                <w:color w:val="0D0D0D" w:themeColor="text1" w:themeTint="F2"/>
              </w:rPr>
            </w:pPr>
            <w:r>
              <w:rPr>
                <w:color w:val="0D0D0D" w:themeColor="text1" w:themeTint="F2"/>
              </w:rPr>
              <w:t>A logical that flags individuals as part of the per-protocol (PP) set or not. The per-protocol set usually includes some threshold of adherence to regimen, commonly a percentage of study drugs taken in addition to the ITT/</w:t>
            </w:r>
            <w:proofErr w:type="spellStart"/>
            <w:r>
              <w:rPr>
                <w:color w:val="0D0D0D" w:themeColor="text1" w:themeTint="F2"/>
              </w:rPr>
              <w:t>mITT</w:t>
            </w:r>
            <w:proofErr w:type="spellEnd"/>
            <w:r>
              <w:rPr>
                <w:color w:val="0D0D0D" w:themeColor="text1" w:themeTint="F2"/>
              </w:rPr>
              <w:t xml:space="preserve"> criteria. </w:t>
            </w:r>
          </w:p>
        </w:tc>
      </w:tr>
      <w:tr w:rsidR="00855307" w14:paraId="6844969C" w14:textId="77777777" w:rsidTr="0035780A">
        <w:tc>
          <w:tcPr>
            <w:tcW w:w="2083" w:type="dxa"/>
          </w:tcPr>
          <w:p w14:paraId="48C1A6FA" w14:textId="46FD1EA0" w:rsidR="00855307" w:rsidRDefault="00855307" w:rsidP="00D467D1">
            <w:pPr>
              <w:rPr>
                <w:color w:val="0D0D0D" w:themeColor="text1" w:themeTint="F2"/>
              </w:rPr>
            </w:pPr>
            <w:proofErr w:type="spellStart"/>
            <w:r>
              <w:rPr>
                <w:color w:val="0D0D0D" w:themeColor="text1" w:themeTint="F2"/>
              </w:rPr>
              <w:t>safety_flag</w:t>
            </w:r>
            <w:proofErr w:type="spellEnd"/>
          </w:p>
        </w:tc>
        <w:tc>
          <w:tcPr>
            <w:tcW w:w="2273" w:type="dxa"/>
          </w:tcPr>
          <w:p w14:paraId="482F9BE3" w14:textId="6DDDD6EA" w:rsidR="00855307" w:rsidRDefault="00855307" w:rsidP="00D467D1">
            <w:pPr>
              <w:rPr>
                <w:color w:val="0D0D0D" w:themeColor="text1" w:themeTint="F2"/>
              </w:rPr>
            </w:pPr>
            <w:proofErr w:type="spellStart"/>
            <w:r>
              <w:rPr>
                <w:color w:val="0D0D0D" w:themeColor="text1" w:themeTint="F2"/>
              </w:rPr>
              <w:t>study_populations</w:t>
            </w:r>
            <w:proofErr w:type="spellEnd"/>
          </w:p>
        </w:tc>
        <w:tc>
          <w:tcPr>
            <w:tcW w:w="4922" w:type="dxa"/>
          </w:tcPr>
          <w:p w14:paraId="657C2FD9" w14:textId="7A909DF2" w:rsidR="00855307" w:rsidRDefault="00855307" w:rsidP="00D467D1">
            <w:pPr>
              <w:rPr>
                <w:color w:val="0D0D0D" w:themeColor="text1" w:themeTint="F2"/>
              </w:rPr>
            </w:pPr>
            <w:r>
              <w:rPr>
                <w:color w:val="0D0D0D" w:themeColor="text1" w:themeTint="F2"/>
              </w:rPr>
              <w:t>A logical that flags individuals a part of the safety set. The safety set is often all randomized participants, regardless of adherence to study drug, although sometimes participants who are found to be ineligible for the study are removed. The exact definition varies by study.</w:t>
            </w:r>
          </w:p>
        </w:tc>
      </w:tr>
      <w:tr w:rsidR="00855307" w14:paraId="35D0C436" w14:textId="77777777" w:rsidTr="0035780A">
        <w:tc>
          <w:tcPr>
            <w:tcW w:w="2083" w:type="dxa"/>
          </w:tcPr>
          <w:p w14:paraId="79BD9AC8" w14:textId="60F2ACEB" w:rsidR="00855307" w:rsidRDefault="00855307" w:rsidP="00D467D1">
            <w:pPr>
              <w:rPr>
                <w:color w:val="0D0D0D" w:themeColor="text1" w:themeTint="F2"/>
              </w:rPr>
            </w:pPr>
            <w:proofErr w:type="spellStart"/>
            <w:r>
              <w:rPr>
                <w:color w:val="0D0D0D" w:themeColor="text1" w:themeTint="F2"/>
              </w:rPr>
              <w:t>visit_name</w:t>
            </w:r>
            <w:proofErr w:type="spellEnd"/>
          </w:p>
        </w:tc>
        <w:tc>
          <w:tcPr>
            <w:tcW w:w="2273" w:type="dxa"/>
          </w:tcPr>
          <w:p w14:paraId="79E7EA68" w14:textId="1905811E" w:rsidR="00855307" w:rsidRDefault="00855307" w:rsidP="00D467D1">
            <w:pPr>
              <w:rPr>
                <w:color w:val="0D0D0D" w:themeColor="text1" w:themeTint="F2"/>
              </w:rPr>
            </w:pPr>
            <w:proofErr w:type="spellStart"/>
            <w:r>
              <w:rPr>
                <w:color w:val="0D0D0D" w:themeColor="text1" w:themeTint="F2"/>
              </w:rPr>
              <w:t>visit_windows</w:t>
            </w:r>
            <w:proofErr w:type="spellEnd"/>
          </w:p>
        </w:tc>
        <w:tc>
          <w:tcPr>
            <w:tcW w:w="4922" w:type="dxa"/>
          </w:tcPr>
          <w:p w14:paraId="51188C72" w14:textId="2F2FA313" w:rsidR="00855307" w:rsidRDefault="00855307" w:rsidP="00D467D1">
            <w:pPr>
              <w:rPr>
                <w:color w:val="0D0D0D" w:themeColor="text1" w:themeTint="F2"/>
              </w:rPr>
            </w:pPr>
            <w:r>
              <w:rPr>
                <w:color w:val="0D0D0D" w:themeColor="text1" w:themeTint="F2"/>
              </w:rPr>
              <w:t>Study visits are given set names based on timing. This name becomes an identifier for the visit to line up with all other participants, and what procedures are expected during the visit. Visit windows are defined by the schedule of events in the protocol.</w:t>
            </w:r>
          </w:p>
        </w:tc>
      </w:tr>
      <w:tr w:rsidR="00521BA2" w14:paraId="486EECFF" w14:textId="77777777" w:rsidTr="0035780A">
        <w:tc>
          <w:tcPr>
            <w:tcW w:w="2083" w:type="dxa"/>
          </w:tcPr>
          <w:p w14:paraId="717C3640" w14:textId="63F25876" w:rsidR="00521BA2" w:rsidRDefault="00521BA2" w:rsidP="00D467D1">
            <w:pPr>
              <w:rPr>
                <w:color w:val="0D0D0D" w:themeColor="text1" w:themeTint="F2"/>
              </w:rPr>
            </w:pPr>
            <w:proofErr w:type="spellStart"/>
            <w:r>
              <w:rPr>
                <w:color w:val="0D0D0D" w:themeColor="text1" w:themeTint="F2"/>
              </w:rPr>
              <w:t>unscheduled_flag</w:t>
            </w:r>
            <w:proofErr w:type="spellEnd"/>
          </w:p>
        </w:tc>
        <w:tc>
          <w:tcPr>
            <w:tcW w:w="2273" w:type="dxa"/>
          </w:tcPr>
          <w:p w14:paraId="453A172E" w14:textId="22AC3329" w:rsidR="00521BA2" w:rsidRDefault="00521BA2" w:rsidP="00D467D1">
            <w:pPr>
              <w:rPr>
                <w:color w:val="0D0D0D" w:themeColor="text1" w:themeTint="F2"/>
              </w:rPr>
            </w:pPr>
            <w:proofErr w:type="spellStart"/>
            <w:r>
              <w:rPr>
                <w:color w:val="0D0D0D" w:themeColor="text1" w:themeTint="F2"/>
              </w:rPr>
              <w:t>visit_windows</w:t>
            </w:r>
            <w:proofErr w:type="spellEnd"/>
          </w:p>
        </w:tc>
        <w:tc>
          <w:tcPr>
            <w:tcW w:w="4922" w:type="dxa"/>
          </w:tcPr>
          <w:p w14:paraId="60982922" w14:textId="0DD69655" w:rsidR="00521BA2" w:rsidRPr="003D206D" w:rsidRDefault="00521BA2" w:rsidP="00D467D1">
            <w:r w:rsidRPr="003D206D">
              <w:t xml:space="preserve">A logical that flags if this visit fell outside of the usual visit schedule. This can happen for many reasons, such as a timing mismatch, or an adverse event. Rules on how to analyze data collected during unscheduled events vary by data collected and trial procedures. For example, if the participant is seen for an adverse event, then this is reported as normal. For efficacy values, rules often govern which value(s) are reported, averaged, replace if blank, or supersede normally scheduled events. For </w:t>
            </w:r>
            <w:r w:rsidRPr="003D206D">
              <w:lastRenderedPageBreak/>
              <w:t>the hackathon, it’s most simple, and acceptable to not focus on these coding rules.</w:t>
            </w:r>
          </w:p>
        </w:tc>
      </w:tr>
      <w:tr w:rsidR="00521BA2" w14:paraId="36B04348" w14:textId="77777777" w:rsidTr="0035780A">
        <w:tc>
          <w:tcPr>
            <w:tcW w:w="2083" w:type="dxa"/>
          </w:tcPr>
          <w:p w14:paraId="6127D0D5" w14:textId="518A599C" w:rsidR="00521BA2" w:rsidRDefault="00521BA2" w:rsidP="00D467D1">
            <w:pPr>
              <w:rPr>
                <w:color w:val="0D0D0D" w:themeColor="text1" w:themeTint="F2"/>
              </w:rPr>
            </w:pPr>
            <w:proofErr w:type="spellStart"/>
            <w:r>
              <w:rPr>
                <w:color w:val="0D0D0D" w:themeColor="text1" w:themeTint="F2"/>
              </w:rPr>
              <w:t>event_date</w:t>
            </w:r>
            <w:proofErr w:type="spellEnd"/>
          </w:p>
        </w:tc>
        <w:tc>
          <w:tcPr>
            <w:tcW w:w="2273" w:type="dxa"/>
          </w:tcPr>
          <w:p w14:paraId="4F837104" w14:textId="6DFE2223" w:rsidR="00521BA2" w:rsidRDefault="00521BA2" w:rsidP="00D467D1">
            <w:pPr>
              <w:rPr>
                <w:color w:val="0D0D0D" w:themeColor="text1" w:themeTint="F2"/>
              </w:rPr>
            </w:pPr>
            <w:proofErr w:type="spellStart"/>
            <w:r>
              <w:rPr>
                <w:color w:val="0D0D0D" w:themeColor="text1" w:themeTint="F2"/>
              </w:rPr>
              <w:t>visit_windows</w:t>
            </w:r>
            <w:proofErr w:type="spellEnd"/>
          </w:p>
        </w:tc>
        <w:tc>
          <w:tcPr>
            <w:tcW w:w="4922" w:type="dxa"/>
          </w:tcPr>
          <w:p w14:paraId="0093870A" w14:textId="0EA226A7" w:rsidR="00521BA2" w:rsidRPr="003D206D" w:rsidRDefault="00521BA2" w:rsidP="00D467D1">
            <w:pPr>
              <w:rPr>
                <w:color w:val="0D0D0D" w:themeColor="text1" w:themeTint="F2"/>
              </w:rPr>
            </w:pPr>
            <w:r w:rsidRPr="003D206D">
              <w:rPr>
                <w:color w:val="0D0D0D" w:themeColor="text1" w:themeTint="F2"/>
              </w:rPr>
              <w:t>The actual date of the visit. This should fall between the start of the event window and end of the event window.</w:t>
            </w:r>
          </w:p>
        </w:tc>
      </w:tr>
      <w:tr w:rsidR="00521BA2" w14:paraId="241A8A2B" w14:textId="77777777" w:rsidTr="0035780A">
        <w:tc>
          <w:tcPr>
            <w:tcW w:w="2083" w:type="dxa"/>
          </w:tcPr>
          <w:p w14:paraId="216E7E9C" w14:textId="5AE58BB0" w:rsidR="00521BA2" w:rsidRDefault="00521BA2" w:rsidP="00D467D1">
            <w:pPr>
              <w:rPr>
                <w:color w:val="0D0D0D" w:themeColor="text1" w:themeTint="F2"/>
              </w:rPr>
            </w:pPr>
            <w:proofErr w:type="spellStart"/>
            <w:r>
              <w:rPr>
                <w:color w:val="0D0D0D" w:themeColor="text1" w:themeTint="F2"/>
              </w:rPr>
              <w:t>event_window_start</w:t>
            </w:r>
            <w:proofErr w:type="spellEnd"/>
          </w:p>
        </w:tc>
        <w:tc>
          <w:tcPr>
            <w:tcW w:w="2273" w:type="dxa"/>
          </w:tcPr>
          <w:p w14:paraId="26FBFB6B" w14:textId="0535D3C9" w:rsidR="00521BA2" w:rsidRDefault="00521BA2" w:rsidP="00D467D1">
            <w:pPr>
              <w:rPr>
                <w:color w:val="0D0D0D" w:themeColor="text1" w:themeTint="F2"/>
              </w:rPr>
            </w:pPr>
            <w:proofErr w:type="spellStart"/>
            <w:r>
              <w:rPr>
                <w:color w:val="0D0D0D" w:themeColor="text1" w:themeTint="F2"/>
              </w:rPr>
              <w:t>visit_windows</w:t>
            </w:r>
            <w:proofErr w:type="spellEnd"/>
          </w:p>
        </w:tc>
        <w:tc>
          <w:tcPr>
            <w:tcW w:w="4922" w:type="dxa"/>
          </w:tcPr>
          <w:p w14:paraId="2BE8FC0F" w14:textId="4A7385B5" w:rsidR="00521BA2" w:rsidRPr="003D206D" w:rsidRDefault="00521BA2" w:rsidP="00D467D1">
            <w:pPr>
              <w:rPr>
                <w:color w:val="0D0D0D" w:themeColor="text1" w:themeTint="F2"/>
              </w:rPr>
            </w:pPr>
            <w:r w:rsidRPr="003D206D">
              <w:rPr>
                <w:color w:val="0D0D0D" w:themeColor="text1" w:themeTint="F2"/>
              </w:rPr>
              <w:t>The start of the event window, based on the schedule of events. This is useful to make sure that all visits fall within the expected timeframe or to see if an unscheduled event falls within a certain event window.</w:t>
            </w:r>
          </w:p>
        </w:tc>
      </w:tr>
      <w:tr w:rsidR="003E2C76" w14:paraId="5A452CF8" w14:textId="77777777" w:rsidTr="0035780A">
        <w:tc>
          <w:tcPr>
            <w:tcW w:w="2083" w:type="dxa"/>
          </w:tcPr>
          <w:p w14:paraId="4ABD8D2C" w14:textId="71E4413B" w:rsidR="003E2C76" w:rsidRDefault="003E2C76" w:rsidP="00D467D1">
            <w:pPr>
              <w:rPr>
                <w:color w:val="0D0D0D" w:themeColor="text1" w:themeTint="F2"/>
              </w:rPr>
            </w:pPr>
            <w:proofErr w:type="spellStart"/>
            <w:r>
              <w:rPr>
                <w:color w:val="0D0D0D" w:themeColor="text1" w:themeTint="F2"/>
              </w:rPr>
              <w:t>event_window_end</w:t>
            </w:r>
            <w:proofErr w:type="spellEnd"/>
          </w:p>
        </w:tc>
        <w:tc>
          <w:tcPr>
            <w:tcW w:w="2273" w:type="dxa"/>
          </w:tcPr>
          <w:p w14:paraId="64DDB504" w14:textId="5511752F" w:rsidR="003E2C76" w:rsidRDefault="003E2C76" w:rsidP="00D467D1">
            <w:pPr>
              <w:rPr>
                <w:color w:val="0D0D0D" w:themeColor="text1" w:themeTint="F2"/>
              </w:rPr>
            </w:pPr>
            <w:proofErr w:type="spellStart"/>
            <w:r>
              <w:rPr>
                <w:color w:val="0D0D0D" w:themeColor="text1" w:themeTint="F2"/>
              </w:rPr>
              <w:t>visit_windows</w:t>
            </w:r>
            <w:proofErr w:type="spellEnd"/>
          </w:p>
        </w:tc>
        <w:tc>
          <w:tcPr>
            <w:tcW w:w="4922" w:type="dxa"/>
          </w:tcPr>
          <w:p w14:paraId="287637BE" w14:textId="6FDC1712" w:rsidR="003E2C76" w:rsidRPr="003D206D" w:rsidRDefault="003E2C76" w:rsidP="00D467D1">
            <w:pPr>
              <w:rPr>
                <w:color w:val="0D0D0D" w:themeColor="text1" w:themeTint="F2"/>
              </w:rPr>
            </w:pPr>
            <w:r w:rsidRPr="003D206D">
              <w:rPr>
                <w:color w:val="0D0D0D" w:themeColor="text1" w:themeTint="F2"/>
              </w:rPr>
              <w:t>The end of the event window, based on the schedule of events. This is useful to make sure all visits fall within the expected timeframe or to see if an unscheduled event falls within a certain event window.</w:t>
            </w:r>
          </w:p>
        </w:tc>
      </w:tr>
      <w:tr w:rsidR="003E2C76" w14:paraId="35BD0CFD" w14:textId="77777777" w:rsidTr="0035780A">
        <w:tc>
          <w:tcPr>
            <w:tcW w:w="2083" w:type="dxa"/>
          </w:tcPr>
          <w:p w14:paraId="698D0713" w14:textId="3B50DA47" w:rsidR="003E2C76" w:rsidRDefault="003E2C76" w:rsidP="00D467D1">
            <w:pPr>
              <w:rPr>
                <w:color w:val="0D0D0D" w:themeColor="text1" w:themeTint="F2"/>
              </w:rPr>
            </w:pPr>
            <w:r>
              <w:rPr>
                <w:color w:val="0D0D0D" w:themeColor="text1" w:themeTint="F2"/>
              </w:rPr>
              <w:t>race</w:t>
            </w:r>
          </w:p>
        </w:tc>
        <w:tc>
          <w:tcPr>
            <w:tcW w:w="2273" w:type="dxa"/>
          </w:tcPr>
          <w:p w14:paraId="62555258" w14:textId="2B0180C2" w:rsidR="003E2C76" w:rsidRDefault="003E2C76" w:rsidP="00D467D1">
            <w:pPr>
              <w:rPr>
                <w:color w:val="0D0D0D" w:themeColor="text1" w:themeTint="F2"/>
              </w:rPr>
            </w:pPr>
            <w:r>
              <w:rPr>
                <w:color w:val="0D0D0D" w:themeColor="text1" w:themeTint="F2"/>
              </w:rPr>
              <w:t>demographics</w:t>
            </w:r>
          </w:p>
        </w:tc>
        <w:tc>
          <w:tcPr>
            <w:tcW w:w="4922" w:type="dxa"/>
          </w:tcPr>
          <w:p w14:paraId="7E44F021" w14:textId="3A06DFED" w:rsidR="003E2C76" w:rsidRPr="003D206D" w:rsidRDefault="003E2C76" w:rsidP="00D467D1">
            <w:pPr>
              <w:rPr>
                <w:color w:val="0D0D0D" w:themeColor="text1" w:themeTint="F2"/>
              </w:rPr>
            </w:pPr>
            <w:r w:rsidRPr="003D206D">
              <w:rPr>
                <w:color w:val="0D0D0D" w:themeColor="text1" w:themeTint="F2"/>
              </w:rPr>
              <w:t>TB trials are often global endeavors, and the race field can vary from what is typical in the United States. Reporting by race is often a requirement for regulatory bodies, so it is still included in many demographic tables.</w:t>
            </w:r>
          </w:p>
        </w:tc>
      </w:tr>
      <w:tr w:rsidR="00454598" w14:paraId="783F905D" w14:textId="77777777" w:rsidTr="0035780A">
        <w:tc>
          <w:tcPr>
            <w:tcW w:w="2083" w:type="dxa"/>
          </w:tcPr>
          <w:p w14:paraId="41CA65F1" w14:textId="02D61B03" w:rsidR="00454598" w:rsidRDefault="00454598" w:rsidP="00D467D1">
            <w:pPr>
              <w:rPr>
                <w:color w:val="0D0D0D" w:themeColor="text1" w:themeTint="F2"/>
              </w:rPr>
            </w:pPr>
            <w:r>
              <w:rPr>
                <w:color w:val="0D0D0D" w:themeColor="text1" w:themeTint="F2"/>
              </w:rPr>
              <w:t>ethnicity</w:t>
            </w:r>
          </w:p>
        </w:tc>
        <w:tc>
          <w:tcPr>
            <w:tcW w:w="2273" w:type="dxa"/>
          </w:tcPr>
          <w:p w14:paraId="0CB5B56E" w14:textId="7CDE8456" w:rsidR="00454598" w:rsidRDefault="00454598" w:rsidP="00D467D1">
            <w:pPr>
              <w:rPr>
                <w:color w:val="0D0D0D" w:themeColor="text1" w:themeTint="F2"/>
              </w:rPr>
            </w:pPr>
            <w:r>
              <w:rPr>
                <w:color w:val="0D0D0D" w:themeColor="text1" w:themeTint="F2"/>
              </w:rPr>
              <w:t>demographics</w:t>
            </w:r>
          </w:p>
        </w:tc>
        <w:tc>
          <w:tcPr>
            <w:tcW w:w="4922" w:type="dxa"/>
          </w:tcPr>
          <w:p w14:paraId="31FDFF80" w14:textId="42E25632" w:rsidR="00454598" w:rsidRPr="003D206D" w:rsidRDefault="00454598" w:rsidP="00D467D1">
            <w:proofErr w:type="gramStart"/>
            <w:r w:rsidRPr="003D206D">
              <w:t>Similar to</w:t>
            </w:r>
            <w:proofErr w:type="gramEnd"/>
            <w:r w:rsidRPr="003D206D">
              <w:t xml:space="preserve"> the race variable, TB trials that are funded in total or partially by the US government require this category.</w:t>
            </w:r>
          </w:p>
        </w:tc>
      </w:tr>
      <w:tr w:rsidR="00454598" w14:paraId="54BADD1D" w14:textId="77777777" w:rsidTr="0035780A">
        <w:tc>
          <w:tcPr>
            <w:tcW w:w="2083" w:type="dxa"/>
          </w:tcPr>
          <w:p w14:paraId="6951511E" w14:textId="7055ED6B" w:rsidR="00454598" w:rsidRDefault="00454598" w:rsidP="00D467D1">
            <w:pPr>
              <w:rPr>
                <w:color w:val="0D0D0D" w:themeColor="text1" w:themeTint="F2"/>
              </w:rPr>
            </w:pPr>
            <w:proofErr w:type="spellStart"/>
            <w:r>
              <w:rPr>
                <w:color w:val="0D0D0D" w:themeColor="text1" w:themeTint="F2"/>
              </w:rPr>
              <w:t>hiv_status</w:t>
            </w:r>
            <w:proofErr w:type="spellEnd"/>
          </w:p>
        </w:tc>
        <w:tc>
          <w:tcPr>
            <w:tcW w:w="2273" w:type="dxa"/>
          </w:tcPr>
          <w:p w14:paraId="6FA1D399" w14:textId="2B45AEA8" w:rsidR="00454598" w:rsidRDefault="00454598" w:rsidP="00D467D1">
            <w:pPr>
              <w:rPr>
                <w:color w:val="0D0D0D" w:themeColor="text1" w:themeTint="F2"/>
              </w:rPr>
            </w:pPr>
            <w:r>
              <w:rPr>
                <w:color w:val="0D0D0D" w:themeColor="text1" w:themeTint="F2"/>
              </w:rPr>
              <w:t>demographics</w:t>
            </w:r>
          </w:p>
        </w:tc>
        <w:tc>
          <w:tcPr>
            <w:tcW w:w="4922" w:type="dxa"/>
          </w:tcPr>
          <w:p w14:paraId="2E3F7D68" w14:textId="50547E5B" w:rsidR="00454598" w:rsidRPr="003D206D" w:rsidRDefault="00454598" w:rsidP="00D467D1">
            <w:r w:rsidRPr="003D206D">
              <w:t>People living with HIV are an important subgroup and is reported as a demographic variable in TB trials.</w:t>
            </w:r>
          </w:p>
        </w:tc>
      </w:tr>
      <w:tr w:rsidR="00454598" w14:paraId="783599D0" w14:textId="77777777" w:rsidTr="0035780A">
        <w:tc>
          <w:tcPr>
            <w:tcW w:w="2083" w:type="dxa"/>
          </w:tcPr>
          <w:p w14:paraId="6E9AE8D6" w14:textId="02D40B15" w:rsidR="00454598" w:rsidRDefault="00F95B4B" w:rsidP="00D467D1">
            <w:pPr>
              <w:rPr>
                <w:color w:val="0D0D0D" w:themeColor="text1" w:themeTint="F2"/>
              </w:rPr>
            </w:pPr>
            <w:proofErr w:type="spellStart"/>
            <w:r>
              <w:rPr>
                <w:color w:val="0D0D0D" w:themeColor="text1" w:themeTint="F2"/>
              </w:rPr>
              <w:t>baseline_ttp</w:t>
            </w:r>
            <w:proofErr w:type="spellEnd"/>
          </w:p>
        </w:tc>
        <w:tc>
          <w:tcPr>
            <w:tcW w:w="2273" w:type="dxa"/>
          </w:tcPr>
          <w:p w14:paraId="47E35CA4" w14:textId="3712C9CD" w:rsidR="00454598" w:rsidRDefault="00066B7B" w:rsidP="00D467D1">
            <w:pPr>
              <w:rPr>
                <w:color w:val="0D0D0D" w:themeColor="text1" w:themeTint="F2"/>
              </w:rPr>
            </w:pPr>
            <w:r>
              <w:rPr>
                <w:color w:val="0D0D0D" w:themeColor="text1" w:themeTint="F2"/>
              </w:rPr>
              <w:t>demographics</w:t>
            </w:r>
          </w:p>
        </w:tc>
        <w:tc>
          <w:tcPr>
            <w:tcW w:w="4922" w:type="dxa"/>
          </w:tcPr>
          <w:p w14:paraId="7865E601" w14:textId="4B9F52FB" w:rsidR="00454598" w:rsidRPr="003D206D" w:rsidRDefault="00F95B4B" w:rsidP="00D467D1">
            <w:r w:rsidRPr="003D206D">
              <w:t xml:space="preserve">Baseline time-to-positivity is a measurement of bacterial load. This variable is usually used as </w:t>
            </w:r>
            <w:proofErr w:type="spellStart"/>
            <w:r w:rsidRPr="003D206D">
              <w:t>in</w:t>
            </w:r>
            <w:proofErr w:type="spellEnd"/>
            <w:r w:rsidRPr="003D206D">
              <w:t xml:space="preserve"> indicator of disease severity in TB.</w:t>
            </w:r>
          </w:p>
        </w:tc>
      </w:tr>
      <w:tr w:rsidR="004477C0" w14:paraId="001A1951" w14:textId="77777777" w:rsidTr="0035780A">
        <w:tc>
          <w:tcPr>
            <w:tcW w:w="2083" w:type="dxa"/>
          </w:tcPr>
          <w:p w14:paraId="001C0E54" w14:textId="1D4AE7B7" w:rsidR="004477C0" w:rsidRDefault="004477C0" w:rsidP="00D467D1">
            <w:pPr>
              <w:rPr>
                <w:color w:val="0D0D0D" w:themeColor="text1" w:themeTint="F2"/>
              </w:rPr>
            </w:pPr>
            <w:proofErr w:type="spellStart"/>
            <w:r>
              <w:rPr>
                <w:color w:val="0D0D0D" w:themeColor="text1" w:themeTint="F2"/>
              </w:rPr>
              <w:t>baseline_bsorres</w:t>
            </w:r>
            <w:proofErr w:type="spellEnd"/>
          </w:p>
        </w:tc>
        <w:tc>
          <w:tcPr>
            <w:tcW w:w="2273" w:type="dxa"/>
          </w:tcPr>
          <w:p w14:paraId="4F5E5966" w14:textId="38D99177" w:rsidR="004477C0" w:rsidRDefault="004477C0" w:rsidP="00D467D1">
            <w:pPr>
              <w:rPr>
                <w:color w:val="0D0D0D" w:themeColor="text1" w:themeTint="F2"/>
              </w:rPr>
            </w:pPr>
            <w:r>
              <w:rPr>
                <w:color w:val="0D0D0D" w:themeColor="text1" w:themeTint="F2"/>
              </w:rPr>
              <w:t>demographics</w:t>
            </w:r>
          </w:p>
        </w:tc>
        <w:tc>
          <w:tcPr>
            <w:tcW w:w="4922" w:type="dxa"/>
          </w:tcPr>
          <w:p w14:paraId="71987053" w14:textId="488FBB7E" w:rsidR="004477C0" w:rsidRPr="003D206D" w:rsidRDefault="004477C0" w:rsidP="00D467D1">
            <w:r w:rsidRPr="003D206D">
              <w:t>Semi-quantitative baseline smear microscopy result, a measure of bacterial load using graded smear microscopy readings (for example: Scanty, 1+, 2+, etc.). Commonly used in TB for assessing baseline disease severity.</w:t>
            </w:r>
          </w:p>
        </w:tc>
      </w:tr>
      <w:tr w:rsidR="004477C0" w14:paraId="4F4F313B" w14:textId="77777777" w:rsidTr="0035780A">
        <w:tc>
          <w:tcPr>
            <w:tcW w:w="2083" w:type="dxa"/>
          </w:tcPr>
          <w:p w14:paraId="1082268D" w14:textId="658AAA2C" w:rsidR="004477C0" w:rsidRDefault="004477C0" w:rsidP="00D467D1">
            <w:pPr>
              <w:rPr>
                <w:color w:val="0D0D0D" w:themeColor="text1" w:themeTint="F2"/>
              </w:rPr>
            </w:pPr>
            <w:proofErr w:type="spellStart"/>
            <w:r>
              <w:rPr>
                <w:color w:val="0D0D0D" w:themeColor="text1" w:themeTint="F2"/>
              </w:rPr>
              <w:lastRenderedPageBreak/>
              <w:t>baseline_ct</w:t>
            </w:r>
            <w:proofErr w:type="spellEnd"/>
          </w:p>
        </w:tc>
        <w:tc>
          <w:tcPr>
            <w:tcW w:w="2273" w:type="dxa"/>
          </w:tcPr>
          <w:p w14:paraId="6C0DA8FD" w14:textId="6FD9D50E" w:rsidR="004477C0" w:rsidRDefault="004477C0" w:rsidP="00D467D1">
            <w:pPr>
              <w:rPr>
                <w:color w:val="0D0D0D" w:themeColor="text1" w:themeTint="F2"/>
              </w:rPr>
            </w:pPr>
            <w:r>
              <w:rPr>
                <w:color w:val="0D0D0D" w:themeColor="text1" w:themeTint="F2"/>
              </w:rPr>
              <w:t>demographics</w:t>
            </w:r>
          </w:p>
        </w:tc>
        <w:tc>
          <w:tcPr>
            <w:tcW w:w="4922" w:type="dxa"/>
          </w:tcPr>
          <w:p w14:paraId="6318F3D6" w14:textId="2FAA5062" w:rsidR="004477C0" w:rsidRPr="003D206D" w:rsidRDefault="004477C0" w:rsidP="00D467D1">
            <w:r w:rsidRPr="003D206D">
              <w:t>Semi-quantitative baseline smear microscopy result, a measure of bacterial load using graded smear microscopy readings (for example: Scanty, 1+, 2+, etc.). Commonly used in TB for assessing baseline disease severity.</w:t>
            </w:r>
          </w:p>
        </w:tc>
      </w:tr>
      <w:tr w:rsidR="004477C0" w14:paraId="1162C3F1" w14:textId="77777777" w:rsidTr="0035780A">
        <w:tc>
          <w:tcPr>
            <w:tcW w:w="2083" w:type="dxa"/>
          </w:tcPr>
          <w:p w14:paraId="53AD40C0" w14:textId="6FBA83CE" w:rsidR="004477C0" w:rsidRDefault="004477C0" w:rsidP="00D467D1">
            <w:pPr>
              <w:rPr>
                <w:color w:val="0D0D0D" w:themeColor="text1" w:themeTint="F2"/>
              </w:rPr>
            </w:pPr>
            <w:proofErr w:type="spellStart"/>
            <w:r>
              <w:rPr>
                <w:color w:val="0D0D0D" w:themeColor="text1" w:themeTint="F2"/>
              </w:rPr>
              <w:t>baseline_cavitation</w:t>
            </w:r>
            <w:proofErr w:type="spellEnd"/>
          </w:p>
        </w:tc>
        <w:tc>
          <w:tcPr>
            <w:tcW w:w="2273" w:type="dxa"/>
          </w:tcPr>
          <w:p w14:paraId="3899EB94" w14:textId="3DAE1C88" w:rsidR="004477C0" w:rsidRDefault="004477C0" w:rsidP="00D467D1">
            <w:pPr>
              <w:rPr>
                <w:color w:val="0D0D0D" w:themeColor="text1" w:themeTint="F2"/>
              </w:rPr>
            </w:pPr>
            <w:r>
              <w:rPr>
                <w:color w:val="0D0D0D" w:themeColor="text1" w:themeTint="F2"/>
              </w:rPr>
              <w:t>demographics</w:t>
            </w:r>
          </w:p>
        </w:tc>
        <w:tc>
          <w:tcPr>
            <w:tcW w:w="4922" w:type="dxa"/>
          </w:tcPr>
          <w:p w14:paraId="03EF60D7" w14:textId="1D07ADBA" w:rsidR="004477C0" w:rsidRPr="003D206D" w:rsidRDefault="004477C0" w:rsidP="00D467D1">
            <w:r w:rsidRPr="003D206D">
              <w:t>A logical variable that indicates the presence or absence of chest cavities. Presence of cavitation is an indicator of more severe disease.</w:t>
            </w:r>
          </w:p>
        </w:tc>
      </w:tr>
      <w:tr w:rsidR="004477C0" w14:paraId="51B5888C" w14:textId="77777777" w:rsidTr="0035780A">
        <w:tc>
          <w:tcPr>
            <w:tcW w:w="2083" w:type="dxa"/>
          </w:tcPr>
          <w:p w14:paraId="597D8FFC" w14:textId="7DDA1A0F" w:rsidR="004477C0" w:rsidRDefault="004477C0" w:rsidP="00D467D1">
            <w:pPr>
              <w:rPr>
                <w:color w:val="0D0D0D" w:themeColor="text1" w:themeTint="F2"/>
              </w:rPr>
            </w:pPr>
            <w:proofErr w:type="spellStart"/>
            <w:r>
              <w:rPr>
                <w:color w:val="0D0D0D" w:themeColor="text1" w:themeTint="F2"/>
              </w:rPr>
              <w:t>ttp</w:t>
            </w:r>
            <w:proofErr w:type="spellEnd"/>
          </w:p>
        </w:tc>
        <w:tc>
          <w:tcPr>
            <w:tcW w:w="2273" w:type="dxa"/>
          </w:tcPr>
          <w:p w14:paraId="41099C13" w14:textId="55555535" w:rsidR="004477C0" w:rsidRDefault="004477C0" w:rsidP="00D467D1">
            <w:pPr>
              <w:rPr>
                <w:color w:val="0D0D0D" w:themeColor="text1" w:themeTint="F2"/>
              </w:rPr>
            </w:pPr>
            <w:proofErr w:type="spellStart"/>
            <w:r>
              <w:rPr>
                <w:color w:val="0D0D0D" w:themeColor="text1" w:themeTint="F2"/>
              </w:rPr>
              <w:t>efficacy_ttp</w:t>
            </w:r>
            <w:proofErr w:type="spellEnd"/>
          </w:p>
        </w:tc>
        <w:tc>
          <w:tcPr>
            <w:tcW w:w="4922" w:type="dxa"/>
          </w:tcPr>
          <w:p w14:paraId="28B56377" w14:textId="417038DF" w:rsidR="004477C0" w:rsidRPr="003D206D" w:rsidRDefault="004477C0" w:rsidP="00D467D1">
            <w:r w:rsidRPr="003D206D">
              <w:t xml:space="preserve">Time-to-positivity, measured in days, with a partial day being a decimal (4.25 = 4 days and 6 hours) is  a measurement of bacterial load </w:t>
            </w:r>
            <w:r w:rsidR="00E7259A" w:rsidRPr="003D206D">
              <w:t xml:space="preserve">using liquid MGIT culture </w:t>
            </w:r>
            <w:r w:rsidRPr="003D206D">
              <w:t xml:space="preserve">and is tracked through the study. </w:t>
            </w:r>
            <w:r w:rsidR="00E7259A" w:rsidRPr="003D206D">
              <w:t>A larger result means more time until the sample is positive for TB. By convention, samples have a maximum value of 42 days, and negative samples are often coded as 42 for modeling and displaying results.</w:t>
            </w:r>
          </w:p>
        </w:tc>
      </w:tr>
      <w:tr w:rsidR="00E7259A" w14:paraId="2D530770" w14:textId="77777777" w:rsidTr="0035780A">
        <w:tc>
          <w:tcPr>
            <w:tcW w:w="2083" w:type="dxa"/>
          </w:tcPr>
          <w:p w14:paraId="3786CE1C" w14:textId="6F38CEB9" w:rsidR="00E7259A" w:rsidRDefault="00E7259A" w:rsidP="00D467D1">
            <w:pPr>
              <w:rPr>
                <w:color w:val="0D0D0D" w:themeColor="text1" w:themeTint="F2"/>
              </w:rPr>
            </w:pPr>
            <w:proofErr w:type="spellStart"/>
            <w:r>
              <w:rPr>
                <w:color w:val="0D0D0D" w:themeColor="text1" w:themeTint="F2"/>
              </w:rPr>
              <w:t>ttp_result</w:t>
            </w:r>
            <w:proofErr w:type="spellEnd"/>
          </w:p>
        </w:tc>
        <w:tc>
          <w:tcPr>
            <w:tcW w:w="2273" w:type="dxa"/>
          </w:tcPr>
          <w:p w14:paraId="499DC9E2" w14:textId="53355826" w:rsidR="00E7259A" w:rsidRDefault="00E7259A" w:rsidP="00D467D1">
            <w:pPr>
              <w:rPr>
                <w:color w:val="0D0D0D" w:themeColor="text1" w:themeTint="F2"/>
              </w:rPr>
            </w:pPr>
            <w:proofErr w:type="spellStart"/>
            <w:r>
              <w:rPr>
                <w:color w:val="0D0D0D" w:themeColor="text1" w:themeTint="F2"/>
              </w:rPr>
              <w:t>efficacy_ttp</w:t>
            </w:r>
            <w:proofErr w:type="spellEnd"/>
          </w:p>
        </w:tc>
        <w:tc>
          <w:tcPr>
            <w:tcW w:w="4922" w:type="dxa"/>
          </w:tcPr>
          <w:p w14:paraId="4556C868" w14:textId="40A25224" w:rsidR="00E7259A" w:rsidRPr="003D206D" w:rsidRDefault="00E7259A" w:rsidP="00D467D1">
            <w:r w:rsidRPr="003D206D">
              <w:t xml:space="preserve">Culture results can also be assigned a category based on time-to-positivity. Results under 42 days  are coded as positive, while  no growth at 42 days are assigned a negative value. In some cases, cultures can also be contaminated, in which case no results can be determined from this sample. </w:t>
            </w:r>
          </w:p>
        </w:tc>
      </w:tr>
      <w:tr w:rsidR="00E7259A" w14:paraId="3DDA3C14" w14:textId="77777777" w:rsidTr="0035780A">
        <w:tc>
          <w:tcPr>
            <w:tcW w:w="2083" w:type="dxa"/>
          </w:tcPr>
          <w:p w14:paraId="29175AFD" w14:textId="783F9DFC" w:rsidR="00E7259A" w:rsidRDefault="00E7259A" w:rsidP="00D467D1">
            <w:r>
              <w:t>t</w:t>
            </w:r>
          </w:p>
        </w:tc>
        <w:tc>
          <w:tcPr>
            <w:tcW w:w="2273" w:type="dxa"/>
          </w:tcPr>
          <w:p w14:paraId="000A553C" w14:textId="10248190" w:rsidR="00E7259A" w:rsidRDefault="00E7259A" w:rsidP="00D467D1">
            <w:proofErr w:type="spellStart"/>
            <w:r>
              <w:t>efficacy_ttcc</w:t>
            </w:r>
            <w:proofErr w:type="spellEnd"/>
          </w:p>
        </w:tc>
        <w:tc>
          <w:tcPr>
            <w:tcW w:w="4922" w:type="dxa"/>
          </w:tcPr>
          <w:p w14:paraId="2774908D" w14:textId="7D14AD07" w:rsidR="00E7259A" w:rsidRDefault="007F0719" w:rsidP="00D467D1">
            <w:r>
              <w:t>Time to c</w:t>
            </w:r>
            <w:r w:rsidR="00E7259A">
              <w:t>ulture conversion</w:t>
            </w:r>
            <w:r>
              <w:t xml:space="preserve"> (TTCC)</w:t>
            </w:r>
            <w:r w:rsidR="00E7259A">
              <w:t xml:space="preserve"> is a measurement of overall cure. Although the method of calculation varies by trial, one example is that 2 consecutive negative time-to-positivity results can trigger a conversion flag, which </w:t>
            </w:r>
            <w:r>
              <w:t>then provides t, the time in days from entry into the trial to when a participant is said to be cured. This number is useful to model survival curves.</w:t>
            </w:r>
          </w:p>
        </w:tc>
      </w:tr>
      <w:tr w:rsidR="007F0719" w14:paraId="7A233A98" w14:textId="77777777" w:rsidTr="0035780A">
        <w:tc>
          <w:tcPr>
            <w:tcW w:w="2083" w:type="dxa"/>
          </w:tcPr>
          <w:p w14:paraId="56CA13CF" w14:textId="6ECD96AF" w:rsidR="007F0719" w:rsidRDefault="007F0719" w:rsidP="00D467D1">
            <w:proofErr w:type="spellStart"/>
            <w:r>
              <w:t>conv_censored</w:t>
            </w:r>
            <w:proofErr w:type="spellEnd"/>
          </w:p>
        </w:tc>
        <w:tc>
          <w:tcPr>
            <w:tcW w:w="2273" w:type="dxa"/>
          </w:tcPr>
          <w:p w14:paraId="2166E18A" w14:textId="1CD625FF" w:rsidR="007F0719" w:rsidRDefault="007F0719" w:rsidP="00D467D1">
            <w:proofErr w:type="spellStart"/>
            <w:r>
              <w:t>efficacy_ttp</w:t>
            </w:r>
            <w:proofErr w:type="spellEnd"/>
          </w:p>
        </w:tc>
        <w:tc>
          <w:tcPr>
            <w:tcW w:w="4922" w:type="dxa"/>
          </w:tcPr>
          <w:p w14:paraId="02E72FD9" w14:textId="77168626" w:rsidR="007F0719" w:rsidRDefault="007F0719" w:rsidP="00D467D1">
            <w:r>
              <w:t xml:space="preserve">A censoring flag, useful in survival analysis. A value of 0 indicates that TTCC is unobserved. This could occur for several different reasons, such as study drop out, loss to follow up, or non-conversion by the end of the treatment period. This flag is used in conjunction with `t` to model survival. </w:t>
            </w:r>
          </w:p>
        </w:tc>
      </w:tr>
      <w:tr w:rsidR="007F0719" w14:paraId="75346123" w14:textId="77777777" w:rsidTr="0035780A">
        <w:tc>
          <w:tcPr>
            <w:tcW w:w="2083" w:type="dxa"/>
          </w:tcPr>
          <w:p w14:paraId="2DDB0708" w14:textId="62678220" w:rsidR="007F0719" w:rsidRDefault="007F0719" w:rsidP="00D467D1">
            <w:proofErr w:type="spellStart"/>
            <w:r>
              <w:t>ae_grade</w:t>
            </w:r>
            <w:proofErr w:type="spellEnd"/>
          </w:p>
        </w:tc>
        <w:tc>
          <w:tcPr>
            <w:tcW w:w="2273" w:type="dxa"/>
          </w:tcPr>
          <w:p w14:paraId="46A97EDE" w14:textId="7353F0F7" w:rsidR="007F0719" w:rsidRDefault="007F0719" w:rsidP="00D467D1">
            <w:proofErr w:type="spellStart"/>
            <w:r>
              <w:t>safety_adverse_events</w:t>
            </w:r>
            <w:proofErr w:type="spellEnd"/>
          </w:p>
        </w:tc>
        <w:tc>
          <w:tcPr>
            <w:tcW w:w="4922" w:type="dxa"/>
          </w:tcPr>
          <w:p w14:paraId="6F74F6FE" w14:textId="5EDB05A9" w:rsidR="007F0719" w:rsidRDefault="007F0719" w:rsidP="00D467D1">
            <w:r>
              <w:t xml:space="preserve">Adverse events are assigned a numerical scale of severity, most commonly from the common terminology criteria for adverse events (CTCAE) or </w:t>
            </w:r>
            <w:r>
              <w:lastRenderedPageBreak/>
              <w:t xml:space="preserve">the Division of AIDS (DAIDS) grading of adult and pediatric adverse events. </w:t>
            </w:r>
            <w:r w:rsidR="0090242D">
              <w:t>The number of adverse events along with their severity are reported as a measurement of regimen safety.</w:t>
            </w:r>
            <w:r>
              <w:t xml:space="preserve"> </w:t>
            </w:r>
          </w:p>
        </w:tc>
      </w:tr>
      <w:tr w:rsidR="0090242D" w14:paraId="511A4589" w14:textId="77777777" w:rsidTr="0035780A">
        <w:tc>
          <w:tcPr>
            <w:tcW w:w="2083" w:type="dxa"/>
          </w:tcPr>
          <w:p w14:paraId="713890A2" w14:textId="2113FAEF" w:rsidR="0090242D" w:rsidRDefault="0090242D" w:rsidP="00D467D1">
            <w:proofErr w:type="spellStart"/>
            <w:r>
              <w:t>ae_serious</w:t>
            </w:r>
            <w:proofErr w:type="spellEnd"/>
          </w:p>
        </w:tc>
        <w:tc>
          <w:tcPr>
            <w:tcW w:w="2273" w:type="dxa"/>
          </w:tcPr>
          <w:p w14:paraId="22118094" w14:textId="3456B81F" w:rsidR="0090242D" w:rsidRDefault="0090242D" w:rsidP="00D467D1">
            <w:proofErr w:type="spellStart"/>
            <w:r>
              <w:t>safety_adverse_events</w:t>
            </w:r>
            <w:proofErr w:type="spellEnd"/>
          </w:p>
        </w:tc>
        <w:tc>
          <w:tcPr>
            <w:tcW w:w="4922" w:type="dxa"/>
          </w:tcPr>
          <w:p w14:paraId="147E6CA2" w14:textId="7446094D" w:rsidR="0090242D" w:rsidRDefault="0090242D" w:rsidP="00D467D1">
            <w:r>
              <w:t>A separate measure of severity. In addition to the grade, some events are marked as serious if certain criteria are met. This is related to the grade but not entirely analogous, and so both the grade and the serious flag are reported as a measurement of safety.</w:t>
            </w:r>
          </w:p>
        </w:tc>
      </w:tr>
      <w:tr w:rsidR="0090242D" w14:paraId="2E2D95DD" w14:textId="77777777" w:rsidTr="0035780A">
        <w:tc>
          <w:tcPr>
            <w:tcW w:w="2083" w:type="dxa"/>
          </w:tcPr>
          <w:p w14:paraId="15BB16CB" w14:textId="54F5C85F" w:rsidR="0090242D" w:rsidRDefault="0090242D" w:rsidP="00D467D1">
            <w:proofErr w:type="spellStart"/>
            <w:r>
              <w:t>ae_related</w:t>
            </w:r>
            <w:proofErr w:type="spellEnd"/>
          </w:p>
        </w:tc>
        <w:tc>
          <w:tcPr>
            <w:tcW w:w="2273" w:type="dxa"/>
          </w:tcPr>
          <w:p w14:paraId="456639D8" w14:textId="06889915" w:rsidR="0090242D" w:rsidRDefault="0090242D" w:rsidP="00D467D1">
            <w:proofErr w:type="spellStart"/>
            <w:r>
              <w:t>safety_adverse_events</w:t>
            </w:r>
            <w:proofErr w:type="spellEnd"/>
          </w:p>
        </w:tc>
        <w:tc>
          <w:tcPr>
            <w:tcW w:w="4922" w:type="dxa"/>
          </w:tcPr>
          <w:p w14:paraId="7DC5F3F9" w14:textId="6997BF68" w:rsidR="0090242D" w:rsidRDefault="0035780A" w:rsidP="00D467D1">
            <w:r>
              <w:t xml:space="preserve">A measurement of how related an adverse event is to the study drug or regimen. For this </w:t>
            </w:r>
            <w:proofErr w:type="gramStart"/>
            <w:r>
              <w:t>example</w:t>
            </w:r>
            <w:proofErr w:type="gramEnd"/>
            <w:r>
              <w:t xml:space="preserve"> dataset we have broken it up into a 5 category Likert scale, where 1 is the least related (coded unrelated) and 5 is the most related (coded definitely). The relatedness is often reported as a safety measurement, but the way is assessed and coded can vary.</w:t>
            </w:r>
          </w:p>
        </w:tc>
      </w:tr>
      <w:tr w:rsidR="0035780A" w14:paraId="635E175B" w14:textId="77777777" w:rsidTr="0035780A">
        <w:tc>
          <w:tcPr>
            <w:tcW w:w="2083" w:type="dxa"/>
          </w:tcPr>
          <w:p w14:paraId="315D67C0" w14:textId="243D5ADB" w:rsidR="0035780A" w:rsidRDefault="0035780A" w:rsidP="00D467D1">
            <w:proofErr w:type="spellStart"/>
            <w:r>
              <w:t>ecg_abnormal</w:t>
            </w:r>
            <w:proofErr w:type="spellEnd"/>
          </w:p>
        </w:tc>
        <w:tc>
          <w:tcPr>
            <w:tcW w:w="2273" w:type="dxa"/>
          </w:tcPr>
          <w:p w14:paraId="6761EFEA" w14:textId="4FE4CBC2" w:rsidR="0035780A" w:rsidRDefault="0035780A" w:rsidP="00D467D1">
            <w:proofErr w:type="spellStart"/>
            <w:r>
              <w:t>safety_ecg</w:t>
            </w:r>
            <w:proofErr w:type="spellEnd"/>
          </w:p>
        </w:tc>
        <w:tc>
          <w:tcPr>
            <w:tcW w:w="4922" w:type="dxa"/>
          </w:tcPr>
          <w:p w14:paraId="333DC292" w14:textId="404BAE0C" w:rsidR="0035780A" w:rsidRDefault="0035780A" w:rsidP="00D467D1">
            <w:r>
              <w:t>A flag indicating if a measurement is considered abnormal</w:t>
            </w:r>
            <w:r w:rsidR="00D467D1">
              <w:t xml:space="preserve">. </w:t>
            </w:r>
            <w:r>
              <w:t xml:space="preserve">This will not usually indicate which measurements are abnormal, except when in long format. In some cases, abnormalities are reported, especially when they are an indicator of a TB drug specific reaction, such as </w:t>
            </w:r>
            <w:r w:rsidR="00D467D1">
              <w:t xml:space="preserve">QT or </w:t>
            </w:r>
            <w:proofErr w:type="spellStart"/>
            <w:r w:rsidR="00D467D1">
              <w:t>QTcF</w:t>
            </w:r>
            <w:proofErr w:type="spellEnd"/>
            <w:r>
              <w:t xml:space="preserve"> abnormalities in common TB regimens.</w:t>
            </w:r>
          </w:p>
        </w:tc>
      </w:tr>
      <w:tr w:rsidR="00D467D1" w14:paraId="2834B296" w14:textId="77777777" w:rsidTr="0035780A">
        <w:tc>
          <w:tcPr>
            <w:tcW w:w="2083" w:type="dxa"/>
          </w:tcPr>
          <w:p w14:paraId="5250E7E0" w14:textId="3E8AF01D" w:rsidR="00D467D1" w:rsidRDefault="00D467D1" w:rsidP="00D467D1">
            <w:proofErr w:type="spellStart"/>
            <w:r>
              <w:t>ecg_comment</w:t>
            </w:r>
            <w:proofErr w:type="spellEnd"/>
          </w:p>
        </w:tc>
        <w:tc>
          <w:tcPr>
            <w:tcW w:w="2273" w:type="dxa"/>
          </w:tcPr>
          <w:p w14:paraId="04DC6C79" w14:textId="4D60EA56" w:rsidR="00D467D1" w:rsidRDefault="00D467D1" w:rsidP="00D467D1">
            <w:proofErr w:type="spellStart"/>
            <w:r>
              <w:t>safety_ecg</w:t>
            </w:r>
            <w:proofErr w:type="spellEnd"/>
          </w:p>
        </w:tc>
        <w:tc>
          <w:tcPr>
            <w:tcW w:w="4922" w:type="dxa"/>
          </w:tcPr>
          <w:p w14:paraId="173A073F" w14:textId="46F37EC4" w:rsidR="00D467D1" w:rsidRDefault="00D467D1" w:rsidP="00D467D1">
            <w:r>
              <w:t>Free text describing the type of abnormal reading, if present. Can be used to parse the abnormal values for reportable values.</w:t>
            </w:r>
          </w:p>
        </w:tc>
      </w:tr>
    </w:tbl>
    <w:p w14:paraId="3FD3F6F0" w14:textId="76C7DFD2" w:rsidR="003D206D" w:rsidRDefault="003D206D" w:rsidP="003D206D">
      <w:pPr>
        <w:pStyle w:val="Heading2"/>
        <w:numPr>
          <w:ilvl w:val="0"/>
          <w:numId w:val="3"/>
        </w:numPr>
      </w:pPr>
      <w:bookmarkStart w:id="3" w:name="_Toc216117290"/>
      <w:r>
        <w:t>Suggested Output</w:t>
      </w:r>
      <w:bookmarkEnd w:id="3"/>
    </w:p>
    <w:p w14:paraId="44D274A6" w14:textId="3D9940E5" w:rsidR="003D206D" w:rsidRDefault="003D206D" w:rsidP="003D206D">
      <w:pPr>
        <w:ind w:firstLine="0"/>
      </w:pPr>
      <w:r>
        <w:t xml:space="preserve">Once constructed, these datasets can be used for a variety of tasks. This section </w:t>
      </w:r>
      <w:r w:rsidR="00AF32D6">
        <w:t>provides</w:t>
      </w:r>
      <w:r>
        <w:t xml:space="preserve"> suggestions on </w:t>
      </w:r>
      <w:r w:rsidR="00AF32D6">
        <w:t>the</w:t>
      </w:r>
      <w:r>
        <w:t xml:space="preserve"> types of outputs </w:t>
      </w:r>
      <w:r w:rsidR="00AF32D6">
        <w:t xml:space="preserve">that </w:t>
      </w:r>
      <w:r>
        <w:t>are possible using th</w:t>
      </w:r>
      <w:r w:rsidR="00AF32D6">
        <w:t>ese data frames as the primary output. Some outputs may require merging with other sheets.</w:t>
      </w:r>
    </w:p>
    <w:p w14:paraId="0130B872" w14:textId="6074A8C2" w:rsidR="00AF32D6" w:rsidRDefault="00AF32D6" w:rsidP="00AF32D6">
      <w:pPr>
        <w:ind w:firstLine="0"/>
        <w:rPr>
          <w:b/>
          <w:bCs/>
        </w:rPr>
      </w:pPr>
      <w:r>
        <w:rPr>
          <w:b/>
          <w:bCs/>
        </w:rPr>
        <w:t>Study Populations:</w:t>
      </w:r>
    </w:p>
    <w:p w14:paraId="669C91DA" w14:textId="300160AC" w:rsidR="00AF32D6" w:rsidRPr="00AF32D6" w:rsidRDefault="00AF32D6" w:rsidP="00AF32D6">
      <w:pPr>
        <w:pStyle w:val="ListParagraph"/>
        <w:numPr>
          <w:ilvl w:val="0"/>
          <w:numId w:val="4"/>
        </w:numPr>
        <w:rPr>
          <w:b/>
          <w:bCs/>
        </w:rPr>
      </w:pPr>
      <w:r>
        <w:t>Eligibility Table, showing each trial population and the number(s) eligible in each population by trial arm.</w:t>
      </w:r>
    </w:p>
    <w:p w14:paraId="06D8F8B8" w14:textId="78C74F8F" w:rsidR="00AF32D6" w:rsidRPr="00AF32D6" w:rsidRDefault="00AF32D6" w:rsidP="00AF32D6">
      <w:pPr>
        <w:pStyle w:val="ListParagraph"/>
        <w:numPr>
          <w:ilvl w:val="0"/>
          <w:numId w:val="4"/>
        </w:numPr>
        <w:rPr>
          <w:b/>
          <w:bCs/>
        </w:rPr>
      </w:pPr>
      <w:r>
        <w:t>CONSORT Diagram, a flowchart of the trial populations, usually from randomized to ITT/</w:t>
      </w:r>
      <w:proofErr w:type="spellStart"/>
      <w:r>
        <w:t>miTT</w:t>
      </w:r>
      <w:proofErr w:type="spellEnd"/>
      <w:r>
        <w:t xml:space="preserve"> to per-protocol.</w:t>
      </w:r>
    </w:p>
    <w:p w14:paraId="7DA487BE" w14:textId="5AB5DD7D" w:rsidR="00AF32D6" w:rsidRDefault="00AF32D6" w:rsidP="00AF32D6">
      <w:pPr>
        <w:rPr>
          <w:b/>
          <w:bCs/>
        </w:rPr>
      </w:pPr>
      <w:r>
        <w:rPr>
          <w:b/>
          <w:bCs/>
        </w:rPr>
        <w:t>Visit Windows:</w:t>
      </w:r>
    </w:p>
    <w:p w14:paraId="0605AA66" w14:textId="532EE947" w:rsidR="00AF32D6" w:rsidRPr="00AF32D6" w:rsidRDefault="00AF32D6" w:rsidP="00AF32D6">
      <w:pPr>
        <w:pStyle w:val="ListParagraph"/>
        <w:numPr>
          <w:ilvl w:val="0"/>
          <w:numId w:val="5"/>
        </w:numPr>
        <w:rPr>
          <w:b/>
          <w:bCs/>
        </w:rPr>
      </w:pPr>
      <w:r>
        <w:lastRenderedPageBreak/>
        <w:t>Visit Completion Table, which shows the number of participants who completed each key visit per trial arm.</w:t>
      </w:r>
    </w:p>
    <w:p w14:paraId="7D861DE4" w14:textId="74C06137" w:rsidR="00AF32D6" w:rsidRPr="00AF32D6" w:rsidRDefault="00AF32D6" w:rsidP="00AF32D6">
      <w:pPr>
        <w:pStyle w:val="ListParagraph"/>
        <w:numPr>
          <w:ilvl w:val="0"/>
          <w:numId w:val="5"/>
        </w:numPr>
        <w:rPr>
          <w:b/>
          <w:bCs/>
        </w:rPr>
      </w:pPr>
      <w:r>
        <w:t xml:space="preserve">A flow diagram </w:t>
      </w:r>
      <w:r w:rsidR="00807C10">
        <w:t xml:space="preserve">similarly </w:t>
      </w:r>
      <w:r>
        <w:t>showing movement throughout the trial.</w:t>
      </w:r>
    </w:p>
    <w:p w14:paraId="1445BA28" w14:textId="7BE41781" w:rsidR="00AF32D6" w:rsidRDefault="00AF32D6" w:rsidP="00AF32D6">
      <w:pPr>
        <w:rPr>
          <w:b/>
          <w:bCs/>
        </w:rPr>
      </w:pPr>
      <w:r>
        <w:rPr>
          <w:b/>
          <w:bCs/>
        </w:rPr>
        <w:t>Demographics:</w:t>
      </w:r>
    </w:p>
    <w:p w14:paraId="14414796" w14:textId="4A08D4EA" w:rsidR="00AF32D6" w:rsidRPr="00BC7763" w:rsidRDefault="00AF32D6" w:rsidP="00AF32D6">
      <w:pPr>
        <w:pStyle w:val="ListParagraph"/>
        <w:numPr>
          <w:ilvl w:val="0"/>
          <w:numId w:val="6"/>
        </w:numPr>
        <w:rPr>
          <w:b/>
          <w:bCs/>
        </w:rPr>
      </w:pPr>
      <w:r>
        <w:t xml:space="preserve">A classical Table 1, </w:t>
      </w:r>
      <w:r w:rsidR="00BC7763">
        <w:t>which shows the distribution of participants across demographic factors by trial arm.</w:t>
      </w:r>
    </w:p>
    <w:p w14:paraId="688D5A78" w14:textId="677DE4CA" w:rsidR="00BC7763" w:rsidRPr="00BC7763" w:rsidRDefault="00BC7763" w:rsidP="00AF32D6">
      <w:pPr>
        <w:pStyle w:val="ListParagraph"/>
        <w:numPr>
          <w:ilvl w:val="0"/>
          <w:numId w:val="6"/>
        </w:numPr>
        <w:rPr>
          <w:b/>
          <w:bCs/>
        </w:rPr>
      </w:pPr>
      <w:r>
        <w:t>By merging the demographics table with efficacy or safety output, you can perform summaries or sub-analyses of trial data using demographic variables.</w:t>
      </w:r>
    </w:p>
    <w:p w14:paraId="30127D0B" w14:textId="68C7C3C9" w:rsidR="00BC7763" w:rsidRDefault="00BC7763" w:rsidP="00BC7763">
      <w:pPr>
        <w:rPr>
          <w:b/>
          <w:bCs/>
        </w:rPr>
      </w:pPr>
      <w:proofErr w:type="spellStart"/>
      <w:r>
        <w:rPr>
          <w:b/>
          <w:bCs/>
        </w:rPr>
        <w:t>Efficacy_ttp</w:t>
      </w:r>
      <w:proofErr w:type="spellEnd"/>
      <w:r>
        <w:rPr>
          <w:b/>
          <w:bCs/>
        </w:rPr>
        <w:t>:</w:t>
      </w:r>
    </w:p>
    <w:p w14:paraId="186BB0F5" w14:textId="4B9A99E5" w:rsidR="00BC7763" w:rsidRDefault="00BC7763" w:rsidP="00BC7763">
      <w:pPr>
        <w:pStyle w:val="ListParagraph"/>
        <w:numPr>
          <w:ilvl w:val="0"/>
          <w:numId w:val="7"/>
        </w:numPr>
      </w:pPr>
      <w:r>
        <w:t>A line graph plotting TTP over time throughout the course of the trial.</w:t>
      </w:r>
    </w:p>
    <w:p w14:paraId="1FD8DC60" w14:textId="6BF8506C" w:rsidR="00BC7763" w:rsidRDefault="00BC7763" w:rsidP="00BC7763">
      <w:pPr>
        <w:pStyle w:val="ListParagraph"/>
        <w:numPr>
          <w:ilvl w:val="0"/>
          <w:numId w:val="7"/>
        </w:numPr>
      </w:pPr>
      <w:r>
        <w:t>Weekly tabular summaries of TTP.</w:t>
      </w:r>
    </w:p>
    <w:p w14:paraId="132E580F" w14:textId="649A6063" w:rsidR="00BC7763" w:rsidRDefault="00BC7763" w:rsidP="00BC7763">
      <w:pPr>
        <w:pStyle w:val="ListParagraph"/>
        <w:numPr>
          <w:ilvl w:val="0"/>
          <w:numId w:val="7"/>
        </w:numPr>
      </w:pPr>
      <w:r>
        <w:t>Modeling TTP, slope of TTP, or subgroup analyses using TTP as your y variable.</w:t>
      </w:r>
    </w:p>
    <w:p w14:paraId="769257AA" w14:textId="7B93EE7E" w:rsidR="00FB4C71" w:rsidRPr="00FB4C71" w:rsidRDefault="00BC7763" w:rsidP="00FB4C71">
      <w:pPr>
        <w:rPr>
          <w:b/>
          <w:bCs/>
        </w:rPr>
      </w:pPr>
      <w:proofErr w:type="spellStart"/>
      <w:r>
        <w:rPr>
          <w:b/>
          <w:bCs/>
        </w:rPr>
        <w:t>Efficacy_ttcc</w:t>
      </w:r>
      <w:proofErr w:type="spellEnd"/>
      <w:r>
        <w:rPr>
          <w:b/>
          <w:bCs/>
        </w:rPr>
        <w:t>:</w:t>
      </w:r>
    </w:p>
    <w:p w14:paraId="0B2FE986" w14:textId="20BF1085" w:rsidR="00FB4C71" w:rsidRPr="00FB4C71" w:rsidRDefault="00FB4C71" w:rsidP="00FB4C71">
      <w:pPr>
        <w:pStyle w:val="ListParagraph"/>
        <w:numPr>
          <w:ilvl w:val="0"/>
          <w:numId w:val="8"/>
        </w:numPr>
        <w:rPr>
          <w:b/>
          <w:bCs/>
        </w:rPr>
      </w:pPr>
      <w:r>
        <w:t xml:space="preserve">Plotting a Kaplan-Meier curve using t, </w:t>
      </w:r>
      <w:proofErr w:type="spellStart"/>
      <w:r>
        <w:t>conv_censored</w:t>
      </w:r>
      <w:proofErr w:type="spellEnd"/>
      <w:r>
        <w:t xml:space="preserve">, and </w:t>
      </w:r>
      <w:proofErr w:type="spellStart"/>
      <w:r>
        <w:t>trial_arm</w:t>
      </w:r>
      <w:proofErr w:type="spellEnd"/>
      <w:r>
        <w:t>.</w:t>
      </w:r>
    </w:p>
    <w:p w14:paraId="61FC968C" w14:textId="14701880" w:rsidR="00FB4C71" w:rsidRPr="00FB4C71" w:rsidRDefault="00FB4C71" w:rsidP="00FB4C71">
      <w:pPr>
        <w:pStyle w:val="ListParagraph"/>
        <w:numPr>
          <w:ilvl w:val="0"/>
          <w:numId w:val="8"/>
        </w:numPr>
        <w:rPr>
          <w:b/>
          <w:bCs/>
        </w:rPr>
      </w:pPr>
      <w:r>
        <w:t>Compare survival curves between trial arms.</w:t>
      </w:r>
    </w:p>
    <w:p w14:paraId="06658064" w14:textId="26296DBC" w:rsidR="00FB4C71" w:rsidRPr="00FB4C71" w:rsidRDefault="00FB4C71" w:rsidP="00FB4C71">
      <w:pPr>
        <w:pStyle w:val="ListParagraph"/>
        <w:numPr>
          <w:ilvl w:val="0"/>
          <w:numId w:val="8"/>
        </w:numPr>
        <w:rPr>
          <w:b/>
          <w:bCs/>
        </w:rPr>
      </w:pPr>
      <w:r>
        <w:t>Other survival analysis, such as Cox Models, using variables of interest from other datasets.</w:t>
      </w:r>
    </w:p>
    <w:p w14:paraId="6CD76AAA" w14:textId="7F975A18" w:rsidR="00FB4C71" w:rsidRDefault="00FB4C71" w:rsidP="00FB4C71">
      <w:proofErr w:type="spellStart"/>
      <w:r>
        <w:rPr>
          <w:b/>
          <w:bCs/>
        </w:rPr>
        <w:t>Safety_adverse_events</w:t>
      </w:r>
      <w:proofErr w:type="spellEnd"/>
      <w:r>
        <w:rPr>
          <w:b/>
          <w:bCs/>
        </w:rPr>
        <w:t>:</w:t>
      </w:r>
    </w:p>
    <w:p w14:paraId="76F83DF3" w14:textId="245B0DDB" w:rsidR="00FB4C71" w:rsidRDefault="00FB4C71" w:rsidP="00FB4C71">
      <w:pPr>
        <w:pStyle w:val="ListParagraph"/>
        <w:numPr>
          <w:ilvl w:val="0"/>
          <w:numId w:val="9"/>
        </w:numPr>
      </w:pPr>
      <w:r>
        <w:t>Tables summarizing adverse events by grade, type, relatedness, or resolution</w:t>
      </w:r>
    </w:p>
    <w:p w14:paraId="3418292F" w14:textId="190D1E0A" w:rsidR="00FB4C71" w:rsidRDefault="00FB4C71" w:rsidP="00FB4C71">
      <w:pPr>
        <w:pStyle w:val="ListParagraph"/>
        <w:numPr>
          <w:ilvl w:val="0"/>
          <w:numId w:val="9"/>
        </w:numPr>
      </w:pPr>
      <w:r>
        <w:t>Summarizing whether adverse events occurred before, after, and during the trial.</w:t>
      </w:r>
    </w:p>
    <w:p w14:paraId="75B65E1C" w14:textId="3AC34E50" w:rsidR="00FB4C71" w:rsidRDefault="004D3A50" w:rsidP="00FB4C71">
      <w:pPr>
        <w:pStyle w:val="ListParagraph"/>
        <w:numPr>
          <w:ilvl w:val="0"/>
          <w:numId w:val="9"/>
        </w:numPr>
      </w:pPr>
      <w:r>
        <w:t>Using the AE Term to further define AEs and analyze their relationship to a trial outcome.</w:t>
      </w:r>
    </w:p>
    <w:p w14:paraId="788CF22A" w14:textId="78461AFB" w:rsidR="004D3A50" w:rsidRDefault="004D3A50" w:rsidP="004D3A50">
      <w:pPr>
        <w:rPr>
          <w:b/>
          <w:bCs/>
        </w:rPr>
      </w:pPr>
      <w:proofErr w:type="spellStart"/>
      <w:r w:rsidRPr="004D3A50">
        <w:rPr>
          <w:b/>
          <w:bCs/>
        </w:rPr>
        <w:t>Safety_</w:t>
      </w:r>
      <w:r>
        <w:rPr>
          <w:b/>
          <w:bCs/>
        </w:rPr>
        <w:t>ecg</w:t>
      </w:r>
      <w:proofErr w:type="spellEnd"/>
      <w:r w:rsidRPr="004D3A50">
        <w:rPr>
          <w:b/>
          <w:bCs/>
        </w:rPr>
        <w:t>:</w:t>
      </w:r>
    </w:p>
    <w:p w14:paraId="14AD4A4A" w14:textId="6BD582CA" w:rsidR="004D3A50" w:rsidRDefault="004D3A50" w:rsidP="004D3A50">
      <w:pPr>
        <w:pStyle w:val="ListParagraph"/>
        <w:numPr>
          <w:ilvl w:val="0"/>
          <w:numId w:val="10"/>
        </w:numPr>
      </w:pPr>
      <w:r>
        <w:t>Create a table showing the weekly median values by trial arm for a specific variable.</w:t>
      </w:r>
    </w:p>
    <w:p w14:paraId="1BADF365" w14:textId="04BB8BF0" w:rsidR="004D3A50" w:rsidRDefault="004D3A50" w:rsidP="004D3A50">
      <w:pPr>
        <w:pStyle w:val="ListParagraph"/>
        <w:numPr>
          <w:ilvl w:val="0"/>
          <w:numId w:val="10"/>
        </w:numPr>
      </w:pPr>
      <w:r>
        <w:t>Link abnormal readings to adverse events and compare your findings.</w:t>
      </w:r>
    </w:p>
    <w:p w14:paraId="64046D95" w14:textId="71C061B6" w:rsidR="004D3A50" w:rsidRDefault="004D3A50" w:rsidP="004D3A50">
      <w:pPr>
        <w:pStyle w:val="ListParagraph"/>
        <w:numPr>
          <w:ilvl w:val="0"/>
          <w:numId w:val="10"/>
        </w:numPr>
      </w:pPr>
      <w:r>
        <w:t>Abstract table creation to construct weekly summaries for all numerical values in this dataset.</w:t>
      </w:r>
    </w:p>
    <w:p w14:paraId="19A32071" w14:textId="77777777" w:rsidR="004D3A50" w:rsidRPr="00FB4C71" w:rsidRDefault="004D3A50" w:rsidP="004D3A50"/>
    <w:p w14:paraId="31A3B633" w14:textId="77777777" w:rsidR="00A41CF6" w:rsidRDefault="00A41CF6" w:rsidP="00A41CF6">
      <w:pPr>
        <w:pStyle w:val="Heading2"/>
      </w:pPr>
    </w:p>
    <w:p w14:paraId="1B9A19F0" w14:textId="39270BF1" w:rsidR="00775C04" w:rsidRDefault="00775C04" w:rsidP="00775C04">
      <w:pPr>
        <w:pStyle w:val="NoSpacing"/>
        <w:ind w:left="0" w:firstLine="0"/>
      </w:pPr>
    </w:p>
    <w:p w14:paraId="26620281" w14:textId="214608C9" w:rsidR="00775C04" w:rsidRDefault="00775C04" w:rsidP="00775C04">
      <w:pPr>
        <w:pStyle w:val="NoSpacing"/>
        <w:ind w:left="0" w:firstLine="0"/>
      </w:pPr>
    </w:p>
    <w:p w14:paraId="7F5E7696" w14:textId="77777777" w:rsidR="00B43FB5" w:rsidRPr="00E87D4B" w:rsidRDefault="00B43FB5" w:rsidP="00B43FB5">
      <w:pPr>
        <w:pStyle w:val="NoSpacing"/>
      </w:pPr>
    </w:p>
    <w:sectPr w:rsidR="00B43FB5" w:rsidRPr="00E87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BCE"/>
    <w:multiLevelType w:val="hybridMultilevel"/>
    <w:tmpl w:val="4B5A302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13764707"/>
    <w:multiLevelType w:val="hybridMultilevel"/>
    <w:tmpl w:val="1B74A566"/>
    <w:lvl w:ilvl="0" w:tplc="A32E873A">
      <w:start w:val="1"/>
      <w:numFmt w:val="bullet"/>
      <w:lvlText w:val=""/>
      <w:lvlJc w:val="left"/>
      <w:pPr>
        <w:ind w:left="216" w:hanging="72"/>
      </w:pPr>
      <w:rPr>
        <w:rFonts w:ascii="Symbol" w:hAnsi="Symbol" w:hint="default"/>
      </w:rPr>
    </w:lvl>
    <w:lvl w:ilvl="1" w:tplc="04090003" w:tentative="1">
      <w:start w:val="1"/>
      <w:numFmt w:val="bullet"/>
      <w:pStyle w:val="Subtitle"/>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44269A"/>
    <w:multiLevelType w:val="hybridMultilevel"/>
    <w:tmpl w:val="3F5C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8459A"/>
    <w:multiLevelType w:val="hybridMultilevel"/>
    <w:tmpl w:val="E89E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E65802"/>
    <w:multiLevelType w:val="hybridMultilevel"/>
    <w:tmpl w:val="26BC6D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E4443C"/>
    <w:multiLevelType w:val="hybridMultilevel"/>
    <w:tmpl w:val="C826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984890"/>
    <w:multiLevelType w:val="hybridMultilevel"/>
    <w:tmpl w:val="04A0B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3A216B"/>
    <w:multiLevelType w:val="hybridMultilevel"/>
    <w:tmpl w:val="6700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BA5FC4"/>
    <w:multiLevelType w:val="hybridMultilevel"/>
    <w:tmpl w:val="071C10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C5B46BC"/>
    <w:multiLevelType w:val="hybridMultilevel"/>
    <w:tmpl w:val="DA6AB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146567">
    <w:abstractNumId w:val="1"/>
  </w:num>
  <w:num w:numId="2" w16cid:durableId="1968464929">
    <w:abstractNumId w:val="4"/>
  </w:num>
  <w:num w:numId="3" w16cid:durableId="1809126360">
    <w:abstractNumId w:val="8"/>
  </w:num>
  <w:num w:numId="4" w16cid:durableId="1900633354">
    <w:abstractNumId w:val="0"/>
  </w:num>
  <w:num w:numId="5" w16cid:durableId="1121536098">
    <w:abstractNumId w:val="2"/>
  </w:num>
  <w:num w:numId="6" w16cid:durableId="391345939">
    <w:abstractNumId w:val="9"/>
  </w:num>
  <w:num w:numId="7" w16cid:durableId="2024472937">
    <w:abstractNumId w:val="7"/>
  </w:num>
  <w:num w:numId="8" w16cid:durableId="506405621">
    <w:abstractNumId w:val="3"/>
  </w:num>
  <w:num w:numId="9" w16cid:durableId="1700743127">
    <w:abstractNumId w:val="6"/>
  </w:num>
  <w:num w:numId="10" w16cid:durableId="1111583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D4B"/>
    <w:rsid w:val="00005413"/>
    <w:rsid w:val="000101E9"/>
    <w:rsid w:val="00011752"/>
    <w:rsid w:val="0001320F"/>
    <w:rsid w:val="00023FC8"/>
    <w:rsid w:val="00027B25"/>
    <w:rsid w:val="00035ADE"/>
    <w:rsid w:val="000469E7"/>
    <w:rsid w:val="00047561"/>
    <w:rsid w:val="0005539F"/>
    <w:rsid w:val="00056E4F"/>
    <w:rsid w:val="00066B7B"/>
    <w:rsid w:val="00076DAB"/>
    <w:rsid w:val="0007734C"/>
    <w:rsid w:val="00085894"/>
    <w:rsid w:val="000A629D"/>
    <w:rsid w:val="000B7D9A"/>
    <w:rsid w:val="000C3EE3"/>
    <w:rsid w:val="000C40A4"/>
    <w:rsid w:val="000D7A0E"/>
    <w:rsid w:val="000E1437"/>
    <w:rsid w:val="000E143E"/>
    <w:rsid w:val="000F554D"/>
    <w:rsid w:val="00105339"/>
    <w:rsid w:val="001079E5"/>
    <w:rsid w:val="00110034"/>
    <w:rsid w:val="001118FA"/>
    <w:rsid w:val="001132B3"/>
    <w:rsid w:val="001303B6"/>
    <w:rsid w:val="001401B9"/>
    <w:rsid w:val="001415FA"/>
    <w:rsid w:val="00161344"/>
    <w:rsid w:val="00171175"/>
    <w:rsid w:val="00172CDB"/>
    <w:rsid w:val="00174466"/>
    <w:rsid w:val="0017663E"/>
    <w:rsid w:val="00177941"/>
    <w:rsid w:val="00181E75"/>
    <w:rsid w:val="0019288E"/>
    <w:rsid w:val="001A1089"/>
    <w:rsid w:val="001B0A58"/>
    <w:rsid w:val="001B0FEE"/>
    <w:rsid w:val="001B1765"/>
    <w:rsid w:val="001E6593"/>
    <w:rsid w:val="001E6BAA"/>
    <w:rsid w:val="002014F6"/>
    <w:rsid w:val="00212218"/>
    <w:rsid w:val="00213764"/>
    <w:rsid w:val="0022326C"/>
    <w:rsid w:val="0022642B"/>
    <w:rsid w:val="00237174"/>
    <w:rsid w:val="00282FBC"/>
    <w:rsid w:val="002A377A"/>
    <w:rsid w:val="002A4D9E"/>
    <w:rsid w:val="002A7EBD"/>
    <w:rsid w:val="002B2221"/>
    <w:rsid w:val="002C2A42"/>
    <w:rsid w:val="002E3334"/>
    <w:rsid w:val="002E796A"/>
    <w:rsid w:val="002F1A42"/>
    <w:rsid w:val="002F3FF0"/>
    <w:rsid w:val="00301BC7"/>
    <w:rsid w:val="00313270"/>
    <w:rsid w:val="00314132"/>
    <w:rsid w:val="0032458B"/>
    <w:rsid w:val="003423C4"/>
    <w:rsid w:val="00344FCF"/>
    <w:rsid w:val="0035780A"/>
    <w:rsid w:val="00360B26"/>
    <w:rsid w:val="00381FCE"/>
    <w:rsid w:val="00382EAD"/>
    <w:rsid w:val="00391113"/>
    <w:rsid w:val="003B53F8"/>
    <w:rsid w:val="003B7A62"/>
    <w:rsid w:val="003C345C"/>
    <w:rsid w:val="003C4D9A"/>
    <w:rsid w:val="003D206D"/>
    <w:rsid w:val="003D5999"/>
    <w:rsid w:val="003E2C76"/>
    <w:rsid w:val="003F6E3A"/>
    <w:rsid w:val="004118C2"/>
    <w:rsid w:val="00414580"/>
    <w:rsid w:val="00415974"/>
    <w:rsid w:val="004258E8"/>
    <w:rsid w:val="00425C49"/>
    <w:rsid w:val="004438A8"/>
    <w:rsid w:val="00445092"/>
    <w:rsid w:val="004477C0"/>
    <w:rsid w:val="00450013"/>
    <w:rsid w:val="00454598"/>
    <w:rsid w:val="0045786B"/>
    <w:rsid w:val="004645BB"/>
    <w:rsid w:val="0049116C"/>
    <w:rsid w:val="004A677D"/>
    <w:rsid w:val="004B1231"/>
    <w:rsid w:val="004B539C"/>
    <w:rsid w:val="004B7C7B"/>
    <w:rsid w:val="004D3A50"/>
    <w:rsid w:val="004D556A"/>
    <w:rsid w:val="004D5AF8"/>
    <w:rsid w:val="004D6B18"/>
    <w:rsid w:val="004F6039"/>
    <w:rsid w:val="00502946"/>
    <w:rsid w:val="00505626"/>
    <w:rsid w:val="00512560"/>
    <w:rsid w:val="00515B92"/>
    <w:rsid w:val="00521BA2"/>
    <w:rsid w:val="00526F5E"/>
    <w:rsid w:val="0053172E"/>
    <w:rsid w:val="005445D7"/>
    <w:rsid w:val="00551396"/>
    <w:rsid w:val="00553C21"/>
    <w:rsid w:val="0057455C"/>
    <w:rsid w:val="00586FC3"/>
    <w:rsid w:val="00591E08"/>
    <w:rsid w:val="00596426"/>
    <w:rsid w:val="005B0BE7"/>
    <w:rsid w:val="005C1B83"/>
    <w:rsid w:val="005D2460"/>
    <w:rsid w:val="005E0AAF"/>
    <w:rsid w:val="005E2820"/>
    <w:rsid w:val="005E4378"/>
    <w:rsid w:val="00602C5A"/>
    <w:rsid w:val="00602C6D"/>
    <w:rsid w:val="00606303"/>
    <w:rsid w:val="006067EA"/>
    <w:rsid w:val="0060771A"/>
    <w:rsid w:val="006107AE"/>
    <w:rsid w:val="00615ED2"/>
    <w:rsid w:val="00616225"/>
    <w:rsid w:val="00622CDC"/>
    <w:rsid w:val="00623E96"/>
    <w:rsid w:val="0064227F"/>
    <w:rsid w:val="0065349F"/>
    <w:rsid w:val="006539A1"/>
    <w:rsid w:val="00654898"/>
    <w:rsid w:val="00663C4F"/>
    <w:rsid w:val="00670C05"/>
    <w:rsid w:val="00691BC1"/>
    <w:rsid w:val="0069658D"/>
    <w:rsid w:val="006A47DB"/>
    <w:rsid w:val="006C699F"/>
    <w:rsid w:val="006D2C20"/>
    <w:rsid w:val="006D7C14"/>
    <w:rsid w:val="007032CB"/>
    <w:rsid w:val="00705F0F"/>
    <w:rsid w:val="00765325"/>
    <w:rsid w:val="00775C04"/>
    <w:rsid w:val="00777946"/>
    <w:rsid w:val="00782F0E"/>
    <w:rsid w:val="007B1E8B"/>
    <w:rsid w:val="007B4BCF"/>
    <w:rsid w:val="007D26F6"/>
    <w:rsid w:val="007D367A"/>
    <w:rsid w:val="007D72CA"/>
    <w:rsid w:val="007F0719"/>
    <w:rsid w:val="007F11AE"/>
    <w:rsid w:val="00807C10"/>
    <w:rsid w:val="00807E58"/>
    <w:rsid w:val="008109C6"/>
    <w:rsid w:val="00815626"/>
    <w:rsid w:val="00817B7A"/>
    <w:rsid w:val="008227B1"/>
    <w:rsid w:val="008247D1"/>
    <w:rsid w:val="00825DDF"/>
    <w:rsid w:val="00830D2F"/>
    <w:rsid w:val="0084125F"/>
    <w:rsid w:val="00855307"/>
    <w:rsid w:val="00855A6F"/>
    <w:rsid w:val="00860633"/>
    <w:rsid w:val="0086200E"/>
    <w:rsid w:val="00864756"/>
    <w:rsid w:val="00866316"/>
    <w:rsid w:val="008907A7"/>
    <w:rsid w:val="00895B2E"/>
    <w:rsid w:val="008B570E"/>
    <w:rsid w:val="008B6193"/>
    <w:rsid w:val="008B7E7A"/>
    <w:rsid w:val="008E3647"/>
    <w:rsid w:val="008F085A"/>
    <w:rsid w:val="008F6277"/>
    <w:rsid w:val="00900E11"/>
    <w:rsid w:val="00902272"/>
    <w:rsid w:val="0090242D"/>
    <w:rsid w:val="00922CDA"/>
    <w:rsid w:val="00924C90"/>
    <w:rsid w:val="009252C4"/>
    <w:rsid w:val="00940DE8"/>
    <w:rsid w:val="00956D98"/>
    <w:rsid w:val="00967879"/>
    <w:rsid w:val="00971588"/>
    <w:rsid w:val="00985BC8"/>
    <w:rsid w:val="00986E74"/>
    <w:rsid w:val="00993A62"/>
    <w:rsid w:val="00994A55"/>
    <w:rsid w:val="00994A97"/>
    <w:rsid w:val="009A0FFC"/>
    <w:rsid w:val="009C0151"/>
    <w:rsid w:val="009C744E"/>
    <w:rsid w:val="009C7B68"/>
    <w:rsid w:val="009F7490"/>
    <w:rsid w:val="00A020DA"/>
    <w:rsid w:val="00A2010A"/>
    <w:rsid w:val="00A217A8"/>
    <w:rsid w:val="00A3150D"/>
    <w:rsid w:val="00A328F3"/>
    <w:rsid w:val="00A4008F"/>
    <w:rsid w:val="00A41949"/>
    <w:rsid w:val="00A41CF6"/>
    <w:rsid w:val="00A65D26"/>
    <w:rsid w:val="00A666B6"/>
    <w:rsid w:val="00A83411"/>
    <w:rsid w:val="00A93AF3"/>
    <w:rsid w:val="00AA3BC7"/>
    <w:rsid w:val="00AB5E61"/>
    <w:rsid w:val="00AC66D4"/>
    <w:rsid w:val="00AD30A1"/>
    <w:rsid w:val="00AD55E2"/>
    <w:rsid w:val="00AE075D"/>
    <w:rsid w:val="00AE52FB"/>
    <w:rsid w:val="00AE7599"/>
    <w:rsid w:val="00AF32D6"/>
    <w:rsid w:val="00B178BB"/>
    <w:rsid w:val="00B43955"/>
    <w:rsid w:val="00B43FB5"/>
    <w:rsid w:val="00B4560F"/>
    <w:rsid w:val="00B5279A"/>
    <w:rsid w:val="00B82657"/>
    <w:rsid w:val="00B83BB2"/>
    <w:rsid w:val="00B87DE5"/>
    <w:rsid w:val="00B951B0"/>
    <w:rsid w:val="00BB2092"/>
    <w:rsid w:val="00BB5841"/>
    <w:rsid w:val="00BC7763"/>
    <w:rsid w:val="00BD0564"/>
    <w:rsid w:val="00BD22ED"/>
    <w:rsid w:val="00BD39D7"/>
    <w:rsid w:val="00BE0D1D"/>
    <w:rsid w:val="00BE2540"/>
    <w:rsid w:val="00BE489F"/>
    <w:rsid w:val="00BF0EC9"/>
    <w:rsid w:val="00C00C5C"/>
    <w:rsid w:val="00C07F11"/>
    <w:rsid w:val="00C15A7F"/>
    <w:rsid w:val="00C2310B"/>
    <w:rsid w:val="00C26865"/>
    <w:rsid w:val="00C26B1D"/>
    <w:rsid w:val="00C3505C"/>
    <w:rsid w:val="00C52BF1"/>
    <w:rsid w:val="00C6011C"/>
    <w:rsid w:val="00C75362"/>
    <w:rsid w:val="00C82824"/>
    <w:rsid w:val="00C83509"/>
    <w:rsid w:val="00C957AE"/>
    <w:rsid w:val="00C95FB8"/>
    <w:rsid w:val="00C9760E"/>
    <w:rsid w:val="00CA6D9F"/>
    <w:rsid w:val="00CC06C4"/>
    <w:rsid w:val="00CC463F"/>
    <w:rsid w:val="00CD0BA3"/>
    <w:rsid w:val="00CE3C54"/>
    <w:rsid w:val="00CE504B"/>
    <w:rsid w:val="00CF7571"/>
    <w:rsid w:val="00D027C1"/>
    <w:rsid w:val="00D02A71"/>
    <w:rsid w:val="00D06654"/>
    <w:rsid w:val="00D108CA"/>
    <w:rsid w:val="00D1221A"/>
    <w:rsid w:val="00D126C9"/>
    <w:rsid w:val="00D16794"/>
    <w:rsid w:val="00D25E39"/>
    <w:rsid w:val="00D269F8"/>
    <w:rsid w:val="00D33870"/>
    <w:rsid w:val="00D36B9D"/>
    <w:rsid w:val="00D4206F"/>
    <w:rsid w:val="00D42477"/>
    <w:rsid w:val="00D433C1"/>
    <w:rsid w:val="00D467D1"/>
    <w:rsid w:val="00D533AC"/>
    <w:rsid w:val="00D540D0"/>
    <w:rsid w:val="00D54121"/>
    <w:rsid w:val="00D571E6"/>
    <w:rsid w:val="00D60148"/>
    <w:rsid w:val="00D60C3E"/>
    <w:rsid w:val="00D64A0E"/>
    <w:rsid w:val="00D7701D"/>
    <w:rsid w:val="00D779FE"/>
    <w:rsid w:val="00D80F48"/>
    <w:rsid w:val="00D812F3"/>
    <w:rsid w:val="00D8239D"/>
    <w:rsid w:val="00DA0736"/>
    <w:rsid w:val="00DB6280"/>
    <w:rsid w:val="00DC3D73"/>
    <w:rsid w:val="00DC7B48"/>
    <w:rsid w:val="00DE2D62"/>
    <w:rsid w:val="00E047AF"/>
    <w:rsid w:val="00E14CD8"/>
    <w:rsid w:val="00E30229"/>
    <w:rsid w:val="00E44160"/>
    <w:rsid w:val="00E564F9"/>
    <w:rsid w:val="00E7259A"/>
    <w:rsid w:val="00E76302"/>
    <w:rsid w:val="00E87D4B"/>
    <w:rsid w:val="00EA0473"/>
    <w:rsid w:val="00ED48C3"/>
    <w:rsid w:val="00ED674B"/>
    <w:rsid w:val="00EE2D5B"/>
    <w:rsid w:val="00F177F0"/>
    <w:rsid w:val="00F238E6"/>
    <w:rsid w:val="00F4397F"/>
    <w:rsid w:val="00F70B1A"/>
    <w:rsid w:val="00F71170"/>
    <w:rsid w:val="00F87EF7"/>
    <w:rsid w:val="00F935D4"/>
    <w:rsid w:val="00F942D3"/>
    <w:rsid w:val="00F95B4B"/>
    <w:rsid w:val="00F979EE"/>
    <w:rsid w:val="00FA0F2F"/>
    <w:rsid w:val="00FB3053"/>
    <w:rsid w:val="00FB4A9F"/>
    <w:rsid w:val="00FB4C71"/>
    <w:rsid w:val="00FC2ECB"/>
    <w:rsid w:val="00FC3277"/>
    <w:rsid w:val="00FD524C"/>
    <w:rsid w:val="00FE0FFC"/>
    <w:rsid w:val="00FE212D"/>
    <w:rsid w:val="00FE2D61"/>
    <w:rsid w:val="00FE3738"/>
    <w:rsid w:val="00FF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695F4"/>
  <w15:chartTrackingRefBased/>
  <w15:docId w15:val="{2A97FF2E-CB14-D345-8C4E-9EF3BB83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477"/>
    <w:pPr>
      <w:spacing w:before="180" w:after="180"/>
      <w:ind w:left="72" w:hanging="72"/>
    </w:pPr>
    <w:rPr>
      <w:rFonts w:ascii="Calibri" w:hAnsi="Calibri" w:cs="Calibri"/>
      <w:kern w:val="0"/>
      <w:sz w:val="22"/>
      <w:szCs w:val="22"/>
      <w14:ligatures w14:val="none"/>
    </w:rPr>
  </w:style>
  <w:style w:type="paragraph" w:styleId="Heading1">
    <w:name w:val="heading 1"/>
    <w:basedOn w:val="Normal"/>
    <w:next w:val="Normal"/>
    <w:link w:val="Heading1Char"/>
    <w:uiPriority w:val="9"/>
    <w:qFormat/>
    <w:rsid w:val="00E87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7D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D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7D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7D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7D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7D4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7D4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D4B"/>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E87D4B"/>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E87D4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87D4B"/>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E87D4B"/>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87D4B"/>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E87D4B"/>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E87D4B"/>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E87D4B"/>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E87D4B"/>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D4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87D4B"/>
    <w:pPr>
      <w:numPr>
        <w:ilvl w:val="1"/>
        <w:numId w:val="1"/>
      </w:numPr>
      <w:spacing w:after="160"/>
      <w:ind w:left="216" w:hanging="7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D4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87D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7D4B"/>
    <w:rPr>
      <w:rFonts w:ascii="Palatino" w:hAnsi="Palatino"/>
      <w:i/>
      <w:iCs/>
      <w:color w:val="404040" w:themeColor="text1" w:themeTint="BF"/>
      <w:kern w:val="0"/>
      <w14:ligatures w14:val="none"/>
    </w:rPr>
  </w:style>
  <w:style w:type="paragraph" w:styleId="ListParagraph">
    <w:name w:val="List Paragraph"/>
    <w:basedOn w:val="Normal"/>
    <w:uiPriority w:val="34"/>
    <w:qFormat/>
    <w:rsid w:val="00E87D4B"/>
    <w:pPr>
      <w:ind w:left="720"/>
      <w:contextualSpacing/>
    </w:pPr>
  </w:style>
  <w:style w:type="character" w:styleId="IntenseEmphasis">
    <w:name w:val="Intense Emphasis"/>
    <w:basedOn w:val="DefaultParagraphFont"/>
    <w:uiPriority w:val="21"/>
    <w:qFormat/>
    <w:rsid w:val="00E87D4B"/>
    <w:rPr>
      <w:i/>
      <w:iCs/>
      <w:color w:val="0F4761" w:themeColor="accent1" w:themeShade="BF"/>
    </w:rPr>
  </w:style>
  <w:style w:type="paragraph" w:styleId="IntenseQuote">
    <w:name w:val="Intense Quote"/>
    <w:basedOn w:val="Normal"/>
    <w:next w:val="Normal"/>
    <w:link w:val="IntenseQuoteChar"/>
    <w:uiPriority w:val="30"/>
    <w:qFormat/>
    <w:rsid w:val="00E8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D4B"/>
    <w:rPr>
      <w:rFonts w:ascii="Palatino" w:hAnsi="Palatino"/>
      <w:i/>
      <w:iCs/>
      <w:color w:val="0F4761" w:themeColor="accent1" w:themeShade="BF"/>
      <w:kern w:val="0"/>
      <w14:ligatures w14:val="none"/>
    </w:rPr>
  </w:style>
  <w:style w:type="character" w:styleId="IntenseReference">
    <w:name w:val="Intense Reference"/>
    <w:basedOn w:val="DefaultParagraphFont"/>
    <w:uiPriority w:val="32"/>
    <w:qFormat/>
    <w:rsid w:val="00E87D4B"/>
    <w:rPr>
      <w:b/>
      <w:bCs/>
      <w:smallCaps/>
      <w:color w:val="0F4761" w:themeColor="accent1" w:themeShade="BF"/>
      <w:spacing w:val="5"/>
    </w:rPr>
  </w:style>
  <w:style w:type="paragraph" w:styleId="TOCHeading">
    <w:name w:val="TOC Heading"/>
    <w:basedOn w:val="Heading1"/>
    <w:next w:val="Normal"/>
    <w:uiPriority w:val="39"/>
    <w:unhideWhenUsed/>
    <w:qFormat/>
    <w:rsid w:val="00E87D4B"/>
    <w:pPr>
      <w:spacing w:before="480" w:after="0" w:line="276" w:lineRule="auto"/>
      <w:ind w:left="0" w:firstLine="0"/>
      <w:outlineLvl w:val="9"/>
    </w:pPr>
    <w:rPr>
      <w:b/>
      <w:bCs/>
      <w:sz w:val="28"/>
      <w:szCs w:val="28"/>
    </w:rPr>
  </w:style>
  <w:style w:type="paragraph" w:styleId="TOC1">
    <w:name w:val="toc 1"/>
    <w:basedOn w:val="Normal"/>
    <w:next w:val="Normal"/>
    <w:autoRedefine/>
    <w:uiPriority w:val="39"/>
    <w:unhideWhenUsed/>
    <w:rsid w:val="00E87D4B"/>
    <w:pPr>
      <w:spacing w:before="120" w:after="0"/>
      <w:ind w:left="0"/>
    </w:pPr>
    <w:rPr>
      <w:rFonts w:asciiTheme="minorHAnsi" w:hAnsiTheme="minorHAnsi"/>
      <w:b/>
      <w:bCs/>
      <w:i/>
      <w:iCs/>
    </w:rPr>
  </w:style>
  <w:style w:type="paragraph" w:styleId="TOC2">
    <w:name w:val="toc 2"/>
    <w:basedOn w:val="Normal"/>
    <w:next w:val="Normal"/>
    <w:autoRedefine/>
    <w:uiPriority w:val="39"/>
    <w:unhideWhenUsed/>
    <w:rsid w:val="00E87D4B"/>
    <w:pPr>
      <w:spacing w:before="120" w:after="0"/>
      <w:ind w:left="240"/>
    </w:pPr>
    <w:rPr>
      <w:rFonts w:asciiTheme="minorHAnsi" w:hAnsiTheme="minorHAnsi"/>
      <w:b/>
      <w:bCs/>
    </w:rPr>
  </w:style>
  <w:style w:type="paragraph" w:styleId="TOC3">
    <w:name w:val="toc 3"/>
    <w:basedOn w:val="Normal"/>
    <w:next w:val="Normal"/>
    <w:autoRedefine/>
    <w:uiPriority w:val="39"/>
    <w:unhideWhenUsed/>
    <w:rsid w:val="00E87D4B"/>
    <w:pPr>
      <w:spacing w:before="0" w:after="0"/>
      <w:ind w:left="480"/>
    </w:pPr>
    <w:rPr>
      <w:rFonts w:asciiTheme="minorHAnsi" w:hAnsiTheme="minorHAnsi"/>
      <w:sz w:val="20"/>
      <w:szCs w:val="20"/>
    </w:rPr>
  </w:style>
  <w:style w:type="paragraph" w:styleId="TOC4">
    <w:name w:val="toc 4"/>
    <w:basedOn w:val="Normal"/>
    <w:next w:val="Normal"/>
    <w:autoRedefine/>
    <w:uiPriority w:val="39"/>
    <w:unhideWhenUsed/>
    <w:rsid w:val="00E87D4B"/>
    <w:pPr>
      <w:spacing w:before="0" w:after="0"/>
      <w:ind w:left="720"/>
    </w:pPr>
    <w:rPr>
      <w:rFonts w:asciiTheme="minorHAnsi" w:hAnsiTheme="minorHAnsi"/>
      <w:sz w:val="20"/>
      <w:szCs w:val="20"/>
    </w:rPr>
  </w:style>
  <w:style w:type="paragraph" w:styleId="TOC5">
    <w:name w:val="toc 5"/>
    <w:basedOn w:val="Normal"/>
    <w:next w:val="Normal"/>
    <w:autoRedefine/>
    <w:uiPriority w:val="39"/>
    <w:unhideWhenUsed/>
    <w:rsid w:val="00E87D4B"/>
    <w:pPr>
      <w:spacing w:before="0" w:after="0"/>
      <w:ind w:left="960"/>
    </w:pPr>
    <w:rPr>
      <w:rFonts w:asciiTheme="minorHAnsi" w:hAnsiTheme="minorHAnsi"/>
      <w:sz w:val="20"/>
      <w:szCs w:val="20"/>
    </w:rPr>
  </w:style>
  <w:style w:type="paragraph" w:styleId="TOC6">
    <w:name w:val="toc 6"/>
    <w:basedOn w:val="Normal"/>
    <w:next w:val="Normal"/>
    <w:autoRedefine/>
    <w:uiPriority w:val="39"/>
    <w:unhideWhenUsed/>
    <w:rsid w:val="00E87D4B"/>
    <w:pPr>
      <w:spacing w:before="0" w:after="0"/>
      <w:ind w:left="1200"/>
    </w:pPr>
    <w:rPr>
      <w:rFonts w:asciiTheme="minorHAnsi" w:hAnsiTheme="minorHAnsi"/>
      <w:sz w:val="20"/>
      <w:szCs w:val="20"/>
    </w:rPr>
  </w:style>
  <w:style w:type="paragraph" w:styleId="TOC7">
    <w:name w:val="toc 7"/>
    <w:basedOn w:val="Normal"/>
    <w:next w:val="Normal"/>
    <w:autoRedefine/>
    <w:uiPriority w:val="39"/>
    <w:unhideWhenUsed/>
    <w:rsid w:val="00E87D4B"/>
    <w:pPr>
      <w:spacing w:before="0" w:after="0"/>
      <w:ind w:left="1440"/>
    </w:pPr>
    <w:rPr>
      <w:rFonts w:asciiTheme="minorHAnsi" w:hAnsiTheme="minorHAnsi"/>
      <w:sz w:val="20"/>
      <w:szCs w:val="20"/>
    </w:rPr>
  </w:style>
  <w:style w:type="paragraph" w:styleId="TOC8">
    <w:name w:val="toc 8"/>
    <w:basedOn w:val="Normal"/>
    <w:next w:val="Normal"/>
    <w:autoRedefine/>
    <w:uiPriority w:val="39"/>
    <w:unhideWhenUsed/>
    <w:rsid w:val="00E87D4B"/>
    <w:pPr>
      <w:spacing w:before="0" w:after="0"/>
      <w:ind w:left="1680"/>
    </w:pPr>
    <w:rPr>
      <w:rFonts w:asciiTheme="minorHAnsi" w:hAnsiTheme="minorHAnsi"/>
      <w:sz w:val="20"/>
      <w:szCs w:val="20"/>
    </w:rPr>
  </w:style>
  <w:style w:type="paragraph" w:styleId="TOC9">
    <w:name w:val="toc 9"/>
    <w:basedOn w:val="Normal"/>
    <w:next w:val="Normal"/>
    <w:autoRedefine/>
    <w:uiPriority w:val="39"/>
    <w:unhideWhenUsed/>
    <w:rsid w:val="00E87D4B"/>
    <w:pPr>
      <w:spacing w:before="0" w:after="0"/>
      <w:ind w:left="1920"/>
    </w:pPr>
    <w:rPr>
      <w:rFonts w:asciiTheme="minorHAnsi" w:hAnsiTheme="minorHAnsi"/>
      <w:sz w:val="20"/>
      <w:szCs w:val="20"/>
    </w:rPr>
  </w:style>
  <w:style w:type="paragraph" w:styleId="NoSpacing">
    <w:name w:val="No Spacing"/>
    <w:uiPriority w:val="1"/>
    <w:qFormat/>
    <w:rsid w:val="00D42477"/>
    <w:pPr>
      <w:ind w:left="72" w:hanging="72"/>
    </w:pPr>
    <w:rPr>
      <w:rFonts w:ascii="Calibri" w:hAnsi="Calibri" w:cs="Calibri"/>
      <w:kern w:val="0"/>
      <w:sz w:val="22"/>
      <w:szCs w:val="22"/>
      <w14:ligatures w14:val="none"/>
    </w:rPr>
  </w:style>
  <w:style w:type="paragraph" w:styleId="Caption">
    <w:name w:val="caption"/>
    <w:basedOn w:val="Normal"/>
    <w:next w:val="Normal"/>
    <w:uiPriority w:val="35"/>
    <w:unhideWhenUsed/>
    <w:qFormat/>
    <w:rsid w:val="00B43FB5"/>
    <w:pPr>
      <w:spacing w:before="0" w:after="200"/>
    </w:pPr>
    <w:rPr>
      <w:i/>
      <w:iCs/>
      <w:color w:val="0E2841" w:themeColor="text2"/>
      <w:sz w:val="18"/>
      <w:szCs w:val="18"/>
    </w:rPr>
  </w:style>
  <w:style w:type="character" w:styleId="Hyperlink">
    <w:name w:val="Hyperlink"/>
    <w:basedOn w:val="DefaultParagraphFont"/>
    <w:uiPriority w:val="99"/>
    <w:unhideWhenUsed/>
    <w:rsid w:val="00A41CF6"/>
    <w:rPr>
      <w:color w:val="467886" w:themeColor="hyperlink"/>
      <w:u w:val="single"/>
    </w:rPr>
  </w:style>
  <w:style w:type="table" w:styleId="TableGrid">
    <w:name w:val="Table Grid"/>
    <w:basedOn w:val="TableNormal"/>
    <w:uiPriority w:val="39"/>
    <w:rsid w:val="00A41C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46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10</Pages>
  <Words>2524</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Aldana, Brian</dc:creator>
  <cp:keywords/>
  <dc:description/>
  <cp:lastModifiedBy>Aldana, Brian</cp:lastModifiedBy>
  <cp:revision>5</cp:revision>
  <dcterms:created xsi:type="dcterms:W3CDTF">2025-12-04T00:59:00Z</dcterms:created>
  <dcterms:modified xsi:type="dcterms:W3CDTF">2025-12-09T03:31:00Z</dcterms:modified>
</cp:coreProperties>
</file>