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Русский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Русский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АКТИВНЫЙ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ПАССИВНЫЙ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ОБЩИЙ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УВЕРЕННОСТЬ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ФОКУС ОШИБОК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СТАБИЛЬНОСТЬ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САМОКОРРЕКЦИЯ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ПЕРЕОЦЕНКА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Падежи / Падежи</w:t>
              <w:br/>
              <w:t>Вид глагола / Вид глагола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 / 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месяцев / 6 месяцев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СТРУКТУРНЫХ ПРОБЛЕМ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КОРРЕКЦИЙ РЫЧАГА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РЕШЕНИЙ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РЕЧЕВОЙ ДВИГАТЕЛЬ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АКТИВАЦИЯ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A — СТРУКТУРА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B — ТОЧНОСТЬ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C — БЕГЛОСТЬ РЕЧИ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НЕДЕЛЬНЫЙ ПЛАН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МИНИ-БЛОК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Цель: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ОЦЕНКА CEFR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