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960"/>
        <w:jc w:val="center"/>
      </w:pPr>
      <w:r>
        <w:rPr>
          <w:rFonts w:ascii="Microsoft YaHei" w:hAnsi="Microsoft YaHei" w:eastAsia="微软雅黑"/>
          <w:b/>
          <w:color w:val="000000"/>
          <w:sz w:val="30"/>
        </w:rPr>
        <w:t>杭州缺口信息科技有限公司</w:t>
      </w:r>
    </w:p>
    <w:p>
      <w:pPr>
        <w:pStyle w:val="aa"/>
        <w:spacing w:before="1920"/>
      </w:pPr>
      <w:r>
        <w:t>企业AI规划与项目管理调研情况汇报编制规范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28"/>
        </w:rPr>
        <w:t>结构 证据 边界 实施与验收</w:t>
      </w:r>
    </w:p>
    <w:p>
      <w:pPr>
        <w:spacing w:before="2400"/>
        <w:jc w:val="center"/>
      </w:pPr>
      <w:r>
        <w:rPr>
          <w:rFonts w:ascii="Microsoft YaHei" w:hAnsi="Microsoft YaHei" w:eastAsia="微软雅黑"/>
          <w:color w:val="666666"/>
          <w:sz w:val="22"/>
        </w:rPr>
        <w:t>版本  v1.0</w:t>
      </w:r>
    </w:p>
    <w:p>
      <w:pPr>
        <w:jc w:val="center"/>
      </w:pPr>
      <w:r>
        <w:rPr>
          <w:rFonts w:ascii="Microsoft YaHei" w:hAnsi="Microsoft YaHei" w:eastAsia="微软雅黑"/>
          <w:color w:val="666666"/>
          <w:sz w:val="22"/>
        </w:rPr>
        <w:t>2026年10月29日</w:t>
      </w:r>
    </w:p>
    <w:p>
      <w:pPr>
        <w:sectPr>
          <w:pgSz w:w="11906" w:h="16838"/>
          <w:pgMar w:top="2098" w:right="1474" w:bottom="1984" w:left="1587" w:header="850" w:footer="964" w:gutter="0"/>
          <w:pgNumType w:start="1"/>
          <w:cols w:space="720"/>
          <w:docGrid w:linePitch="360"/>
        </w:sectPr>
      </w:pPr>
    </w:p>
    <w:p>
      <w:pPr>
        <w:pStyle w:val="1"/>
      </w:pPr>
      <w:r>
        <w:t>一 目的和适用范围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本规范用于统一企业AI规划与项目管理调研情况汇报的编制方法，使不同项目形成的报告在结构、证据、判断边界、实施建议和验收口径方面保持一致。报告应帮助客户理解当前情况、主要问题、建设顺序、一期范围、实施条件和需要决策的事项。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本规范适用于企业AI规划调研、项目管理数字化调研、数字员工或智能助手试点设计，以及基于现有业务系统开展的AI能力建设。纯软件采购、单一功能需求说明或未经现场调研的营销方案不直接套用本规范。</w:t>
      </w:r>
    </w:p>
    <w:p>
      <w:pPr>
        <w:pStyle w:val="1"/>
      </w:pPr>
      <w:r>
        <w:t>二 报告定位和使用边界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调研情况汇报是调研结论和建设建议文件，不替代合同、技术协议、详细需求规格、项目计划或验收报告。最终交付范围、工期、责任、费用和验收指标以双方书面确认文件为准。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5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内容类型</w:t>
            </w:r>
          </w:p>
        </w:tc>
        <w:tc>
          <w:tcPr>
            <w:tcW w:type="dxa" w:w="413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报告中的处理方式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禁止做法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已核实事实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说明来源、时间和适用范围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省略关键条件或扩大适用范围</w:t>
            </w:r>
          </w:p>
        </w:tc>
      </w:tr>
      <w:tr>
        <w:trPr>
          <w:cantSplit/>
        </w:trPr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受访人口述</w:t>
            </w:r>
          </w:p>
        </w:tc>
        <w:tc>
          <w:tcPr>
            <w:tcW w:type="dxa" w:w="413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标明口述属性及待核实事项</w:t>
            </w:r>
          </w:p>
        </w:tc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写成已被系统或数据证明的事实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专业分析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说明依据、推理和限制条件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使用模糊权威或无依据结论</w:t>
            </w:r>
          </w:p>
        </w:tc>
      </w:tr>
      <w:tr>
        <w:trPr>
          <w:cantSplit/>
        </w:trPr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建设建议</w:t>
            </w:r>
          </w:p>
        </w:tc>
        <w:tc>
          <w:tcPr>
            <w:tcW w:type="dxa" w:w="413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说明输入、责任、条件和验证方式</w:t>
            </w:r>
          </w:p>
        </w:tc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直接承诺未经样本和接口验证的能力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后续方向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明确不属于本期确定交付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与一期范围混写</w:t>
            </w:r>
          </w:p>
        </w:tc>
      </w:tr>
    </w:tbl>
    <w:p>
      <w:pPr>
        <w:spacing w:after="0"/>
      </w:pPr>
    </w:p>
    <w:p>
      <w:pPr>
        <w:pStyle w:val="1"/>
      </w:pPr>
      <w:r>
        <w:t>三 编制前置条件</w:t>
      </w:r>
    </w:p>
    <w:p>
      <w:pPr>
        <w:pStyle w:val="21"/>
      </w:pPr>
      <w:r>
        <w:t>一 资料要求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15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资料类别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最低要求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核验重点</w:t>
            </w:r>
          </w:p>
        </w:tc>
        <w:tc>
          <w:tcPr>
            <w:tcW w:type="dxa" w:w="175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未取得时的处理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企业和业务资料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主营业务、产品或服务、客户和交付模式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名称、范围和有效时间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在报告中标明资料缺口</w:t>
            </w:r>
          </w:p>
        </w:tc>
      </w:tr>
      <w:tr>
        <w:trPr>
          <w:cantSplit/>
        </w:trPr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组织和岗位</w:t>
            </w:r>
          </w:p>
        </w:tc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项目、业务、信息化及审核责任人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真实职责与正式权限</w:t>
            </w:r>
          </w:p>
        </w:tc>
        <w:tc>
          <w:tcPr>
            <w:tcW w:type="dxa" w:w="175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列入待确认事项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业务流程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项目生命周期、关键节点、输入输出和责任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实际做法与制度差异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不得只引用制度推断实际流程</w:t>
            </w:r>
          </w:p>
        </w:tc>
      </w:tr>
      <w:tr>
        <w:trPr>
          <w:cantSplit/>
        </w:trPr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系统和数据</w:t>
            </w:r>
          </w:p>
        </w:tc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系统模块、业务对象、字段、接口、账号和权限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现有能力与实际使用程度</w:t>
            </w:r>
          </w:p>
        </w:tc>
        <w:tc>
          <w:tcPr>
            <w:tcW w:type="dxa" w:w="175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采用文件导入或人工确认等降级口径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访谈和走查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管理层、业务人员、系统页面和现场记录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时间、对象、原始记录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不得形成确定性数量或效果结论</w:t>
            </w:r>
          </w:p>
        </w:tc>
      </w:tr>
      <w:tr>
        <w:trPr>
          <w:cantSplit/>
        </w:trPr>
        <w:tc>
          <w:tcPr>
            <w:tcW w:type="dxa" w:w="158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历史样本</w:t>
            </w:r>
          </w:p>
        </w:tc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计划、任务、报工、问题、知识及验收资料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完整性、代表性和可追溯性</w:t>
            </w:r>
          </w:p>
        </w:tc>
        <w:tc>
          <w:tcPr>
            <w:tcW w:type="dxa" w:w="175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8"/>
              </w:rPr>
              <w:t>把能力表述为待验证</w:t>
            </w:r>
          </w:p>
        </w:tc>
      </w:tr>
    </w:tbl>
    <w:p>
      <w:pPr>
        <w:spacing w:after="0"/>
      </w:pPr>
    </w:p>
    <w:p>
      <w:pPr>
        <w:pStyle w:val="21"/>
      </w:pPr>
      <w:r>
        <w:t>二 角色确认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报告编制开始前，应确认报告作者、事实提供人、业务审核人、信息化审核人和最终批准人。涉及系统能力、接口、安全、业务规则或验收责任的内容，应由相应责任人确认，不能由编制人代为判断。</w:t>
      </w:r>
    </w:p>
    <w:p>
      <w:pPr>
        <w:pStyle w:val="1"/>
      </w:pPr>
      <w:r>
        <w:t>四 证据和判断规则</w:t>
      </w:r>
    </w:p>
    <w:p>
      <w:pPr>
        <w:pStyle w:val="21"/>
      </w:pPr>
      <w:r>
        <w:t>一 证据分类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常见来源</w:t>
            </w:r>
          </w:p>
        </w:tc>
        <w:tc>
          <w:tcPr>
            <w:tcW w:type="dxa" w:w="2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报告写法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事实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系统页面、现场观察、正式资料或已明确流程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系统截图、表单、流程文件、现场记录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直接描述，并标明时间和范围</w:t>
            </w:r>
          </w:p>
        </w:tc>
      </w:tr>
      <w:tr>
        <w:trPr>
          <w:cantSplit/>
        </w:trPr>
        <w:tc>
          <w:tcPr>
            <w:tcW w:type="dxa" w:w="113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口述</w:t>
            </w:r>
          </w:p>
        </w:tc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受访人员陈述但尚未通过其他资料核实</w:t>
            </w:r>
          </w:p>
        </w:tc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访谈原文、会议纪要</w:t>
            </w:r>
          </w:p>
        </w:tc>
        <w:tc>
          <w:tcPr>
            <w:tcW w:type="dxa" w:w="232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使用“访谈中提出”“受访人员反映”等表述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分析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基于事实和口述形成的专业判断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证据组合、对比分析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使用“据此判断”“建议”等表述并保留条件</w:t>
            </w:r>
          </w:p>
        </w:tc>
      </w:tr>
    </w:tbl>
    <w:p>
      <w:pPr>
        <w:spacing w:after="0"/>
      </w:pPr>
    </w:p>
    <w:p>
      <w:pPr>
        <w:pStyle w:val="21"/>
      </w:pPr>
      <w:r>
        <w:t>二 编号和追溯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重要调研资料统一使用 E01、E02 等证据编号；主要发现使用 F01、F02 等发现编号。证据清单至少包括日期、资料或活动、证据属性、主要用途和保存位置。主要发现应在证据矩阵中列明直接依据和待核实事项。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重要判断推荐采用“现状事实—业务影响—证据来源—建设建议—人工责任—验证方式”的完整链条。任何一环缺失时，应降低结论强度或列为待确认事项。</w:t>
      </w:r>
    </w:p>
    <w:p>
      <w:pPr>
        <w:pStyle w:val="21"/>
      </w:pPr>
      <w:r>
        <w:t>三 数量和效果指标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访谈中的数量、比例、工期和工作量存在统计口径差异时，不直接作为合同指标。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节省时间、准确率、采用率和投资收益等指标，应先建立基线，再确定目标区间。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指标必须说明测量对象、数据来源、统计周期、责任人和异常处理。</w:t>
      </w:r>
    </w:p>
    <w:p>
      <w:pPr>
        <w:pStyle w:val="1"/>
      </w:pPr>
      <w:r>
        <w:t>五 标准结构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300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必须包含</w:t>
            </w:r>
          </w:p>
        </w:tc>
        <w:tc>
          <w:tcPr>
            <w:tcW w:type="dxa" w:w="147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常见错误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核心结论与决策事项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让决策者先看到判断和需要确认的事项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3至5条核心判断；范围、责任、数据、系统和验收决策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只写总结，不提出明确决策事项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调研概述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交代为何调研、如何调研和报告边界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背景、目标、范围、方式、对象、使用边界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按访谈日期流水记录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企业现状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说明业务、流程、系统和实际管理方式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业务特点、生命周期、系统数据、管理方式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只写问题，不说明现有基础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发现与机会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形成可复核的问题判断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现状、影响、证据、提升方向和待核实事项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将受访人员愿望直接写成需求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核心判断与原则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说明建设取舍和责任边界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复用原则、人工确认、小范围验证、全程留痕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用技术名称代替业务原则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整体规划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说明阶段顺序和扩展条件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规划蓝图、阶段安排、价值假设和决策门槛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一次性承诺全公司建设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一期建议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形成可实施和可验收的一期方案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目标、范围、场景、输入输出、计划和指标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只写功能清单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条件风险与验收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说明能否启动和如何判断通过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准入、数据、接口、权限、安全、风险和验收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把“系统能运行”当作唯一验收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后续工作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明确下一步行动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事项、责任方、完成时间和书面成果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使用“后续推进”等模糊表达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附件</w:t>
            </w:r>
          </w:p>
        </w:tc>
        <w:tc>
          <w:tcPr>
            <w:tcW w:type="dxa" w:w="238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提供追溯和确认入口</w:t>
            </w:r>
          </w:p>
        </w:tc>
        <w:tc>
          <w:tcPr>
            <w:tcW w:type="dxa" w:w="300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证据清单、待确认事项</w:t>
            </w:r>
          </w:p>
        </w:tc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7"/>
              </w:rPr>
              <w:t>附件与正文编号不一致</w:t>
            </w:r>
          </w:p>
        </w:tc>
      </w:tr>
    </w:tbl>
    <w:p>
      <w:pPr>
        <w:spacing w:after="0"/>
      </w:pPr>
    </w:p>
    <w:p>
      <w:pPr>
        <w:pStyle w:val="1"/>
      </w:pPr>
      <w:r>
        <w:t>六 各章节编写要求</w:t>
      </w:r>
    </w:p>
    <w:p>
      <w:pPr>
        <w:pStyle w:val="21"/>
      </w:pPr>
      <w:r>
        <w:t>一 核心结论与请甲方决策事项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核心结论应回答当前最重要的业务判断、一期为什么这样选、哪些内容不能直接承诺。决策事项应明确事项、建议责任方、完成时间和未确认时的影响。</w:t>
      </w:r>
    </w:p>
    <w:p>
      <w:pPr>
        <w:pStyle w:val="21"/>
      </w:pPr>
      <w:r>
        <w:t>二 调研概述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说明调研背景、目标、范围、方式、对象和报告边界。涉及人员姓名、职位、系统权限和验收责任的内容，必须注明是否已经正式确认。</w:t>
      </w:r>
    </w:p>
    <w:p>
      <w:pPr>
        <w:pStyle w:val="21"/>
      </w:pPr>
      <w:r>
        <w:t>三 企业业务与项目管理现状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先说明业务和现有系统基础，再说明实际使用方式。区分系统是否具备功能、人员是否使用、数据是否完整以及对象是否关联。</w:t>
      </w:r>
    </w:p>
    <w:p>
      <w:pPr>
        <w:pStyle w:val="21"/>
      </w:pPr>
      <w:r>
        <w:t>四 调研发现与主要提升机会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按业务主题组织，不按日期或个人组织。每项发现先写实际表现，再说明影响、证据和提升方向。对数量和技术能力保留待核实事项。</w:t>
      </w:r>
    </w:p>
    <w:p>
      <w:pPr>
        <w:pStyle w:val="21"/>
      </w:pPr>
      <w:r>
        <w:t>五 核心判断与建设原则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明确复用现有系统、从真实业务问题出发、保留人工确认、小范围验证、全程留痕和安全边界。原则必须能约束后续场景设计。</w:t>
      </w:r>
    </w:p>
    <w:p>
      <w:pPr>
        <w:pStyle w:val="21"/>
      </w:pPr>
      <w:r>
        <w:t>六 企业AI整体规划建议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说明企业级蓝图和分阶段路线。每一阶段均需说明业务问题、数据条件、预期结果和进入下一阶段的条件。</w:t>
      </w:r>
    </w:p>
    <w:p>
      <w:pPr>
        <w:pStyle w:val="21"/>
      </w:pPr>
      <w:r>
        <w:t>七 一期建设建议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明确一期目标、纳入与不纳入范围、场景说明、业务输入、AI辅助、人工责任、正式记录、基线指标、计划和交付物。</w:t>
      </w:r>
    </w:p>
    <w:p>
      <w:pPr>
        <w:pStyle w:val="21"/>
      </w:pPr>
      <w:r>
        <w:t>八 实施条件风险与验收建议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列出范围、试点项目、数据、账号、接口、规则、责任人和验收用例等准入条件。风险措施应能够执行，验收标准应能够测试和留证。</w:t>
      </w:r>
    </w:p>
    <w:p>
      <w:pPr>
        <w:pStyle w:val="21"/>
      </w:pPr>
      <w:r>
        <w:t>九 后续工作建议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使用行动清单，明确责任方、完成时间和产出文件。不能只写原则性要求。</w:t>
      </w:r>
    </w:p>
    <w:p>
      <w:pPr>
        <w:pStyle w:val="1"/>
      </w:pPr>
      <w:r>
        <w:t>七 AI场景的标准写法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每个场景至少回答以下七个问题。缺少业务输入、人工责任或正式记录的场景，不应进入确定交付范围。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351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需要回答的问题</w:t>
            </w:r>
          </w:p>
        </w:tc>
        <w:tc>
          <w:tcPr>
            <w:tcW w:type="dxa" w:w="374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合格示例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业务输入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使用哪些资料、系统对象和字段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项目资料、已审核模板、任务、人员和问题记录</w:t>
            </w:r>
          </w:p>
        </w:tc>
      </w:tr>
      <w:tr>
        <w:trPr>
          <w:cantSplit/>
        </w:trPr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AI辅助</w:t>
            </w:r>
          </w:p>
        </w:tc>
        <w:tc>
          <w:tcPr>
            <w:tcW w:type="dxa" w:w="351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AI具体整理、提取、查询或提示什么</w:t>
            </w:r>
          </w:p>
        </w:tc>
        <w:tc>
          <w:tcPr>
            <w:tcW w:type="dxa" w:w="374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形成可修改的计划草稿并提示资料缺口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人工决策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谁确认，确认什么，何时生效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项目经理确认节点、日期、负责人和依赖关系</w:t>
            </w:r>
          </w:p>
        </w:tc>
      </w:tr>
      <w:tr>
        <w:trPr>
          <w:cantSplit/>
        </w:trPr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正式记录</w:t>
            </w:r>
          </w:p>
        </w:tc>
        <w:tc>
          <w:tcPr>
            <w:tcW w:type="dxa" w:w="351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最终结果写入哪里，保留哪些版本</w:t>
            </w:r>
          </w:p>
        </w:tc>
        <w:tc>
          <w:tcPr>
            <w:tcW w:type="dxa" w:w="374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确认结果写入指定系统并保留修改差异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拒答降级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数据不足、无权限或接口失败时怎么办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停止写回并提示补充信息或转人工</w:t>
            </w:r>
          </w:p>
        </w:tc>
      </w:tr>
      <w:tr>
        <w:trPr>
          <w:cantSplit/>
        </w:trPr>
        <w:tc>
          <w:tcPr>
            <w:tcW w:type="dxa" w:w="130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指标证据</w:t>
            </w:r>
          </w:p>
        </w:tc>
        <w:tc>
          <w:tcPr>
            <w:tcW w:type="dxa" w:w="351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如何判断效率、质量、安全和使用情况</w:t>
            </w:r>
          </w:p>
        </w:tc>
        <w:tc>
          <w:tcPr>
            <w:tcW w:type="dxa" w:w="374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记录准备时长、字段一致性、采纳和修改情况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范围边界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哪些内容明确不属于本期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不自动批准计划，不直接形成绩效结论</w:t>
            </w:r>
          </w:p>
        </w:tc>
      </w:tr>
    </w:tbl>
    <w:p>
      <w:pPr>
        <w:spacing w:after="0"/>
      </w:pPr>
    </w:p>
    <w:p>
      <w:pPr>
        <w:pStyle w:val="1"/>
      </w:pPr>
      <w:r>
        <w:t>八 实施和验收规则</w:t>
      </w:r>
    </w:p>
    <w:p>
      <w:pPr>
        <w:pStyle w:val="21"/>
      </w:pPr>
      <w:r>
        <w:t>一 启动准入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启动前至少确认范围、试点项目、真实使用人员、数据样本、账号权限、接口或降级方式、业务规则、责任人员和验收用例。任一关键条件未就绪时，应缩减用例、采用降级方式或暂停相应场景。</w:t>
      </w:r>
    </w:p>
    <w:p>
      <w:pPr>
        <w:pStyle w:val="21"/>
      </w:pPr>
      <w:r>
        <w:t>二 客观验收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验收类别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检查重点</w:t>
            </w:r>
          </w:p>
        </w:tc>
        <w:tc>
          <w:tcPr>
            <w:tcW w:type="dxa" w:w="317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主要证据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功能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双方确认的核心用例是否全部通过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测试步骤、结果截图和签字记录</w:t>
            </w:r>
          </w:p>
        </w:tc>
      </w:tr>
      <w:tr>
        <w:trPr>
          <w:cantSplit/>
        </w:trPr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数据</w:t>
            </w:r>
          </w:p>
        </w:tc>
        <w:tc>
          <w:tcPr>
            <w:tcW w:type="dxa" w:w="396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关键字段是否与权威来源一致</w:t>
            </w:r>
          </w:p>
        </w:tc>
        <w:tc>
          <w:tcPr>
            <w:tcW w:type="dxa" w:w="317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数据核对表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权限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未授权数据是否不可访问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角色权限用例和访问日志</w:t>
            </w:r>
          </w:p>
        </w:tc>
      </w:tr>
      <w:tr>
        <w:trPr>
          <w:cantSplit/>
        </w:trPr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一致性</w:t>
            </w:r>
          </w:p>
        </w:tc>
        <w:tc>
          <w:tcPr>
            <w:tcW w:type="dxa" w:w="396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重复提交、失败和补偿是否可控</w:t>
            </w:r>
          </w:p>
        </w:tc>
        <w:tc>
          <w:tcPr>
            <w:tcW w:type="dxa" w:w="317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重复及异常测试记录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性能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约定环境中的普通操作是否满足时限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性能测试记录</w:t>
            </w:r>
          </w:p>
        </w:tc>
      </w:tr>
      <w:tr>
        <w:trPr>
          <w:cantSplit/>
        </w:trPr>
        <w:tc>
          <w:tcPr>
            <w:tcW w:type="dxa" w:w="1417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缺陷</w:t>
            </w:r>
          </w:p>
        </w:tc>
        <w:tc>
          <w:tcPr>
            <w:tcW w:type="dxa" w:w="3969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阻断和严重缺陷是否清零</w:t>
            </w:r>
          </w:p>
        </w:tc>
        <w:tc>
          <w:tcPr>
            <w:tcW w:type="dxa" w:w="317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缺陷清单和处理安排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交付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配置、说明、培训和验收资料是否齐全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交付物清单</w:t>
            </w:r>
          </w:p>
        </w:tc>
      </w:tr>
    </w:tbl>
    <w:p>
      <w:pPr>
        <w:spacing w:after="0"/>
      </w:pPr>
    </w:p>
    <w:p>
      <w:pPr>
        <w:pStyle w:val="1"/>
      </w:pPr>
      <w:r>
        <w:t>九 安全和治理边界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明确权威数据源、数据责任人、更新时间和读取范围。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仅通过授权账号、接口或批准文件取得试点数据。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默认先形成草稿，写回需要人工确认、幂等校验和结果回查。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未经批准，不向外部模型或其他环境发送合同、图纸、人员和客户资料。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按角色、项目和字段配置权限，记录查询、生成、确认、写回和异常日志。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接口、模型或数据异常时停止自动处理，转回现有系统和人工流程。</w:t>
      </w:r>
    </w:p>
    <w:p>
      <w:pPr>
        <w:pStyle w:val="1"/>
      </w:pPr>
      <w:r>
        <w:t>十 写作和格式要求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先写结论，再写依据、条件和建议。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使用客观、克制、可验证的语言，避免口号、夸大价值和无依据承诺。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同一对象统一名称；系统名、人员名、日期和项目编号必须复核。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正文使用一、（一）、1. 的三级标题体系；表格只用于对比和重复记录。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A4纵向；正文微软雅黑11.5至12磅；一级标题15磅；表格正文9.5至10磅。</w:t>
      </w:r>
    </w:p>
    <w:p>
      <w:pPr>
        <w:pStyle w:val="a0"/>
        <w:ind w:firstLine="0"/>
      </w:pPr>
      <w:r>
        <w:rPr>
          <w:rFonts w:ascii="Microsoft YaHei" w:hAnsi="Microsoft YaHei" w:eastAsia="微软雅黑"/>
          <w:color w:val="000000"/>
          <w:sz w:val="23"/>
        </w:rPr>
        <w:t>定稿时删除全部灰色提示、内部备注、批注、修订痕迹和无效空行。</w:t>
      </w:r>
    </w:p>
    <w:p>
      <w:pPr>
        <w:pStyle w:val="1"/>
      </w:pPr>
      <w:r>
        <w:t>十一 文件版本规则</w:t>
      </w:r>
    </w:p>
    <w:tbl>
      <w:tblPr>
        <w:tblStyle w:val="4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使用场景</w:t>
            </w:r>
          </w:p>
        </w:tc>
        <w:tc>
          <w:tcPr>
            <w:tcW w:type="dxa" w:w="402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ind w:firstLine="0"/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v0.1-v0.9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内部草稿和讨论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允许频繁迭代，不作为正式交付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v1.0</w:t>
            </w:r>
          </w:p>
        </w:tc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首次正式定稿</w:t>
            </w:r>
          </w:p>
        </w:tc>
        <w:tc>
          <w:tcPr>
            <w:tcW w:type="dxa" w:w="402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通过内部审核并可对外发布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v1.1-v1.x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正式版后的局部修订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保留主要结构和核心范围</w:t>
            </w:r>
          </w:p>
        </w:tc>
      </w:tr>
      <w:tr>
        <w:trPr>
          <w:cantSplit/>
        </w:trPr>
        <w:tc>
          <w:tcPr>
            <w:tcW w:type="dxa" w:w="170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center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v2.0</w:t>
            </w:r>
          </w:p>
        </w:tc>
        <w:tc>
          <w:tcPr>
            <w:tcW w:type="dxa" w:w="283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重大结构或范围变化</w:t>
            </w:r>
          </w:p>
        </w:tc>
        <w:tc>
          <w:tcPr>
            <w:tcW w:type="dxa" w:w="4025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ind w:firstLine="0"/>
              <w:jc w:val="left"/>
            </w:pPr>
            <w:r>
              <w:rPr>
                <w:rFonts w:ascii="Microsoft YaHei" w:hAnsi="Microsoft YaHei" w:eastAsia="微软雅黑"/>
                <w:color w:val="000000"/>
                <w:sz w:val="19"/>
              </w:rPr>
              <w:t>核心结论、阶段或交付范围发生重大调整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微软雅黑"/>
          <w:i w:val="0"/>
          <w:color w:val="000000"/>
          <w:sz w:val="23"/>
        </w:rPr>
        <w:t>文件名统一为“日期_客户名称_项目名称_文档名称_v版本号.docx”。原内部迭代编号不代表正式发布次数；首次对外定稿应统一为 v1.0。</w:t>
      </w:r>
    </w:p>
    <w:p>
      <w:pPr>
        <w:pStyle w:val="1"/>
      </w:pPr>
      <w:r>
        <w:t>十二 定稿要求</w:t>
      </w:r>
    </w:p>
    <w:p>
      <w:r>
        <w:rPr>
          <w:rFonts w:ascii="Microsoft YaHei" w:hAnsi="Microsoft YaHei" w:eastAsia="微软雅黑"/>
          <w:i w:val="0"/>
          <w:color w:val="000000"/>
          <w:sz w:val="23"/>
        </w:rPr>
        <w:t>正式发布前，应使用《编制与定稿检查清单》逐项复核。至少确认结论有证据、范围有边界、责任有归属、指标可测量、验收可留证、附件可追溯、版式无缺陷和版本号正确。</w:t>
      </w:r>
    </w:p>
    <w:sectPr w:rsidR="00F81393" w:rsidSect="00034616">
      <w:footerReference w:type="default" r:id="rId11"/>
      <w:pgSz w:w="11906" w:h="16838"/>
      <w:pgMar w:top="2098" w:right="1474" w:bottom="1984" w:left="1587" w:header="850" w:footer="96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A63113" w14:textId="77777777" w:rsidR="00651EEB" w:rsidRDefault="00651EEB">
      <w:pPr>
        <w:spacing w:after="0" w:line="240" w:lineRule="auto"/>
      </w:pPr>
      <w:r>
        <w:separator/>
      </w:r>
    </w:p>
  </w:endnote>
  <w:endnote w:type="continuationSeparator" w:id="0">
    <w:p w14:paraId="114E698F" w14:textId="77777777" w:rsidR="00651EEB" w:rsidRDefault="00651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i">
    <w:panose1 w:val="00000000000000000000"/>
    <w:charset w:val="86"/>
    <w:family w:val="auto"/>
    <w:pitch w:val="variable"/>
    <w:sig w:usb0="00000001" w:usb1="080E0000" w:usb2="00000010" w:usb3="00000000" w:csb0="00040001" w:csb1="00000000"/>
  </w:font>
  <w:font w:name="SimSong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9A24FB" w14:textId="77777777" w:rsidR="00F81393" w:rsidRDefault="00000000">
    <w:pPr>
      <w:pStyle w:val="a7"/>
      <w:jc w:val="center"/>
    </w:pPr>
    <w:r>
      <w:rPr>
        <w:rFonts w:eastAsia="SimSong"/>
        <w:color w:val="000000"/>
        <w:sz w:val="28"/>
      </w:rPr>
      <w:t xml:space="preserve">— </w:t>
    </w:r>
    <w:r>
      <w:rPr>
        <w:rFonts w:eastAsia="SimSong"/>
        <w:color w:val="000000"/>
        <w:sz w:val="28"/>
      </w:rPr>
      <w:fldChar w:fldCharType="begin"/>
    </w:r>
    <w:r>
      <w:rPr>
        <w:rFonts w:eastAsia="SimSong"/>
        <w:color w:val="000000"/>
        <w:sz w:val="28"/>
      </w:rPr>
      <w:instrText xml:space="preserve"> PAGE </w:instrText>
    </w:r>
    <w:r>
      <w:rPr>
        <w:rFonts w:eastAsia="SimSong"/>
        <w:color w:val="000000"/>
        <w:sz w:val="28"/>
      </w:rPr>
      <w:fldChar w:fldCharType="separate"/>
    </w:r>
    <w:r w:rsidR="00BE2D3D">
      <w:rPr>
        <w:rFonts w:eastAsia="SimSong"/>
        <w:noProof/>
        <w:color w:val="000000"/>
        <w:sz w:val="28"/>
      </w:rPr>
      <w:t>1</w:t>
    </w:r>
    <w:r>
      <w:rPr>
        <w:rFonts w:eastAsia="SimSong"/>
        <w:color w:val="000000"/>
        <w:sz w:val="28"/>
      </w:rPr>
      <w:fldChar w:fldCharType="end"/>
    </w:r>
    <w:r>
      <w:rPr>
        <w:rFonts w:eastAsia="SimSong"/>
        <w:color w:val="00000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YaHei" w:hAnsi="Microsoft YaHei" w:eastAsia="微软雅黑"/>
        <w:color w:val="666666"/>
        <w:sz w:val="18"/>
      </w:rPr>
      <w:t xml:space="preserve">— </w:t>
    </w:r>
    <w:r>
      <w:rPr>
        <w:rFonts w:ascii="Microsoft YaHei" w:hAnsi="Microsoft YaHei" w:eastAsia="微软雅黑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微软雅黑"/>
        <w:color w:val="666666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5A9C49" w14:textId="77777777" w:rsidR="00651EEB" w:rsidRDefault="00651EEB">
      <w:pPr>
        <w:spacing w:after="0" w:line="240" w:lineRule="auto"/>
      </w:pPr>
      <w:r>
        <w:separator/>
      </w:r>
    </w:p>
  </w:footnote>
  <w:footnote w:type="continuationSeparator" w:id="0">
    <w:p w14:paraId="5C5BF579" w14:textId="77777777" w:rsidR="00651EEB" w:rsidRDefault="00651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253666">
    <w:abstractNumId w:val="8"/>
  </w:num>
  <w:num w:numId="2" w16cid:durableId="813065798">
    <w:abstractNumId w:val="6"/>
  </w:num>
  <w:num w:numId="3" w16cid:durableId="1320378022">
    <w:abstractNumId w:val="5"/>
  </w:num>
  <w:num w:numId="4" w16cid:durableId="1893228841">
    <w:abstractNumId w:val="4"/>
  </w:num>
  <w:num w:numId="5" w16cid:durableId="861750645">
    <w:abstractNumId w:val="7"/>
  </w:num>
  <w:num w:numId="6" w16cid:durableId="759955778">
    <w:abstractNumId w:val="3"/>
  </w:num>
  <w:num w:numId="7" w16cid:durableId="1445425124">
    <w:abstractNumId w:val="2"/>
  </w:num>
  <w:num w:numId="8" w16cid:durableId="141972816">
    <w:abstractNumId w:val="1"/>
  </w:num>
  <w:num w:numId="9" w16cid:durableId="19697764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22F"/>
    <w:rsid w:val="0009354C"/>
    <w:rsid w:val="000C2580"/>
    <w:rsid w:val="0015074B"/>
    <w:rsid w:val="00161F76"/>
    <w:rsid w:val="002130CC"/>
    <w:rsid w:val="0026261C"/>
    <w:rsid w:val="0029639D"/>
    <w:rsid w:val="002B618E"/>
    <w:rsid w:val="002C4EB0"/>
    <w:rsid w:val="00326F90"/>
    <w:rsid w:val="00407DE3"/>
    <w:rsid w:val="0046632A"/>
    <w:rsid w:val="004A138D"/>
    <w:rsid w:val="00501417"/>
    <w:rsid w:val="005369B3"/>
    <w:rsid w:val="005B0BC3"/>
    <w:rsid w:val="00614E5B"/>
    <w:rsid w:val="00651EEB"/>
    <w:rsid w:val="00700149"/>
    <w:rsid w:val="00722E91"/>
    <w:rsid w:val="007643AE"/>
    <w:rsid w:val="007D0771"/>
    <w:rsid w:val="009A2C9E"/>
    <w:rsid w:val="009C1F4A"/>
    <w:rsid w:val="00A2514B"/>
    <w:rsid w:val="00A925C0"/>
    <w:rsid w:val="00AA1D8D"/>
    <w:rsid w:val="00AE1E8F"/>
    <w:rsid w:val="00B03EF8"/>
    <w:rsid w:val="00B47730"/>
    <w:rsid w:val="00B81348"/>
    <w:rsid w:val="00BE2D3D"/>
    <w:rsid w:val="00C11481"/>
    <w:rsid w:val="00CB0664"/>
    <w:rsid w:val="00CB68EB"/>
    <w:rsid w:val="00CE28BA"/>
    <w:rsid w:val="00CE787C"/>
    <w:rsid w:val="00F813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0796F"/>
  <w14:defaultImageDpi w14:val="300"/>
  <w15:docId w15:val="{EE8DD63F-C741-3841-B7B9-86788F08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 w:after="120"/>
      <w:ind w:firstLine="460"/>
    </w:pPr>
    <w:rPr>
      <w:rFonts w:ascii="Microsoft YaHei" w:eastAsia="微软雅黑" w:hAnsi="Microsoft YaHei"/>
      <w:b w:val="0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微软雅黑"/>
      <w:b w:val="0"/>
      <w:color w:val="000000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62">
    <w:name w:val="Grid Table 2 Accent 6"/>
    <w:basedOn w:val="a3"/>
    <w:uiPriority w:val="47"/>
    <w:rsid w:val="00BE2D3D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41">
    <w:name w:val="Grid Table 4"/>
    <w:basedOn w:val="a3"/>
    <w:uiPriority w:val="49"/>
    <w:rsid w:val="00BE2D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37</Pages>
  <Words>2681</Words>
  <Characters>15287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企业AI规划与项目管理调研情况汇报编制规范</dc:title>
  <dc:subject>调研情况汇报的结构、证据、边界与定稿规则</dc:subject>
  <dc:creator>杭州缺口信息科技有限公司</dc:creator>
  <cp:keywords>上海昱庄机械, 企业AI, 项目管理, 调研情况汇报</cp:keywords>
  <dc:description>企业AI规划与项目管理调研情况汇报标准资料包 v1.0</dc:description>
  <cp:lastModifiedBy>杭州缺口信息科技有限公司</cp:lastModifiedBy>
  <cp:revision>28</cp:revision>
  <dcterms:created xsi:type="dcterms:W3CDTF">2013-12-23T23:15:00Z</dcterms:created>
  <dcterms:modified xsi:type="dcterms:W3CDTF">2026-10-27T07:02:00Z</dcterms:modified>
  <cp:category/>
</cp:coreProperties>
</file>