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800"/>
        <w:jc w:val="center"/>
      </w:pPr>
      <w:r>
        <w:rPr>
          <w:rFonts w:ascii="Microsoft YaHei" w:hAnsi="Microsoft YaHei" w:eastAsia="微软雅黑"/>
          <w:b/>
          <w:color w:val="000000"/>
          <w:sz w:val="36"/>
        </w:rPr>
        <w:t>[客户名称]</w:t>
      </w:r>
    </w:p>
    <w:p>
      <w:pPr>
        <w:pStyle w:val="aa"/>
        <w:spacing w:before="1840"/>
      </w:pPr>
      <w:r>
        <w:t>企业AI规划与项目管理一期</w:t>
        <w:br/>
        <w:t>调研情况汇报</w:t>
      </w:r>
    </w:p>
    <w:p>
      <w:pPr>
        <w:spacing w:before="360"/>
        <w:jc w:val="center"/>
      </w:pPr>
      <w:r>
        <w:rPr>
          <w:rFonts w:ascii="Microsoft YaHei" w:hAnsi="Microsoft YaHei" w:eastAsia="微软雅黑"/>
          <w:color w:val="666666"/>
          <w:sz w:val="23"/>
        </w:rPr>
        <w:t>项目编号  [项目编号]</w:t>
      </w:r>
    </w:p>
    <w:p>
      <w:pPr>
        <w:spacing w:before="160"/>
        <w:jc w:val="center"/>
      </w:pPr>
      <w:r>
        <w:rPr>
          <w:rFonts w:ascii="Microsoft YaHei" w:hAnsi="Microsoft YaHei" w:eastAsia="微软雅黑"/>
          <w:color w:val="666666"/>
          <w:sz w:val="23"/>
        </w:rPr>
        <w:t>[编制单位]</w:t>
      </w:r>
    </w:p>
    <w:p>
      <w:pPr>
        <w:spacing w:before="160"/>
        <w:jc w:val="center"/>
      </w:pPr>
      <w:r>
        <w:rPr>
          <w:rFonts w:ascii="Microsoft YaHei" w:hAnsi="Microsoft YaHei" w:eastAsia="微软雅黑"/>
          <w:color w:val="666666"/>
          <w:sz w:val="23"/>
        </w:rPr>
        <w:t>[编制日期]  [版本号]</w:t>
      </w:r>
    </w:p>
    <w:p>
      <w:pPr>
        <w:sectPr>
          <w:pgSz w:w="11906" w:h="16838"/>
          <w:pgMar w:top="2098" w:right="1474" w:bottom="1984" w:left="1587" w:header="850" w:footer="964" w:gutter="0"/>
          <w:pgNumType w:start="1"/>
          <w:cols w:space="720"/>
          <w:docGrid w:linePitch="360"/>
        </w:sectPr>
      </w:pPr>
    </w:p>
    <w:p>
      <w:pPr>
        <w:pStyle w:val="1"/>
      </w:pPr>
      <w:r>
        <w:t>模板使用提示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[本模板中的灰色方括号内容为编写提示。定稿前必须删除全部提示文字，并根据实际项目增删表格行。不得保留无依据的示例、数字、人员或系统名称。]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报告用途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[说明报告用于何种决策、范围确认或项目启动]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主要读者</w:t>
            </w:r>
          </w:p>
        </w:tc>
        <w:tc>
          <w:tcPr>
            <w:tcW w:type="dxa" w:w="686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[客户决策层、项目负责人、业务负责人、信息化负责人等]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编制责任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[编制人、事实提供人、业务审核人、信息化审核人、批准人]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证据范围</w:t>
            </w:r>
          </w:p>
        </w:tc>
        <w:tc>
          <w:tcPr>
            <w:tcW w:type="dxa" w:w="686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[本报告引用的访谈、系统、现场、资料和样本范围]</w:t>
            </w:r>
          </w:p>
        </w:tc>
      </w:tr>
    </w:tbl>
    <w:p>
      <w:pPr>
        <w:spacing w:after="0"/>
      </w:pPr>
    </w:p>
    <w:p>
      <w:pPr>
        <w:pStyle w:val="1"/>
      </w:pPr>
      <w:r>
        <w:t>核心结论与请甲方决策事项</w:t>
      </w:r>
    </w:p>
    <w:p>
      <w:pPr>
        <w:pStyle w:val="21"/>
      </w:pPr>
      <w:r>
        <w:t>一 核心结论</w:t>
      </w:r>
    </w:p>
    <w:p>
      <w:pPr>
        <w:ind w:firstLine="0"/>
      </w:pPr>
      <w:r>
        <w:rPr>
          <w:rFonts w:ascii="Microsoft YaHei" w:hAnsi="Microsoft YaHei" w:eastAsia="微软雅黑"/>
          <w:i/>
          <w:color w:val="666666"/>
          <w:sz w:val="21"/>
        </w:rPr>
        <w:t>1. [说明现有系统和数据基础，以及当前最需要解决的问题]</w:t>
      </w:r>
    </w:p>
    <w:p>
      <w:pPr>
        <w:ind w:firstLine="0"/>
      </w:pPr>
      <w:r>
        <w:rPr>
          <w:rFonts w:ascii="Microsoft YaHei" w:hAnsi="Microsoft YaHei" w:eastAsia="微软雅黑"/>
          <w:i/>
          <w:color w:val="666666"/>
          <w:sz w:val="21"/>
        </w:rPr>
        <w:t>2. [说明一期优先选择的业务主线和原因]</w:t>
      </w:r>
    </w:p>
    <w:p>
      <w:pPr>
        <w:ind w:firstLine="0"/>
      </w:pPr>
      <w:r>
        <w:rPr>
          <w:rFonts w:ascii="Microsoft YaHei" w:hAnsi="Microsoft YaHei" w:eastAsia="微软雅黑"/>
          <w:i/>
          <w:color w:val="666666"/>
          <w:sz w:val="21"/>
        </w:rPr>
        <w:t>3. [说明AI输出与人工确认的责任边界]</w:t>
      </w:r>
    </w:p>
    <w:p>
      <w:pPr>
        <w:ind w:firstLine="0"/>
      </w:pPr>
      <w:r>
        <w:rPr>
          <w:rFonts w:ascii="Microsoft YaHei" w:hAnsi="Microsoft YaHei" w:eastAsia="微软雅黑"/>
          <w:i/>
          <w:color w:val="666666"/>
          <w:sz w:val="21"/>
        </w:rPr>
        <w:t>4. [说明试点周期、观察期及是否扩展的决策依据]</w:t>
      </w:r>
    </w:p>
    <w:p>
      <w:pPr>
        <w:pStyle w:val="21"/>
      </w:pPr>
      <w:r>
        <w:t>二 请甲方决策事项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决策事项</w:t>
            </w:r>
          </w:p>
        </w:tc>
        <w:tc>
          <w:tcPr>
            <w:tcW w:type="dxa" w:w="277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建议确认内容</w:t>
            </w:r>
          </w:p>
        </w:tc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建议责任方</w:t>
            </w:r>
          </w:p>
        </w:tc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建议完成时间</w:t>
            </w:r>
          </w:p>
        </w:tc>
        <w:tc>
          <w:tcPr>
            <w:tcW w:type="dxa" w:w="147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未确认的影响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一期范围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[场景、纳入及不纳入事项]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价值和指标</w:t>
            </w:r>
          </w:p>
        </w:tc>
        <w:tc>
          <w:tcPr>
            <w:tcW w:type="dxa" w:w="277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[基线、目标区间、指标责任人]</w:t>
            </w:r>
          </w:p>
        </w:tc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试点项目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[项目类型、项目编号、真实用户]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数据和系统</w:t>
            </w:r>
          </w:p>
        </w:tc>
        <w:tc>
          <w:tcPr>
            <w:tcW w:type="dxa" w:w="277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[样本、账号、接口、权限和存储要求]</w:t>
            </w:r>
          </w:p>
        </w:tc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业务规则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[关键规则、阈值、审核和关闭方式]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验收安排</w:t>
            </w:r>
          </w:p>
        </w:tc>
        <w:tc>
          <w:tcPr>
            <w:tcW w:type="dxa" w:w="277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[用例、样本、标准、证据和签字人]</w:t>
            </w:r>
          </w:p>
        </w:tc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</w:tr>
    </w:tbl>
    <w:p>
      <w:pPr>
        <w:spacing w:after="0"/>
      </w:pPr>
    </w:p>
    <w:p>
      <w:pPr>
        <w:pStyle w:val="1"/>
      </w:pPr>
      <w:r>
        <w:t>一 调研概述</w:t>
      </w:r>
    </w:p>
    <w:p>
      <w:pPr>
        <w:pStyle w:val="21"/>
      </w:pPr>
      <w:r>
        <w:t>一 调研背景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[说明客户业务形态、项目管理特点、当前建设诉求和本次调研的直接原因。避免在本节提前承诺解决方案。]</w:t>
      </w:r>
    </w:p>
    <w:p>
      <w:pPr>
        <w:pStyle w:val="21"/>
      </w:pPr>
      <w:r>
        <w:t>二 调研目标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[说明本次调研需要了解、核实、区分和形成的具体成果。建议控制在三至五项。]</w:t>
      </w:r>
    </w:p>
    <w:p>
      <w:pPr>
        <w:pStyle w:val="21"/>
      </w:pPr>
      <w:r>
        <w:t>三 调研范围和方式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调研方式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形成的依据</w:t>
            </w:r>
          </w:p>
        </w:tc>
        <w:tc>
          <w:tcPr>
            <w:tcW w:type="dxa" w:w="175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证据编号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人员访谈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[对象和主题]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[访谈原文或纪要]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[E01]</w:t>
            </w:r>
          </w:p>
        </w:tc>
      </w:tr>
      <w:tr>
        <w:trPr>
          <w:cantSplit/>
        </w:trP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系统走查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[系统、模块、页面和对象]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[截图、字段或操作记录]</w:t>
            </w:r>
          </w:p>
        </w:tc>
        <w:tc>
          <w:tcPr>
            <w:tcW w:type="dxa" w:w="17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[E02]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现场走查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[现场环节和观察重点]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[照片或走查记录]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[E03]</w:t>
            </w:r>
          </w:p>
        </w:tc>
      </w:tr>
      <w:tr>
        <w:trPr>
          <w:cantSplit/>
        </w:trP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资料分析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[制度、表单、历史项目和样本]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[文件或样本记录]</w:t>
            </w:r>
          </w:p>
        </w:tc>
        <w:tc>
          <w:tcPr>
            <w:tcW w:type="dxa" w:w="17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[E04]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方案复核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[复核对象和参与人员]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[会议纪要或确认记录]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[E05]</w:t>
            </w:r>
          </w:p>
        </w:tc>
      </w:tr>
    </w:tbl>
    <w:p>
      <w:pPr>
        <w:spacing w:after="0"/>
      </w:pPr>
    </w:p>
    <w:p>
      <w:pPr>
        <w:pStyle w:val="21"/>
      </w:pPr>
      <w:r>
        <w:t>四 调研对象和沟通重点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职位或角色</w:t>
            </w:r>
          </w:p>
        </w:tc>
        <w:tc>
          <w:tcPr>
            <w:tcW w:type="dxa" w:w="37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主要沟通内容</w:t>
            </w:r>
          </w:p>
        </w:tc>
        <w:tc>
          <w:tcPr>
            <w:tcW w:type="dxa" w:w="16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确认状态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[姓名]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[角色]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[沟通主题]</w:t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[已确认/待确认]</w:t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[姓名]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[角色]</w:t>
            </w:r>
          </w:p>
        </w:tc>
        <w:tc>
          <w:tcPr>
            <w:tcW w:type="dxa" w:w="37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[沟通主题]</w:t>
            </w:r>
          </w:p>
        </w:tc>
        <w:tc>
          <w:tcPr>
            <w:tcW w:type="dxa" w:w="164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[已确认/待确认]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[姓名]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[角色]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[沟通主题]</w:t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[已确认/待确认]</w:t>
            </w:r>
          </w:p>
        </w:tc>
      </w:tr>
    </w:tbl>
    <w:p>
      <w:pPr>
        <w:spacing w:after="0"/>
      </w:pPr>
    </w:p>
    <w:p>
      <w:pPr>
        <w:pStyle w:val="21"/>
      </w:pPr>
      <w:r>
        <w:t>五 报告使用边界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[说明哪些内容属于已核实事实，哪些数量和技术能力仍需验证；说明本报告与合同、详细需求和验收文件之间的关系。]</w:t>
      </w:r>
    </w:p>
    <w:p>
      <w:pPr>
        <w:pStyle w:val="1"/>
      </w:pPr>
      <w:r>
        <w:t>二 企业业务与项目管理现状</w:t>
      </w:r>
    </w:p>
    <w:p>
      <w:pPr>
        <w:pStyle w:val="21"/>
      </w:pPr>
      <w:r>
        <w:t>一 企业业务特点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[说明主营业务、交付形态、参与专业、客户现场条件和项目管理特点。]</w:t>
      </w:r>
    </w:p>
    <w:p>
      <w:pPr>
        <w:pStyle w:val="21"/>
      </w:pPr>
      <w:r>
        <w:t>二 项目全生命周期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[按实际顺序说明项目从销售或合同开始，到设计、采购、制造、安装、调试、验收和质保的主要环节。]</w:t>
      </w:r>
    </w:p>
    <w:p>
      <w:pPr>
        <w:pStyle w:val="21"/>
      </w:pPr>
      <w:r>
        <w:t>三 现有系统和数据基础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系统或工具</w:t>
            </w:r>
          </w:p>
        </w:tc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当前主要作用</w:t>
            </w:r>
          </w:p>
        </w:tc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已核实能力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实际使用情况</w:t>
            </w:r>
          </w:p>
        </w:tc>
        <w:tc>
          <w:tcPr>
            <w:tcW w:type="dxa" w:w="16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待核实事项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[系统名称]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[作用]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[能力]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[实际使用]</w:t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[待核实]</w:t>
            </w:r>
          </w:p>
        </w:tc>
      </w:tr>
      <w:tr>
        <w:trPr>
          <w:cantSplit/>
        </w:trPr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[系统名称]</w:t>
            </w:r>
          </w:p>
        </w:tc>
        <w:tc>
          <w:tcPr>
            <w:tcW w:type="dxa" w:w="187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[作用]</w:t>
            </w:r>
          </w:p>
        </w:tc>
        <w:tc>
          <w:tcPr>
            <w:tcW w:type="dxa" w:w="187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[能力]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[实际使用]</w:t>
            </w:r>
          </w:p>
        </w:tc>
        <w:tc>
          <w:tcPr>
            <w:tcW w:type="dxa" w:w="164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[待核实]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[文件或协同工具]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[作用]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[能力]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[实际使用]</w:t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[待核实]</w:t>
            </w:r>
          </w:p>
        </w:tc>
      </w:tr>
    </w:tbl>
    <w:p>
      <w:pPr>
        <w:spacing w:after="0"/>
      </w:pPr>
    </w:p>
    <w:p>
      <w:pPr>
        <w:pStyle w:val="21"/>
      </w:pPr>
      <w:r>
        <w:t>四 现有管理方式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[说明计划、人员安排、执行反馈、问题处理、经验沉淀和管理查询的实际做法，区分制度规定与真实使用。]</w:t>
      </w:r>
    </w:p>
    <w:p>
      <w:pPr>
        <w:pStyle w:val="1"/>
      </w:pPr>
      <w:r>
        <w:t>三 调研发现与主要提升机会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[本章按业务问题组织，不按访谈日期或个人组织。每项发现均说明现状、影响、证据、建议和待核实事项。]</w:t>
      </w:r>
    </w:p>
    <w:p>
      <w:pPr>
        <w:pStyle w:val="21"/>
      </w:pPr>
      <w:r>
        <w:t>1 [主要发现标题]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现状与影响：[描述已经观察或核实的实际表现，以及对进度、质量、成本、协同或管理判断的影响。]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证据和限制：[列明证据编号、证据属性、统计口径差异和仍需核实的事项。]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提升机会：[提出与现有系统和业务责任相匹配的改进方向，不提前承诺未经验证的能力。]</w:t>
      </w:r>
    </w:p>
    <w:p>
      <w:pPr>
        <w:pStyle w:val="21"/>
      </w:pPr>
      <w:r>
        <w:t>2 [主要发现标题]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现状与影响：[描述已经观察或核实的实际表现，以及对进度、质量、成本、协同或管理判断的影响。]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证据和限制：[列明证据编号、证据属性、统计口径差异和仍需核实的事项。]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提升机会：[提出与现有系统和业务责任相匹配的改进方向，不提前承诺未经验证的能力。]</w:t>
      </w:r>
    </w:p>
    <w:p>
      <w:pPr>
        <w:pStyle w:val="21"/>
      </w:pPr>
      <w:r>
        <w:t>3 [主要发现标题]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现状与影响：[描述已经观察或核实的实际表现，以及对进度、质量、成本、协同或管理判断的影响。]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证据和限制：[列明证据编号、证据属性、统计口径差异和仍需核实的事项。]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提升机会：[提出与现有系统和业务责任相匹配的改进方向，不提前承诺未经验证的能力。]</w:t>
      </w:r>
    </w:p>
    <w:p>
      <w:pPr>
        <w:pStyle w:val="21"/>
      </w:pPr>
      <w:r>
        <w:t>四 调研发现证据矩阵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主要发现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直接依据</w:t>
            </w:r>
          </w:p>
        </w:tc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证据属性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待核实事项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F01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[发现]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[E01、E02]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[事实/口述/分析]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[事项]</w:t>
            </w:r>
          </w:p>
        </w:tc>
      </w:tr>
      <w:tr>
        <w:trPr>
          <w:cantSplit/>
        </w:trPr>
        <w:tc>
          <w:tcPr>
            <w:tcW w:type="dxa" w:w="68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F02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[发现]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[E03]</w:t>
            </w:r>
          </w:p>
        </w:tc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[事实/口述/分析]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[事项]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F03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[发现]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[E04、E05]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[事实/口述/分析]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[事项]</w:t>
            </w:r>
          </w:p>
        </w:tc>
      </w:tr>
    </w:tbl>
    <w:p>
      <w:pPr>
        <w:spacing w:after="0"/>
      </w:pPr>
    </w:p>
    <w:p>
      <w:pPr>
        <w:pStyle w:val="1"/>
      </w:pPr>
      <w:r>
        <w:t>四 核心判断与建设原则</w:t>
      </w:r>
    </w:p>
    <w:p>
      <w:pPr>
        <w:pStyle w:val="21"/>
      </w:pPr>
      <w:r>
        <w:t>一 总体判断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[根据调研证据说明现阶段最适合解决的问题、已有基础、主要约束和推荐切入点。]</w:t>
      </w:r>
    </w:p>
    <w:p>
      <w:pPr>
        <w:pStyle w:val="21"/>
      </w:pPr>
      <w:r>
        <w:t>二 建设原则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复用现有系统：[说明继续承载正式业务记录的系统和对象]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从真实业务问题出发：[说明用户、输入、处理和可验收结果]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保留人工确认：[说明AI辅助与人工决策的分界]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小范围验证后扩展：[说明项目类型、用户范围和扩展条件]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全程留痕和可追溯：[说明来源、版本、确认、写回和异常记录]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安全和权限优先：[说明授权、字段、项目和数据外发边界]</w:t>
      </w:r>
    </w:p>
    <w:p>
      <w:pPr>
        <w:pStyle w:val="1"/>
      </w:pPr>
      <w:r>
        <w:t>五 企业AI整体规划建议</w:t>
      </w:r>
    </w:p>
    <w:p>
      <w:pPr>
        <w:pStyle w:val="21"/>
      </w:pPr>
      <w:r>
        <w:t>一 总体规划思路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[说明规划如何以现有系统和数据为基础，逐步覆盖项目管理、跨部门协同和企业经营。]</w:t>
      </w:r>
    </w:p>
    <w:p>
      <w:pPr>
        <w:pStyle w:val="21"/>
      </w:pPr>
      <w:r>
        <w:t>二 分阶段建设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主要业务问题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建设重点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进入下一阶段条件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第一阶段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[问题]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[项目管理试点]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[结果]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  <w:tr>
        <w:trPr>
          <w:cantSplit/>
        </w:trPr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第二阶段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[问题]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[跨部门业务协同]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[结果]</w:t>
            </w:r>
          </w:p>
        </w:tc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第三阶段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[问题]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[企业经营协同]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[结果]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</w:tbl>
    <w:p>
      <w:pPr>
        <w:spacing w:after="0"/>
      </w:pPr>
    </w:p>
    <w:p>
      <w:pPr>
        <w:pStyle w:val="21"/>
      </w:pPr>
      <w:r>
        <w:t>三 业务价值假设和测量口径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价值方向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基线建立方式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观察指标</w:t>
            </w:r>
          </w:p>
        </w:tc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扩展判断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[效率/质量/工期/成本]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[基线方法]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[指标]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[判断条件]</w:t>
            </w:r>
          </w:p>
        </w:tc>
      </w:tr>
      <w:tr>
        <w:trPr>
          <w:cantSplit/>
        </w:trP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[价值方向]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[基线方法]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[指标]</w:t>
            </w:r>
          </w:p>
        </w:tc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[判断条件]</w:t>
            </w:r>
          </w:p>
        </w:tc>
      </w:tr>
    </w:tbl>
    <w:p>
      <w:pPr>
        <w:spacing w:after="0"/>
      </w:pPr>
    </w:p>
    <w:p>
      <w:pPr>
        <w:pStyle w:val="1"/>
      </w:pPr>
      <w:r>
        <w:t>六 一期建设建议</w:t>
      </w:r>
    </w:p>
    <w:p>
      <w:pPr>
        <w:pStyle w:val="21"/>
      </w:pPr>
      <w:r>
        <w:t>一 一期目标</w:t>
      </w:r>
    </w:p>
    <w:p>
      <w:r>
        <w:rPr>
          <w:rFonts w:ascii="Microsoft YaHei" w:hAnsi="Microsoft YaHei" w:eastAsia="微软雅黑"/>
          <w:i/>
          <w:color w:val="666666"/>
          <w:sz w:val="21"/>
        </w:rPr>
        <w:t>[说明试点项目、周期、场景数量、工作闭环和不以何种前提作为承诺。]</w:t>
      </w:r>
    </w:p>
    <w:p>
      <w:pPr>
        <w:pStyle w:val="21"/>
      </w:pPr>
      <w:r>
        <w:t>二 一期建设范围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本期纳入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本期不纳入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范围变更处理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[明确纳入事项]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[明确不纳入事项]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[新增事项如何评估和确认]</w:t>
            </w:r>
          </w:p>
        </w:tc>
      </w:tr>
      <w:tr>
        <w:trPr>
          <w:cantSplit/>
        </w:trPr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[明确纳入事项]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[明确不纳入事项]</w:t>
            </w:r>
          </w:p>
        </w:tc>
        <w:tc>
          <w:tcPr>
            <w:tcW w:type="dxa" w:w="255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[处理方式]</w:t>
            </w:r>
          </w:p>
        </w:tc>
      </w:tr>
    </w:tbl>
    <w:p>
      <w:pPr>
        <w:spacing w:after="0"/>
      </w:pPr>
    </w:p>
    <w:p>
      <w:pPr>
        <w:pStyle w:val="21"/>
      </w:pPr>
      <w:r>
        <w:t>三 一期场景总览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0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业务问题</w:t>
            </w:r>
          </w:p>
        </w:tc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主要用户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正式记录</w:t>
            </w:r>
          </w:p>
        </w:tc>
        <w:tc>
          <w:tcPr>
            <w:tcW w:type="dxa" w:w="147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[场景一]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[问题]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[用户]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[系统或台账]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[重点]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[场景二]</w:t>
            </w:r>
          </w:p>
        </w:tc>
        <w:tc>
          <w:tcPr>
            <w:tcW w:type="dxa" w:w="209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[问题]</w:t>
            </w:r>
          </w:p>
        </w:tc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[用户]</w:t>
            </w:r>
          </w:p>
        </w:tc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[系统或台账]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[重点]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[场景三]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[问题]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[用户]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[系统或台账]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[重点]</w:t>
            </w:r>
          </w:p>
        </w:tc>
      </w:tr>
    </w:tbl>
    <w:p>
      <w:pPr>
        <w:spacing w:after="0"/>
      </w:pPr>
    </w:p>
    <w:p>
      <w:pPr>
        <w:pStyle w:val="21"/>
      </w:pPr>
      <w:r>
        <w:t>四 场景1 [场景名称]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674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业务输入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[资料、系统对象、字段和样本]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AI辅助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[整理、提取、查询、生成或提醒内容]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人工责任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[确认人、确认内容和生效条件]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正式记录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[写入位置、版本和回查方式]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拒答和降级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[无权限、数据缺失、接口失败时的处理]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基线和指标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[基线、观察指标、统计周期和责任人]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不纳入范围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[本场景明确不承诺的事项]</w:t>
            </w:r>
          </w:p>
        </w:tc>
      </w:tr>
    </w:tbl>
    <w:p>
      <w:pPr>
        <w:spacing w:after="0"/>
      </w:pPr>
    </w:p>
    <w:p>
      <w:pPr>
        <w:pStyle w:val="21"/>
      </w:pPr>
      <w:r>
        <w:t>场景2 [场景名称]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674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业务输入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[资料、系统对象、字段和样本]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AI辅助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[整理、提取、查询、生成或提醒内容]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人工责任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[确认人、确认内容和生效条件]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正式记录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[写入位置、版本和回查方式]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拒答和降级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[无权限、数据缺失、接口失败时的处理]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基线和指标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[基线、观察指标、统计周期和责任人]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不纳入范围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[本场景明确不承诺的事项]</w:t>
            </w:r>
          </w:p>
        </w:tc>
      </w:tr>
    </w:tbl>
    <w:p>
      <w:pPr>
        <w:spacing w:after="0"/>
      </w:pPr>
    </w:p>
    <w:p>
      <w:pPr>
        <w:pStyle w:val="21"/>
      </w:pPr>
      <w:r>
        <w:t>场景3 [场景名称]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674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业务输入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[资料、系统对象、字段和样本]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AI辅助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[整理、提取、查询、生成或提醒内容]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人工责任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[确认人、确认内容和生效条件]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正式记录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[写入位置、版本和回查方式]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拒答和降级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[无权限、数据缺失、接口失败时的处理]</w:t>
            </w:r>
          </w:p>
        </w:tc>
      </w:tr>
      <w:tr>
        <w:trPr>
          <w:cantSplit/>
        </w:trP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基线和指标</w:t>
            </w:r>
          </w:p>
        </w:tc>
        <w:tc>
          <w:tcPr>
            <w:tcW w:type="dxa" w:w="674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[基线、观察指标、统计周期和责任人]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不纳入范围</w:t>
            </w:r>
          </w:p>
        </w:tc>
        <w:tc>
          <w:tcPr>
            <w:tcW w:type="dxa" w:w="67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[本场景明确不承诺的事项]</w:t>
            </w:r>
          </w:p>
        </w:tc>
      </w:tr>
    </w:tbl>
    <w:p>
      <w:pPr>
        <w:spacing w:after="0"/>
      </w:pPr>
    </w:p>
    <w:p>
      <w:pPr>
        <w:pStyle w:val="21"/>
      </w:pPr>
      <w:r>
        <w:t>七 实施计划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89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当日成果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前提条件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第1天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[启动、范围、基线和验收用例]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  <w:tr>
        <w:trPr>
          <w:cantSplit/>
        </w:trPr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第2天</w:t>
            </w:r>
          </w:p>
        </w:tc>
        <w:tc>
          <w:tcPr>
            <w:tcW w:type="dxa" w:w="28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[场景配置]</w:t>
            </w:r>
          </w:p>
        </w:tc>
        <w:tc>
          <w:tcPr>
            <w:tcW w:type="dxa" w:w="255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第3天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[场景配置]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  <w:tr>
        <w:trPr>
          <w:cantSplit/>
        </w:trPr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第4天</w:t>
            </w:r>
          </w:p>
        </w:tc>
        <w:tc>
          <w:tcPr>
            <w:tcW w:type="dxa" w:w="28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[场景联动]</w:t>
            </w:r>
          </w:p>
        </w:tc>
        <w:tc>
          <w:tcPr>
            <w:tcW w:type="dxa" w:w="255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第5天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[联调、培训和验收]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</w:tr>
    </w:tbl>
    <w:p>
      <w:pPr>
        <w:spacing w:after="0"/>
      </w:pPr>
    </w:p>
    <w:p>
      <w:pPr>
        <w:pStyle w:val="1"/>
      </w:pPr>
      <w:r>
        <w:t>七 实施条件风险与验收建议</w:t>
      </w:r>
    </w:p>
    <w:p>
      <w:pPr>
        <w:pStyle w:val="21"/>
      </w:pPr>
      <w:r>
        <w:t>一 启动准入条件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准入项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就绪标准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核验材料</w:t>
            </w:r>
          </w:p>
        </w:tc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未就绪处理</w:t>
            </w:r>
          </w:p>
        </w:tc>
        <w:tc>
          <w:tcPr>
            <w:tcW w:type="dxa" w:w="119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责任人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范围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[标准]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[材料]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[处理]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</w:tr>
      <w:tr>
        <w:trPr>
          <w:cantSplit/>
        </w:trP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试点项目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[标准]</w:t>
            </w:r>
          </w:p>
        </w:tc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[材料]</w:t>
            </w:r>
          </w:p>
        </w:tc>
        <w:tc>
          <w:tcPr>
            <w:tcW w:type="dxa" w:w="187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[处理]</w:t>
            </w:r>
          </w:p>
        </w:tc>
        <w:tc>
          <w:tcPr>
            <w:tcW w:type="dxa" w:w="11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数据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[标准]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[材料]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[处理]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</w:tr>
      <w:tr>
        <w:trPr>
          <w:cantSplit/>
        </w:trP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账号权限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[标准]</w:t>
            </w:r>
          </w:p>
        </w:tc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[材料]</w:t>
            </w:r>
          </w:p>
        </w:tc>
        <w:tc>
          <w:tcPr>
            <w:tcW w:type="dxa" w:w="187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[处理]</w:t>
            </w:r>
          </w:p>
        </w:tc>
        <w:tc>
          <w:tcPr>
            <w:tcW w:type="dxa" w:w="11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接口环境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[标准]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[材料]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[处理]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</w:tr>
      <w:tr>
        <w:trPr>
          <w:cantSplit/>
        </w:trPr>
        <w:tc>
          <w:tcPr>
            <w:tcW w:type="dxa" w:w="124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业务规则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[标准]</w:t>
            </w:r>
          </w:p>
        </w:tc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[材料]</w:t>
            </w:r>
          </w:p>
        </w:tc>
        <w:tc>
          <w:tcPr>
            <w:tcW w:type="dxa" w:w="187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[处理]</w:t>
            </w:r>
          </w:p>
        </w:tc>
        <w:tc>
          <w:tcPr>
            <w:tcW w:type="dxa" w:w="119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验收用例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[标准]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[材料]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[处理]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</w:tr>
    </w:tbl>
    <w:p>
      <w:pPr>
        <w:spacing w:after="0"/>
      </w:pPr>
    </w:p>
    <w:p>
      <w:pPr>
        <w:pStyle w:val="21"/>
      </w:pPr>
      <w:r>
        <w:t>二 数据和接口条件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数据对象</w:t>
            </w:r>
          </w:p>
        </w:tc>
        <w:tc>
          <w:tcPr>
            <w:tcW w:type="dxa" w:w="147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权威来源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质量要求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读取写回方式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准备度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[对象]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[来源]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[要求]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[方式]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[状态]</w:t>
            </w:r>
          </w:p>
        </w:tc>
      </w:tr>
      <w:tr>
        <w:trPr>
          <w:cantSplit/>
        </w:trPr>
        <w:tc>
          <w:tcPr>
            <w:tcW w:type="dxa" w:w="136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[对象]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[来源]</w:t>
            </w:r>
          </w:p>
        </w:tc>
        <w:tc>
          <w:tcPr>
            <w:tcW w:type="dxa" w:w="19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[要求]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[方式]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[责任人]</w:t>
            </w:r>
          </w:p>
        </w:tc>
        <w:tc>
          <w:tcPr>
            <w:tcW w:type="dxa" w:w="85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[状态]</w:t>
            </w:r>
          </w:p>
        </w:tc>
      </w:tr>
    </w:tbl>
    <w:p>
      <w:pPr>
        <w:spacing w:after="0"/>
      </w:pPr>
    </w:p>
    <w:p>
      <w:pPr>
        <w:pStyle w:val="21"/>
      </w:pPr>
      <w:r>
        <w:t>三 主要风险及应对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风险事项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可能影响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建议措施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[风险]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[措施]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[风险]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[措施]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[风险]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[影响]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[条件]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[措施]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</w:tbl>
    <w:p>
      <w:pPr>
        <w:spacing w:after="0"/>
      </w:pPr>
    </w:p>
    <w:p>
      <w:pPr>
        <w:pStyle w:val="21"/>
      </w:pPr>
      <w:r>
        <w:t>四 技术与数据安全边界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控制主题</w:t>
            </w:r>
          </w:p>
        </w:tc>
        <w:tc>
          <w:tcPr>
            <w:tcW w:type="dxa" w:w="351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建议边界</w:t>
            </w:r>
          </w:p>
        </w:tc>
        <w:tc>
          <w:tcPr>
            <w:tcW w:type="dxa" w:w="334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启动前确认内容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权威数据源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[边界]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[确认内容]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读取和写回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[边界]</w:t>
            </w:r>
          </w:p>
        </w:tc>
        <w:tc>
          <w:tcPr>
            <w:tcW w:type="dxa" w:w="334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[确认内容]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模型和部署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[边界]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[确认内容]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数据外发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[边界]</w:t>
            </w:r>
          </w:p>
        </w:tc>
        <w:tc>
          <w:tcPr>
            <w:tcW w:type="dxa" w:w="334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[确认内容]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权限和日志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[边界]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[确认内容]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故障回退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[边界]</w:t>
            </w:r>
          </w:p>
        </w:tc>
        <w:tc>
          <w:tcPr>
            <w:tcW w:type="dxa" w:w="334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[确认内容]</w:t>
            </w:r>
          </w:p>
        </w:tc>
      </w:tr>
    </w:tbl>
    <w:p>
      <w:pPr>
        <w:spacing w:after="0"/>
      </w:pPr>
    </w:p>
    <w:p>
      <w:pPr>
        <w:pStyle w:val="21"/>
      </w:pPr>
      <w:r>
        <w:t>五 客观验收标准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验收类别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建议通过标准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主要证据</w:t>
            </w:r>
          </w:p>
        </w:tc>
        <w:tc>
          <w:tcPr>
            <w:tcW w:type="dxa" w:w="147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签字责任人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功能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[标准]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[证据]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数据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[标准]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[证据]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权限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[标准]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[证据]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一致性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[标准]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[证据]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性能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[标准]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[证据]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缺陷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[标准]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[证据]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交付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[标准]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[证据]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[责任人]</w:t>
            </w:r>
          </w:p>
        </w:tc>
      </w:tr>
    </w:tbl>
    <w:p>
      <w:pPr>
        <w:spacing w:after="0"/>
      </w:pPr>
    </w:p>
    <w:p>
      <w:pPr>
        <w:pStyle w:val="1"/>
      </w:pPr>
      <w:r>
        <w:t>八 后续工作建议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后续事项</w:t>
            </w:r>
          </w:p>
        </w:tc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完成时间</w:t>
            </w:r>
          </w:p>
        </w:tc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形成成果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[事项]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[待确认]</w:t>
            </w:r>
          </w:p>
        </w:tc>
      </w:tr>
      <w:tr>
        <w:trPr>
          <w:cantSplit/>
        </w:trPr>
        <w:tc>
          <w:tcPr>
            <w:tcW w:type="dxa" w:w="56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</w:t>
            </w:r>
          </w:p>
        </w:tc>
        <w:tc>
          <w:tcPr>
            <w:tcW w:type="dxa" w:w="232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[事项]</w:t>
            </w:r>
          </w:p>
        </w:tc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87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96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[待确认]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[事项]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[成果]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[待确认]</w:t>
            </w:r>
          </w:p>
        </w:tc>
      </w:tr>
    </w:tbl>
    <w:p>
      <w:pPr>
        <w:spacing w:after="0"/>
      </w:pPr>
    </w:p>
    <w:p>
      <w:pPr>
        <w:pStyle w:val="1"/>
      </w:pPr>
      <w:r>
        <w:t>附件一 调研资料依据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7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来源编号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资料或活动</w:t>
            </w:r>
          </w:p>
        </w:tc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证据属性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保存位置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E01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[日期]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[资料或活动]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[事实/口述]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[用途]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79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E02</w:t>
            </w:r>
          </w:p>
        </w:tc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[日期]</w:t>
            </w:r>
          </w:p>
        </w:tc>
        <w:tc>
          <w:tcPr>
            <w:tcW w:type="dxa" w:w="198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[资料或活动]</w:t>
            </w:r>
          </w:p>
        </w:tc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[事实/口述]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[用途]</w:t>
            </w:r>
          </w:p>
        </w:tc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[路径]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E03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[日期]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[资料或活动]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[事实/口述]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[用途]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6"/>
              </w:rPr>
              <w:t>[路径]</w:t>
            </w:r>
          </w:p>
        </w:tc>
      </w:tr>
    </w:tbl>
    <w:p>
      <w:pPr>
        <w:spacing w:after="0"/>
      </w:pPr>
    </w:p>
    <w:p>
      <w:pPr>
        <w:pStyle w:val="1"/>
      </w:pPr>
      <w:r>
        <w:t>附件二 待双方确认事项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0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确认事项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建议责任方</w:t>
            </w:r>
          </w:p>
        </w:tc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建议完成时间</w:t>
            </w:r>
          </w:p>
        </w:tc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未确认的处理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1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[确认事项]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[处理]</w:t>
            </w:r>
          </w:p>
        </w:tc>
      </w:tr>
      <w:tr>
        <w:trPr>
          <w:cantSplit/>
        </w:trPr>
        <w:tc>
          <w:tcPr>
            <w:tcW w:type="dxa" w:w="56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2</w:t>
            </w:r>
          </w:p>
        </w:tc>
        <w:tc>
          <w:tcPr>
            <w:tcW w:type="dxa" w:w="306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[确认事项]</w:t>
            </w:r>
          </w:p>
        </w:tc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[处理]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[确认事项]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[责任方]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[时间]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[处理]</w:t>
            </w:r>
          </w:p>
        </w:tc>
      </w:tr>
    </w:tbl>
    <w:p>
      <w:pPr>
        <w:spacing w:after="0"/>
      </w:pPr>
    </w:p>
    <w:sectPr w:rsidR="00F81393" w:rsidSect="00034616">
      <w:footerReference w:type="default" r:id="rId11"/>
      <w:pgSz w:w="11906" w:h="16838"/>
      <w:pgMar w:top="2098" w:right="1474" w:bottom="1984" w:left="1587" w:header="850" w:footer="96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A63113" w14:textId="77777777" w:rsidR="00651EEB" w:rsidRDefault="00651EEB">
      <w:pPr>
        <w:spacing w:after="0" w:line="240" w:lineRule="auto"/>
      </w:pPr>
      <w:r>
        <w:separator/>
      </w:r>
    </w:p>
  </w:endnote>
  <w:endnote w:type="continuationSeparator" w:id="0">
    <w:p w14:paraId="114E698F" w14:textId="77777777" w:rsidR="00651EEB" w:rsidRDefault="00651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A24FB" w14:textId="77777777" w:rsidR="00F81393" w:rsidRDefault="00000000">
    <w:pPr>
      <w:pStyle w:val="a7"/>
      <w:jc w:val="center"/>
    </w:pPr>
    <w:r>
      <w:rPr>
        <w:rFonts w:eastAsia="SimSong"/>
        <w:color w:val="000000"/>
        <w:sz w:val="28"/>
      </w:rPr>
      <w:t xml:space="preserve">— </w:t>
    </w:r>
    <w:r>
      <w:rPr>
        <w:rFonts w:eastAsia="SimSong"/>
        <w:color w:val="000000"/>
        <w:sz w:val="28"/>
      </w:rPr>
      <w:fldChar w:fldCharType="begin"/>
    </w:r>
    <w:r>
      <w:rPr>
        <w:rFonts w:eastAsia="SimSong"/>
        <w:color w:val="000000"/>
        <w:sz w:val="28"/>
      </w:rPr>
      <w:instrText xml:space="preserve"> PAGE </w:instrText>
    </w:r>
    <w:r>
      <w:rPr>
        <w:rFonts w:eastAsia="SimSong"/>
        <w:color w:val="000000"/>
        <w:sz w:val="28"/>
      </w:rPr>
      <w:fldChar w:fldCharType="separate"/>
    </w:r>
    <w:r w:rsidR="00BE2D3D">
      <w:rPr>
        <w:rFonts w:eastAsia="SimSong"/>
        <w:noProof/>
        <w:color w:val="000000"/>
        <w:sz w:val="28"/>
      </w:rPr>
      <w:t>1</w:t>
    </w:r>
    <w:r>
      <w:rPr>
        <w:rFonts w:eastAsia="SimSong"/>
        <w:color w:val="000000"/>
        <w:sz w:val="28"/>
      </w:rPr>
      <w:fldChar w:fldCharType="end"/>
    </w:r>
    <w:r>
      <w:rPr>
        <w:rFonts w:eastAsia="SimSong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微软雅黑"/>
        <w:color w:val="666666"/>
        <w:sz w:val="18"/>
      </w:rPr>
      <w:t xml:space="preserve">— </w:t>
    </w:r>
    <w:r>
      <w:rPr>
        <w:rFonts w:ascii="Microsoft YaHei" w:hAnsi="Microsoft YaHei" w:eastAsia="微软雅黑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微软雅黑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5A9C49" w14:textId="77777777" w:rsidR="00651EEB" w:rsidRDefault="00651EEB">
      <w:pPr>
        <w:spacing w:after="0" w:line="240" w:lineRule="auto"/>
      </w:pPr>
      <w:r>
        <w:separator/>
      </w:r>
    </w:p>
  </w:footnote>
  <w:footnote w:type="continuationSeparator" w:id="0">
    <w:p w14:paraId="5C5BF579" w14:textId="77777777" w:rsidR="00651EEB" w:rsidRDefault="00651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253666">
    <w:abstractNumId w:val="8"/>
  </w:num>
  <w:num w:numId="2" w16cid:durableId="813065798">
    <w:abstractNumId w:val="6"/>
  </w:num>
  <w:num w:numId="3" w16cid:durableId="1320378022">
    <w:abstractNumId w:val="5"/>
  </w:num>
  <w:num w:numId="4" w16cid:durableId="1893228841">
    <w:abstractNumId w:val="4"/>
  </w:num>
  <w:num w:numId="5" w16cid:durableId="861750645">
    <w:abstractNumId w:val="7"/>
  </w:num>
  <w:num w:numId="6" w16cid:durableId="759955778">
    <w:abstractNumId w:val="3"/>
  </w:num>
  <w:num w:numId="7" w16cid:durableId="1445425124">
    <w:abstractNumId w:val="2"/>
  </w:num>
  <w:num w:numId="8" w16cid:durableId="141972816">
    <w:abstractNumId w:val="1"/>
  </w:num>
  <w:num w:numId="9" w16cid:durableId="1969776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2F"/>
    <w:rsid w:val="0009354C"/>
    <w:rsid w:val="000C2580"/>
    <w:rsid w:val="0015074B"/>
    <w:rsid w:val="00161F76"/>
    <w:rsid w:val="002130CC"/>
    <w:rsid w:val="0026261C"/>
    <w:rsid w:val="0029639D"/>
    <w:rsid w:val="002B618E"/>
    <w:rsid w:val="002C4EB0"/>
    <w:rsid w:val="00326F90"/>
    <w:rsid w:val="00407DE3"/>
    <w:rsid w:val="0046632A"/>
    <w:rsid w:val="004A138D"/>
    <w:rsid w:val="00501417"/>
    <w:rsid w:val="005369B3"/>
    <w:rsid w:val="005B0BC3"/>
    <w:rsid w:val="00614E5B"/>
    <w:rsid w:val="00651EEB"/>
    <w:rsid w:val="00700149"/>
    <w:rsid w:val="00722E91"/>
    <w:rsid w:val="007643AE"/>
    <w:rsid w:val="007D0771"/>
    <w:rsid w:val="009A2C9E"/>
    <w:rsid w:val="009C1F4A"/>
    <w:rsid w:val="00A2514B"/>
    <w:rsid w:val="00A925C0"/>
    <w:rsid w:val="00AA1D8D"/>
    <w:rsid w:val="00AE1E8F"/>
    <w:rsid w:val="00B03EF8"/>
    <w:rsid w:val="00B47730"/>
    <w:rsid w:val="00B81348"/>
    <w:rsid w:val="00BE2D3D"/>
    <w:rsid w:val="00C11481"/>
    <w:rsid w:val="00CB0664"/>
    <w:rsid w:val="00CB68EB"/>
    <w:rsid w:val="00CE28BA"/>
    <w:rsid w:val="00CE787C"/>
    <w:rsid w:val="00F81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0796F"/>
  <w14:defaultImageDpi w14:val="300"/>
  <w15:docId w15:val="{EE8DD63F-C741-3841-B7B9-86788F08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 w:after="120"/>
      <w:ind w:firstLine="460"/>
    </w:pPr>
    <w:rPr>
      <w:rFonts w:ascii="Microsoft YaHei" w:eastAsia="微软雅黑" w:hAnsi="Microsoft YaHei"/>
      <w:b w:val="0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微软雅黑"/>
      <w:b w:val="0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62">
    <w:name w:val="Grid Table 2 Accent 6"/>
    <w:basedOn w:val="a3"/>
    <w:uiPriority w:val="47"/>
    <w:rsid w:val="00BE2D3D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41">
    <w:name w:val="Grid Table 4"/>
    <w:basedOn w:val="a3"/>
    <w:uiPriority w:val="49"/>
    <w:rsid w:val="00BE2D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37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企业AI规划与项目管理调研情况汇报空白模板</dc:title>
  <dc:subject>可直接复制使用的调研情况汇报模板</dc:subject>
  <dc:creator>杭州缺口信息科技有限公司</dc:creator>
  <cp:keywords>上海昱庄机械, 企业AI, 项目管理, 调研情况汇报</cp:keywords>
  <dc:description>企业AI规划与项目管理调研情况汇报标准资料包 v1.0</dc:description>
  <cp:lastModifiedBy>杭州缺口信息科技有限公司</cp:lastModifiedBy>
  <cp:revision>28</cp:revision>
  <dcterms:created xsi:type="dcterms:W3CDTF">2013-12-23T23:15:00Z</dcterms:created>
  <dcterms:modified xsi:type="dcterms:W3CDTF">2026-10-27T07:02:00Z</dcterms:modified>
  <cp:category/>
</cp:coreProperties>
</file>