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80" w:before="0"/>
        <w:jc w:val="center"/>
      </w:pPr>
      <w:r>
        <w:rPr>
          <w:rFonts w:ascii="Arial" w:cs="Arial" w:eastAsia="Arial" w:hAnsi="Arial"/>
          <w:b/>
          <w:bCs/>
          <w:i w:val="false"/>
          <w:iCs w:val="false"/>
          <w:color w:val="0A1628"/>
          <w:sz w:val="28"/>
          <w:szCs w:val="28"/>
        </w:rPr>
        <w:t xml:space="preserve">Premier Fund I, a Series of Decile Capital, LP</w:t>
      </w:r>
    </w:p>
    <w:p>
      <w:pPr>
        <w:spacing w:after="80" w:before="0"/>
        <w:jc w:val="center"/>
      </w:pPr>
      <w:r>
        <w:rPr>
          <w:rFonts w:ascii="Arial" w:cs="Arial" w:eastAsia="Arial" w:hAnsi="Arial"/>
          <w:b/>
          <w:bCs/>
          <w:i w:val="false"/>
          <w:iCs w:val="false"/>
          <w:color w:val="0066CC"/>
          <w:sz w:val="40"/>
          <w:szCs w:val="40"/>
        </w:rPr>
        <w:t xml:space="preserve">Q1 2026 Report</w:t>
      </w:r>
    </w:p>
    <w:p>
      <w:pPr>
        <w:spacing w:after="80" w:before="0"/>
        <w:jc w:val="center"/>
      </w:pPr>
      <w:r>
        <w:rPr>
          <w:rFonts w:ascii="Arial" w:cs="Arial" w:eastAsia="Arial" w:hAnsi="Arial"/>
          <w:b w:val="false"/>
          <w:bCs w:val="false"/>
          <w:i w:val="false"/>
          <w:iCs w:val="false"/>
          <w:color w:val="6B7280"/>
          <w:sz w:val="22"/>
          <w:szCs w:val="22"/>
        </w:rPr>
        <w:t xml:space="preserve">For the period January 1 — March 31, 2026</w:t>
      </w:r>
    </w:p>
    <w:p>
      <w:pPr>
        <w:spacing w:after="120" w:before="0"/>
        <w:jc w:val="center"/>
      </w:pPr>
      <w:r>
        <w:rPr>
          <w:rFonts w:ascii="Arial" w:cs="Arial" w:eastAsia="Arial" w:hAnsi="Arial"/>
          <w:b w:val="false"/>
          <w:bCs w:val="false"/>
          <w:i/>
          <w:iCs/>
          <w:color w:val="6B7280"/>
          <w:sz w:val="18"/>
          <w:szCs w:val="18"/>
        </w:rPr>
        <w:t xml:space="preserve">Strictly Private &amp; Confidential</w:t>
      </w:r>
    </w:p>
    <w:p>
      <w:r>
        <w:br w:type="page"/>
      </w:r>
    </w:p>
    <w:p>
      <w:pPr>
        <w:spacing w:after="80" w:before="280"/>
      </w:pPr>
      <w:r>
        <w:rPr>
          <w:rFonts w:ascii="Arial" w:cs="Arial" w:eastAsia="Arial" w:hAnsi="Arial"/>
          <w:b/>
          <w:bCs/>
          <w:color w:val="0066CC"/>
          <w:sz w:val="16"/>
          <w:szCs w:val="16"/>
        </w:rPr>
        <w:t xml:space="preserve">EXECUTIVE SUMMARY</w:t>
      </w:r>
    </w:p>
    <w:p>
      <w:pPr>
        <w:spacing w:after="120" w:before="320"/>
      </w:pPr>
      <w:r>
        <w:rPr>
          <w:rFonts w:ascii="Arial" w:cs="Arial" w:eastAsia="Arial" w:hAnsi="Arial"/>
          <w:b/>
          <w:bCs/>
          <w:color w:val="0A1628"/>
          <w:sz w:val="36"/>
          <w:szCs w:val="36"/>
        </w:rPr>
        <w:t xml:space="preserve">Fund Snapshot</w:t>
      </w:r>
    </w:p>
    <w:p>
      <w:pPr>
        <w:pBdr>
          <w:bottom w:val="single" w:color="0066CC" w:sz="8" w:space="1"/>
        </w:pBdr>
        <w:spacing w:after="18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Reporting Period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January 1 – March 31,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74151"/>
                <w:sz w:val="17"/>
                <w:szCs w:val="17"/>
              </w:rPr>
              <w:t xml:space="preserve">Total Commitment</w:t>
            </w:r>
          </w:p>
        </w:tc>
        <w:tc>
          <w:tcPr>
            <w:tcW w:type="dxa" w:w="6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74151"/>
                <w:sz w:val="17"/>
                <w:szCs w:val="17"/>
              </w:rPr>
              <w:t xml:space="preserve">$5.24M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Called Capital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85% ($4,458,165 called · ~$50,000 outstanding receivable as of March 31,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74151"/>
                <w:sz w:val="17"/>
                <w:szCs w:val="17"/>
              </w:rPr>
              <w:t xml:space="preserve">NAV</w:t>
            </w:r>
          </w:p>
        </w:tc>
        <w:tc>
          <w:tcPr>
            <w:tcW w:type="dxa" w:w="6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74151"/>
                <w:sz w:val="17"/>
                <w:szCs w:val="17"/>
              </w:rPr>
              <w:t xml:space="preserve">$5,060,068 (includes ~$50,000 capital call receivable not yet received in cash)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TVPI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1.14x (base) · 1.75x (cap-adjusted, Forge pricing)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74151"/>
                <w:sz w:val="17"/>
                <w:szCs w:val="17"/>
              </w:rPr>
              <w:t xml:space="preserve">Cap-adj TVPI excl. xAI</w:t>
            </w:r>
          </w:p>
        </w:tc>
        <w:tc>
          <w:tcPr>
            <w:tcW w:type="dxa" w:w="6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74151"/>
                <w:sz w:val="17"/>
                <w:szCs w:val="17"/>
              </w:rPr>
              <w:t xml:space="preserve">0.92x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17"/>
                <w:szCs w:val="17"/>
              </w:rPr>
              <w:t xml:space="preserve">DPI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0.002x (first distribution: $8,688 paid in Q1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74151"/>
                <w:sz w:val="17"/>
                <w:szCs w:val="17"/>
              </w:rPr>
              <w:t xml:space="preserve">Portfolio</w:t>
            </w:r>
          </w:p>
        </w:tc>
        <w:tc>
          <w:tcPr>
            <w:tcW w:type="dxa" w:w="6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74151"/>
                <w:sz w:val="17"/>
                <w:szCs w:val="17"/>
              </w:rPr>
              <w:t xml:space="preserve">19 fund investments · ~450 companies</w:t>
            </w:r>
          </w:p>
        </w:tc>
      </w:tr>
    </w:tbl>
    <w:p>
      <w:pPr>
        <w:spacing w:after="120"/>
      </w:pPr>
      <w:r>
        <w:t xml:space="preserve"/>
      </w:r>
    </w:p>
    <w:p>
      <w:pPr>
        <w:spacing w:after="80" w:before="280"/>
      </w:pPr>
      <w:r>
        <w:rPr>
          <w:rFonts w:ascii="Arial" w:cs="Arial" w:eastAsia="Arial" w:hAnsi="Arial"/>
          <w:b/>
          <w:bCs/>
          <w:color w:val="0066CC"/>
          <w:sz w:val="16"/>
          <w:szCs w:val="16"/>
        </w:rPr>
        <w:t xml:space="preserve">Q1 PERFORMANCE</w:t>
      </w:r>
    </w:p>
    <w:p>
      <w:pPr>
        <w:spacing w:after="100" w:before="240"/>
      </w:pPr>
      <w:r>
        <w:rPr>
          <w:rFonts w:ascii="Arial" w:cs="Arial" w:eastAsia="Arial" w:hAnsi="Arial"/>
          <w:b/>
          <w:bCs/>
          <w:color w:val="0A1628"/>
          <w:sz w:val="24"/>
          <w:szCs w:val="24"/>
        </w:rPr>
        <w:t xml:space="preserve">Quarter in Review</w:t>
      </w:r>
    </w:p>
    <w:p>
      <w:pPr>
        <w:spacing w:after="120"/>
        <w:jc w:val="both"/>
      </w:pPr>
      <w:r>
        <w:rPr>
          <w:rFonts w:ascii="Arial" w:cs="Arial" w:eastAsia="Arial" w:hAnsi="Arial"/>
          <w:color w:val="1F2937"/>
          <w:sz w:val="20"/>
          <w:szCs w:val="20"/>
        </w:rPr>
        <w:t xml:space="preserve">The single material development in Q1 2026 was the confirmation of the SpaceX Forge valuation on the Adeo Ressi AI position. Following the January 6 Series E financing ($20B at $230B post-money, $75.46/share) and the February 2 xAI-SpaceX merger, the fund’s xAI shares converted into SpaceX Class A Common shares. At the Forge secondary market price of $612.07 per share applied to 5,988 confirmed shares, the position stands at $3,667,995 — a 7.33x TVPI on the $500,000 cost basis. This single position accounts for approximately 73% of total unrealised gain and is the primary driver of the fund’s 1.75x cap-adjusted TVPI.</w:t>
      </w:r>
    </w:p>
    <w:p>
      <w:pPr>
        <w:spacing w:after="120"/>
        <w:jc w:val="both"/>
      </w:pPr>
      <w:r>
        <w:rPr>
          <w:rFonts w:ascii="Arial" w:cs="Arial" w:eastAsia="Arial" w:hAnsi="Arial"/>
          <w:color w:val="1F2937"/>
          <w:sz w:val="20"/>
          <w:szCs w:val="20"/>
        </w:rPr>
        <w:t xml:space="preserve">Excluding the Adeo Ressi AI position, the core FoF sleeve continues its expected J-curve trajectory at 0.92x cap-adjusted TVPI, consistent with Q4 2025. No new priced markups materialised at the Premier I book level during the quarter. No new LP capital calls were issued in Q1 2026; all capital calls remain at 85% of commitment ($4,458,165), with approximately $50,000 outstanding as a receivable from LPs as of March 31, 2026.</w:t>
      </w:r>
    </w:p>
    <w:p>
      <w:pPr>
        <w:spacing w:after="120"/>
      </w:pPr>
      <w:r>
        <w:t xml:space="preserve"/>
      </w:r>
    </w:p>
    <w:p>
      <w:pPr>
        <w:spacing w:after="80" w:before="280"/>
      </w:pPr>
      <w:r>
        <w:rPr>
          <w:rFonts w:ascii="Arial" w:cs="Arial" w:eastAsia="Arial" w:hAnsi="Arial"/>
          <w:b/>
          <w:bCs/>
          <w:color w:val="0066CC"/>
          <w:sz w:val="16"/>
          <w:szCs w:val="16"/>
        </w:rPr>
        <w:t xml:space="preserve">KEY DEVELOPMENTS</w:t>
      </w:r>
    </w:p>
    <w:p>
      <w:pPr>
        <w:spacing w:after="100" w:before="240"/>
      </w:pPr>
      <w:r>
        <w:rPr>
          <w:rFonts w:ascii="Arial" w:cs="Arial" w:eastAsia="Arial" w:hAnsi="Arial"/>
          <w:b/>
          <w:bCs/>
          <w:color w:val="0A1628"/>
          <w:sz w:val="24"/>
          <w:szCs w:val="24"/>
        </w:rPr>
        <w:t xml:space="preserve">Items Not Covered Above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First distribution paid: $8,688 returned to LPs in Q1 2026 — DPI moves from 0.00x to 0.002x. While nominal, this marks the beginning of the fund’s distribution lifecycle.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Rebellion Ventures update (post-quarter): GP confirmed 1.89x cap-adjusted MOIC, $16.71M cap-adjusted FMV on $8.87M portfolio cost. 18 of 36 companies have raised follow-on capital including 12 priced-round markups. Not yet reflected in Premier I book.</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Lobster Capital update (post-quarter): GP confirmed 1.20x MOIC base ($11.17M FMV on $9.28M invested). Pipeline of unsigned rounds expected to push MOIC to ~1.5x. Not yet reflected in Premier I book.</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First Check Ventures LatAm: remains in Limited Operations following managing partner’s passing in Q1 2025. Position carried at 0.58x ($36,097 FMV on $62,500 cost). Resolution timeline remains uncertain. Impact on fund performance is limited given 1.4% position size.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Full deployment: Capacity Capital Fund II ($125,000) and Generationship ($125,000) closed post-December 31, 2025, bringing Premier I to 19 fund investments and ~450 portfolio companies.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Premier II launched: first investment completed into Geek Ventures Fund II ($250,000) in Q1 2026. Two further investments (Hallstone Ventures Fund I and Prana Tech Ventures Fund I) completed in Q2 2026.</w:t>
      </w:r>
    </w:p>
    <w:p>
      <w:pPr>
        <w:spacing w:after="120"/>
      </w:pPr>
      <w:r>
        <w:t xml:space="preserve"/>
      </w:r>
    </w:p>
    <w:p>
      <w:pPr>
        <w:spacing w:after="80" w:before="280"/>
      </w:pPr>
      <w:r>
        <w:rPr>
          <w:rFonts w:ascii="Arial" w:cs="Arial" w:eastAsia="Arial" w:hAnsi="Arial"/>
          <w:b/>
          <w:bCs/>
          <w:color w:val="0066CC"/>
          <w:sz w:val="16"/>
          <w:szCs w:val="16"/>
        </w:rPr>
        <w:t xml:space="preserve">OUTLOOK</w:t>
      </w:r>
    </w:p>
    <w:p>
      <w:pPr>
        <w:spacing w:after="100" w:before="240"/>
      </w:pPr>
      <w:r>
        <w:rPr>
          <w:rFonts w:ascii="Arial" w:cs="Arial" w:eastAsia="Arial" w:hAnsi="Arial"/>
          <w:b/>
          <w:bCs/>
          <w:color w:val="0A1628"/>
          <w:sz w:val="24"/>
          <w:szCs w:val="24"/>
        </w:rPr>
        <w:t xml:space="preserve">Forward View</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Medium-term TVPI target of 1.6–1.8x (excl. xAI) by 2027 remains achievable. With Forge pricing, Q1 2026 combined cap-adj TVPI of 1.75x already exceeds the lower bound.</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~$200M in combined Series A/B fundraising actively underway across Premier I portfolio companies.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Bridge Money Series A commencing Q2 — Swizzle’s SAFE positions expected to convert, triggering first priced markups for that holding.</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Blockchain Builders distributions expected H1 2026 — would move DPI from near-zero.</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11 of 19 active managers above Carta median for vintage peers; 6 top quartile; 3 top decile.</w:t>
      </w:r>
    </w:p>
    <w:p>
      <w:r>
        <w:br w:type="page"/>
      </w:r>
    </w:p>
    <w:p>
      <w:pPr>
        <w:spacing w:after="80" w:before="280"/>
      </w:pPr>
      <w:r>
        <w:rPr>
          <w:rFonts w:ascii="Arial" w:cs="Arial" w:eastAsia="Arial" w:hAnsi="Arial"/>
          <w:b/>
          <w:bCs/>
          <w:color w:val="0066CC"/>
          <w:sz w:val="16"/>
          <w:szCs w:val="16"/>
        </w:rPr>
        <w:t xml:space="preserve">FUND PERFORMANCE</w:t>
      </w:r>
    </w:p>
    <w:p>
      <w:pPr>
        <w:spacing w:after="120" w:before="320"/>
      </w:pPr>
      <w:r>
        <w:rPr>
          <w:rFonts w:ascii="Arial" w:cs="Arial" w:eastAsia="Arial" w:hAnsi="Arial"/>
          <w:b/>
          <w:bCs/>
          <w:color w:val="0A1628"/>
          <w:sz w:val="36"/>
          <w:szCs w:val="36"/>
        </w:rPr>
        <w:t xml:space="preserve">Top Performers</w:t>
      </w:r>
    </w:p>
    <w:p>
      <w:pPr>
        <w:pBdr>
          <w:bottom w:val="single" w:color="0066CC" w:sz="8" w:space="1"/>
        </w:pBdr>
        <w:spacing w:after="18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600"/>
        <w:gridCol w:w="2000"/>
      </w:tblGrid>
      <w:t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Fund</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Cost Basis</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Base TVPI</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Cap-adj TVPI</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Carta Benchmark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Adeo Ressi AI, LLC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$500,000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7.33x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7.33x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Top 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Blockchain Builders Fund I</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$350,000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1.29x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2.20x</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75th–90th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Rebellion Ventures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$250,000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1.31x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1.89x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75th–90th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Embedding VC</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$250,000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1.00x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1.79x</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Above 90th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R42 Fund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$190,000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1.02x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1.48x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50th–75th</w:t>
            </w:r>
          </w:p>
        </w:tc>
      </w:tr>
    </w:tbl>
    <w:p>
      <w:pPr>
        <w:spacing w:after="120"/>
      </w:pPr>
      <w:r>
        <w:t xml:space="preserve"/>
      </w:r>
    </w:p>
    <w:p>
      <w:pPr>
        <w:spacing w:after="120" w:before="0"/>
        <w:jc w:val="left"/>
      </w:pPr>
      <w:r>
        <w:rPr>
          <w:rFonts w:ascii="Arial" w:cs="Arial" w:eastAsia="Arial" w:hAnsi="Arial"/>
          <w:b w:val="false"/>
          <w:bCs w:val="false"/>
          <w:i/>
          <w:iCs/>
          <w:color w:val="6B7280"/>
          <w:sz w:val="17"/>
          <w:szCs w:val="17"/>
        </w:rPr>
        <w:t xml:space="preserve">† Q1 2026 Forge secondary pricing ($612.07/share, 5,988 SpaceX Class A shares). Prior quarter carried at 3.05x (Series D). Cap-adj TVPI for fund investments includes GP-reported marks on unconverted SAFE positions at subsequent round caps, unaudited. Carta benchmark: Q4 2025 net adjusted TVPI by vintage and fund size.</w:t>
      </w:r>
    </w:p>
    <w:p>
      <w:pPr>
        <w:spacing w:after="120"/>
      </w:pPr>
      <w:r>
        <w:t xml:space="preserve"/>
      </w:r>
    </w:p>
    <w:p>
      <w:pPr>
        <w:spacing w:after="100" w:before="240"/>
      </w:pPr>
      <w:r>
        <w:rPr>
          <w:rFonts w:ascii="Arial" w:cs="Arial" w:eastAsia="Arial" w:hAnsi="Arial"/>
          <w:b/>
          <w:bCs/>
          <w:color w:val="0A1628"/>
          <w:sz w:val="24"/>
          <w:szCs w:val="24"/>
        </w:rPr>
        <w:t xml:space="preserve">Adeo Ressi AI, LLC (xAI / SpaceX Forge)</w:t>
      </w:r>
    </w:p>
    <w:p>
      <w:pPr>
        <w:spacing w:after="120"/>
        <w:jc w:val="both"/>
      </w:pPr>
      <w:r>
        <w:rPr>
          <w:rFonts w:ascii="Arial" w:cs="Arial" w:eastAsia="Arial" w:hAnsi="Arial"/>
          <w:color w:val="1F2937"/>
          <w:sz w:val="20"/>
          <w:szCs w:val="20"/>
        </w:rPr>
        <w:t xml:space="preserve">The fund’s standout position is xAI Corp, held through the Adeo Ressi AI LLC SPV. Premier I invested $500,000 at $11.97 per share (Series B). The position has appreciated through three confirmed valuation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000"/>
        <w:gridCol w:w="1400"/>
        <w:gridCol w:w="900"/>
        <w:gridCol w:w="160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Period / Event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Entity</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Price/Share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Shares</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Position Value</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TVPI</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12/31/25 – Series 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xAI Corp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$36.56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41,771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$1,524,552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3.05x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Confirmed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1/6/26 – Series 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xAI Corp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$75.46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41,771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$3,146,682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6.29x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Q1 2026 – SpaceX Forge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SpaceX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$612.07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5,988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$3,667,995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7.33x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Confirmed</w:t>
            </w:r>
          </w:p>
        </w:tc>
      </w:tr>
    </w:tbl>
    <w:p>
      <w:pPr>
        <w:spacing w:after="120"/>
      </w:pPr>
      <w:r>
        <w:t xml:space="preserve"/>
      </w:r>
    </w:p>
    <w:p>
      <w:pPr>
        <w:spacing w:after="120"/>
        <w:jc w:val="both"/>
      </w:pPr>
      <w:r>
        <w:rPr>
          <w:rFonts w:ascii="Arial" w:cs="Arial" w:eastAsia="Arial" w:hAnsi="Arial"/>
          <w:color w:val="1F2937"/>
          <w:sz w:val="20"/>
          <w:szCs w:val="20"/>
        </w:rPr>
        <w:t xml:space="preserve">Share count confirmed at 5,988 SpaceX Class A Common shares, reflecting the fund’s 15.02% pro-rata interest in the SPV. Forge Global secondary market pricing applied. Net proceeds remain subject to carried interest and any SPV-level preferential arrangements.</w:t>
      </w:r>
    </w:p>
    <w:p>
      <w:pPr>
        <w:spacing w:after="120"/>
      </w:pPr>
      <w:r>
        <w:t xml:space="preserve"/>
      </w:r>
    </w:p>
    <w:p>
      <w:pPr>
        <w:spacing w:after="100" w:before="240"/>
      </w:pPr>
      <w:r>
        <w:rPr>
          <w:rFonts w:ascii="Arial" w:cs="Arial" w:eastAsia="Arial" w:hAnsi="Arial"/>
          <w:b/>
          <w:bCs/>
          <w:color w:val="0A1628"/>
          <w:sz w:val="24"/>
          <w:szCs w:val="24"/>
        </w:rPr>
        <w:t xml:space="preserve">Blockchain Builders Fund I</w:t>
      </w:r>
    </w:p>
    <w:p>
      <w:pPr>
        <w:spacing w:after="120"/>
        <w:jc w:val="both"/>
      </w:pPr>
      <w:r>
        <w:rPr>
          <w:rFonts w:ascii="Arial" w:cs="Arial" w:eastAsia="Arial" w:hAnsi="Arial"/>
          <w:color w:val="1F2937"/>
          <w:sz w:val="20"/>
          <w:szCs w:val="20"/>
        </w:rPr>
        <w:t xml:space="preserve">Blockchain Builders stands at 2.20x cap-adjusted TVPI (1.29x base). Distributions expected to begin H1 2026. Key driver is 0G / Zero Gravity at approximately 10.5x. $2.53M in fees (9.2% of paid-in) account for the gap between base and cap-adjusted figures.</w:t>
      </w:r>
    </w:p>
    <w:p>
      <w:pPr>
        <w:spacing w:after="120"/>
      </w:pPr>
      <w:r>
        <w:t xml:space="preserve"/>
      </w:r>
    </w:p>
    <w:p>
      <w:pPr>
        <w:spacing w:after="100" w:before="240"/>
      </w:pPr>
      <w:r>
        <w:rPr>
          <w:rFonts w:ascii="Arial" w:cs="Arial" w:eastAsia="Arial" w:hAnsi="Arial"/>
          <w:b/>
          <w:bCs/>
          <w:color w:val="0A1628"/>
          <w:sz w:val="24"/>
          <w:szCs w:val="24"/>
        </w:rPr>
        <w:t xml:space="preserve">Rebellion Ventures</w:t>
      </w:r>
    </w:p>
    <w:p>
      <w:pPr>
        <w:spacing w:after="120"/>
        <w:jc w:val="both"/>
      </w:pPr>
      <w:r>
        <w:rPr>
          <w:rFonts w:ascii="Arial" w:cs="Arial" w:eastAsia="Arial" w:hAnsi="Arial"/>
          <w:color w:val="1F2937"/>
          <w:sz w:val="20"/>
          <w:szCs w:val="20"/>
        </w:rPr>
        <w:t xml:space="preserve">Post-quarter GP update confirms 1.89x cap-adjusted MOIC: $16.71M cap-adjusted FMV on $8.87M portfolio cost. 18 of 36 investments have raised follow-on capital at higher valuations, including 12 priced-round markups and 6 SAFE cap markups. Focus on AI-enabled vertical software continues to attract Tier 1 follow-on capital.</w:t>
      </w:r>
    </w:p>
    <w:p>
      <w:pPr>
        <w:spacing w:after="120"/>
      </w:pPr>
      <w:r>
        <w:t xml:space="preserve"/>
      </w:r>
    </w:p>
    <w:p>
      <w:pPr>
        <w:spacing w:after="100" w:before="240"/>
      </w:pPr>
      <w:r>
        <w:rPr>
          <w:rFonts w:ascii="Arial" w:cs="Arial" w:eastAsia="Arial" w:hAnsi="Arial"/>
          <w:b/>
          <w:bCs/>
          <w:color w:val="0A1628"/>
          <w:sz w:val="24"/>
          <w:szCs w:val="24"/>
        </w:rPr>
        <w:t xml:space="preserve">Embedding VC</w:t>
      </w:r>
    </w:p>
    <w:p>
      <w:pPr>
        <w:spacing w:after="120"/>
        <w:jc w:val="both"/>
      </w:pPr>
      <w:r>
        <w:rPr>
          <w:rFonts w:ascii="Arial" w:cs="Arial" w:eastAsia="Arial" w:hAnsi="Arial"/>
          <w:color w:val="1F2937"/>
          <w:sz w:val="20"/>
          <w:szCs w:val="20"/>
        </w:rPr>
        <w:t xml:space="preserve">Embedding VC stands at 1.79x cap-adjusted MOIC. Magic School is the standout position at approximately 25x on the initial SAFE following its Series A. Ten portfolio companies have raised subsequent rounds since first close. Above 90th percentile per Carta Q4 2025 benchmarks.</w:t>
      </w:r>
    </w:p>
    <w:p>
      <w:pPr>
        <w:spacing w:after="120"/>
      </w:pPr>
      <w:r>
        <w:t xml:space="preserve"/>
      </w:r>
    </w:p>
    <w:p>
      <w:pPr>
        <w:spacing w:after="100" w:before="240"/>
      </w:pPr>
      <w:r>
        <w:rPr>
          <w:rFonts w:ascii="Arial" w:cs="Arial" w:eastAsia="Arial" w:hAnsi="Arial"/>
          <w:b/>
          <w:bCs/>
          <w:color w:val="0A1628"/>
          <w:sz w:val="24"/>
          <w:szCs w:val="24"/>
        </w:rPr>
        <w:t xml:space="preserve">R42 Fund 2</w:t>
      </w:r>
    </w:p>
    <w:p>
      <w:pPr>
        <w:spacing w:after="120"/>
        <w:jc w:val="both"/>
      </w:pPr>
      <w:r>
        <w:rPr>
          <w:rFonts w:ascii="Arial" w:cs="Arial" w:eastAsia="Arial" w:hAnsi="Arial"/>
          <w:color w:val="1F2937"/>
          <w:sz w:val="20"/>
          <w:szCs w:val="20"/>
        </w:rPr>
        <w:t xml:space="preserve">R42 stands at 1.48x cap-adjusted MOIC with 42.23% XIRR across 31 portfolio companies. 90% company survival rate — only 3 of 31 positions have gone to zero. Conservative valuation methodology marks only at confirmed priced rounds, meaning 1.48x likely understates total upside.</w:t>
      </w:r>
    </w:p>
    <w:p>
      <w:pPr>
        <w:spacing w:after="120"/>
      </w:pPr>
      <w:r>
        <w:t xml:space="preserve"/>
      </w:r>
    </w:p>
    <w:p>
      <w:pPr>
        <w:spacing w:after="100" w:before="240"/>
      </w:pPr>
      <w:r>
        <w:rPr>
          <w:rFonts w:ascii="Arial" w:cs="Arial" w:eastAsia="Arial" w:hAnsi="Arial"/>
          <w:b/>
          <w:bCs/>
          <w:color w:val="0A1628"/>
          <w:sz w:val="24"/>
          <w:szCs w:val="24"/>
        </w:rPr>
        <w:t xml:space="preserve">Lobster Capital</w:t>
      </w:r>
    </w:p>
    <w:p>
      <w:pPr>
        <w:spacing w:after="120"/>
        <w:jc w:val="both"/>
      </w:pPr>
      <w:r>
        <w:rPr>
          <w:rFonts w:ascii="Arial" w:cs="Arial" w:eastAsia="Arial" w:hAnsi="Arial"/>
          <w:color w:val="1F2937"/>
          <w:sz w:val="20"/>
          <w:szCs w:val="20"/>
        </w:rPr>
        <w:t xml:space="preserve">GP confirmed 1.20x base MOIC post-quarter: total FMV $11.17M on $9.28M invested. Gross IRR 8.2%, Net IRR -8.2% — fee drag front-loaded at this stage. Pipeline of unsigned rounds expected to push MOIC to approximately 1.5x when closed. Premier I position (~$247K cost) updated NAV approximately $296K at 1.20x; will be confirmed when capital account statement received.</w:t>
      </w:r>
    </w:p>
    <w:p>
      <w:pPr>
        <w:spacing w:after="120"/>
      </w:pPr>
      <w:r>
        <w:t xml:space="preserve"/>
      </w:r>
    </w:p>
    <w:p>
      <w:pPr>
        <w:spacing w:after="100" w:before="240"/>
      </w:pPr>
      <w:r>
        <w:rPr>
          <w:rFonts w:ascii="Arial" w:cs="Arial" w:eastAsia="Arial" w:hAnsi="Arial"/>
          <w:b/>
          <w:bCs/>
          <w:color w:val="0A1628"/>
          <w:sz w:val="24"/>
          <w:szCs w:val="24"/>
        </w:rPr>
        <w:t xml:space="preserve">Remaining Portfolio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400"/>
        <w:gridCol w:w="340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Fund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Base TVPI</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Cap-adj TVPI</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Impacta Latam VC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$350,000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0.89x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1.63x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Betterfly 7.71x · Carryt 6.61x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Geek Ventures Fund 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$300,000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0.90x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1.23x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Yope 20x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Incisive VC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$250,000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0.87x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1.16x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Uptime Health key position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Swizzle Ventures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$250,000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0.89x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1.13x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Alinea $20M ARR · Series B Q1 2027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K Street Capital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0.98x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1.12x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Procurement Sciences 2.95x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99 Startups Fund 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$200,000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0.94x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1.07x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Efex 3x · Lecarom 3.1x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Codon Innovation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$175,000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0.95x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0.98x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All priced equity · low fee drag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Deep Future Fund 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$188,000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0.84x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1.01x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$2.1M fees (16.5% of paid-in)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444 Capital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$119,000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0.85x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0.85x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Opal Camera +$451K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Saka Ventures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$125,000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0.75x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0.75x</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Epifeast +$372K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First Check LatAm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$63,000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0.58x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0.58x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Limited Operations · uncertain timeline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Capacity Capital II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$125,000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Early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Early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Subsequent event · deploying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Generationship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$125,000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Early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Early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Subsequent event · deploying</w:t>
            </w:r>
          </w:p>
        </w:tc>
      </w:tr>
    </w:tbl>
    <w:p>
      <w:pPr>
        <w:spacing w:after="120"/>
      </w:pPr>
      <w:r>
        <w:t xml:space="preserve"/>
      </w:r>
    </w:p>
    <w:p>
      <w:r>
        <w:br w:type="page"/>
      </w:r>
    </w:p>
    <w:p>
      <w:pPr>
        <w:spacing w:after="80" w:before="280"/>
      </w:pPr>
      <w:r>
        <w:rPr>
          <w:rFonts w:ascii="Arial" w:cs="Arial" w:eastAsia="Arial" w:hAnsi="Arial"/>
          <w:b/>
          <w:bCs/>
          <w:color w:val="0066CC"/>
          <w:sz w:val="16"/>
          <w:szCs w:val="16"/>
        </w:rPr>
        <w:t xml:space="preserve">PORTFOLIO</w:t>
      </w:r>
    </w:p>
    <w:p>
      <w:pPr>
        <w:spacing w:after="120" w:before="320"/>
      </w:pPr>
      <w:r>
        <w:rPr>
          <w:rFonts w:ascii="Arial" w:cs="Arial" w:eastAsia="Arial" w:hAnsi="Arial"/>
          <w:b/>
          <w:bCs/>
          <w:color w:val="0A1628"/>
          <w:sz w:val="36"/>
          <w:szCs w:val="36"/>
        </w:rPr>
        <w:t xml:space="preserve">Deployment Status</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Premier I is now fully deployed across 19 fund relationships. The final two commitments — Capacity Capital Fund II ($125,000) and Generationship ($125,000) — closed after December 31, 2025 and are reflected as subsequent events. Total called capital stands at $4,458,165 across approximately 450 portfolio companies spanning AI infrastructure, B2B SaaS, Web3, biotech, climate tech, fintech, and consumer marketplaces.</w:t>
      </w:r>
    </w:p>
    <w:p>
      <w:pPr>
        <w:spacing w:after="120"/>
      </w:pPr>
      <w:r>
        <w:t xml:space="preserve"/>
      </w:r>
    </w:p>
    <w:p>
      <w:pPr>
        <w:spacing w:after="100" w:before="240"/>
      </w:pPr>
      <w:r>
        <w:rPr>
          <w:rFonts w:ascii="Arial" w:cs="Arial" w:eastAsia="Arial" w:hAnsi="Arial"/>
          <w:b/>
          <w:bCs/>
          <w:color w:val="0A1628"/>
          <w:sz w:val="24"/>
          <w:szCs w:val="24"/>
        </w:rPr>
        <w:t xml:space="preserve">First Check Ventures LatAm</w:t>
      </w:r>
    </w:p>
    <w:p>
      <w:pPr>
        <w:spacing w:after="120"/>
        <w:jc w:val="both"/>
      </w:pPr>
      <w:r>
        <w:rPr>
          <w:rFonts w:ascii="Arial" w:cs="Arial" w:eastAsia="Arial" w:hAnsi="Arial"/>
          <w:color w:val="1F2937"/>
          <w:sz w:val="20"/>
          <w:szCs w:val="20"/>
        </w:rPr>
        <w:t xml:space="preserve">First Check Ventures LatAm continues in Limited Operations following the managing partner’s passing in Q1 2025. The $62,500 position is carried at 0.58x TVPI ($36,097 FMV). Stakeholders and legal advisors continue evaluating resolution options; the timeline remains uncertain. At 1.4% of called capital, the impact on overall fund performance is limited. This situation underscores the value of diversification across 19 managers.</w:t>
      </w:r>
    </w:p>
    <w:p>
      <w:pPr>
        <w:spacing w:after="120"/>
      </w:pPr>
      <w:r>
        <w:t xml:space="preserve"/>
      </w:r>
    </w:p>
    <w:p>
      <w:r>
        <w:br w:type="page"/>
      </w:r>
    </w:p>
    <w:p>
      <w:pPr>
        <w:spacing w:after="80" w:before="280"/>
      </w:pPr>
      <w:r>
        <w:rPr>
          <w:rFonts w:ascii="Arial" w:cs="Arial" w:eastAsia="Arial" w:hAnsi="Arial"/>
          <w:b/>
          <w:bCs/>
          <w:color w:val="0066CC"/>
          <w:sz w:val="16"/>
          <w:szCs w:val="16"/>
        </w:rPr>
        <w:t xml:space="preserve">MARKET CONTEXT</w:t>
      </w:r>
    </w:p>
    <w:p>
      <w:pPr>
        <w:spacing w:after="120" w:before="320"/>
      </w:pPr>
      <w:r>
        <w:rPr>
          <w:rFonts w:ascii="Arial" w:cs="Arial" w:eastAsia="Arial" w:hAnsi="Arial"/>
          <w:b/>
          <w:bCs/>
          <w:color w:val="0A1628"/>
          <w:sz w:val="36"/>
          <w:szCs w:val="36"/>
        </w:rPr>
        <w:t xml:space="preserve">Why Emerging Managers Through Premier I</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The venture capital environment continues to strengthen into 2026. Early-stage funding remains robust, with AI infrastructure investment accelerating dramatically as enterprise adoption drives unprecedented demand. The IPO window, which reopened meaningfully in mid-2025, has validated exit pathways for several high-quality companies and improved sentiment across the broader venture ecosystem.</w:t>
      </w:r>
    </w:p>
    <w:p>
      <w:pPr>
        <w:spacing w:after="120"/>
      </w:pPr>
      <w:r>
        <w:t xml:space="preserve"/>
      </w:r>
    </w:p>
    <w:p>
      <w:pPr>
        <w:spacing w:after="100" w:before="240"/>
      </w:pPr>
      <w:r>
        <w:rPr>
          <w:rFonts w:ascii="Arial" w:cs="Arial" w:eastAsia="Arial" w:hAnsi="Arial"/>
          <w:b/>
          <w:bCs/>
          <w:color w:val="0A1628"/>
          <w:sz w:val="24"/>
          <w:szCs w:val="24"/>
        </w:rPr>
        <w:t xml:space="preserve">AI Infrastructure Tailwinds</w:t>
      </w:r>
    </w:p>
    <w:p>
      <w:pPr>
        <w:spacing w:after="120"/>
        <w:jc w:val="both"/>
      </w:pPr>
      <w:r>
        <w:rPr>
          <w:rFonts w:ascii="Arial" w:cs="Arial" w:eastAsia="Arial" w:hAnsi="Arial"/>
          <w:color w:val="1F2937"/>
          <w:sz w:val="20"/>
          <w:szCs w:val="20"/>
        </w:rPr>
        <w:t xml:space="preserve">Several Premier I managers are directly positioned to benefit from AI infrastructure investment trends. Embedding VC, Incisive VC, Rebellion Ventures, and Deep Future all maintain concentrated exposure to AI infrastructure, developer tooling, and enterprise AI applications. As LLM adoption transitions from experimentation to production deployment, these managers’ portfolio companies are seeing accelerating revenue growth and increased investor interest heading into the 2026 fundraising cycle.</w:t>
      </w:r>
    </w:p>
    <w:p>
      <w:pPr>
        <w:spacing w:after="120"/>
      </w:pPr>
      <w:r>
        <w:t xml:space="preserve"/>
      </w:r>
    </w:p>
    <w:p>
      <w:pPr>
        <w:spacing w:after="100" w:before="240"/>
      </w:pPr>
      <w:r>
        <w:rPr>
          <w:rFonts w:ascii="Arial" w:cs="Arial" w:eastAsia="Arial" w:hAnsi="Arial"/>
          <w:b/>
          <w:bCs/>
          <w:color w:val="0A1628"/>
          <w:sz w:val="24"/>
          <w:szCs w:val="24"/>
        </w:rPr>
        <w:t xml:space="preserve">Near-Term Portfolio Catalysts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~$200M in combined Series A/B fundraising actively underway across Premier I portfolio companies, with some processes potentially reaching unicorn valuations.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Bridge Money Series A commencing Q2 2026 — Swizzle’s SAFE positions expected to convert, triggering first priced markups at the Premier I book level for that holding.</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Alinea (Swizzle) at $20M ARR (+791% YoY) — Series B targeted Q1 2027. Currently carried at $5M ARR priced round; repricing will materially improve Swizzle’s TVPI.</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Blockchain Builders distributions expected H1 2026.</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Several portfolio companies tracking toward 2026–2027 exit window consistent with original liquidity timeline.</w:t>
      </w:r>
    </w:p>
    <w:p>
      <w:pPr>
        <w:spacing w:after="120"/>
      </w:pPr>
      <w:r>
        <w:t xml:space="preserve"/>
      </w:r>
    </w:p>
    <w:p>
      <w:pPr>
        <w:spacing w:after="100" w:before="240"/>
      </w:pPr>
      <w:r>
        <w:rPr>
          <w:rFonts w:ascii="Arial" w:cs="Arial" w:eastAsia="Arial" w:hAnsi="Arial"/>
          <w:b/>
          <w:bCs/>
          <w:color w:val="0A1628"/>
          <w:sz w:val="24"/>
          <w:szCs w:val="24"/>
        </w:rPr>
        <w:t xml:space="preserve">Of 300+ Managers Evaluated, 19 Selected</w:t>
      </w:r>
    </w:p>
    <w:p>
      <w:pPr>
        <w:spacing w:after="120"/>
        <w:jc w:val="both"/>
      </w:pPr>
      <w:r>
        <w:rPr>
          <w:rFonts w:ascii="Arial" w:cs="Arial" w:eastAsia="Arial" w:hAnsi="Arial"/>
          <w:color w:val="1F2937"/>
          <w:sz w:val="20"/>
          <w:szCs w:val="20"/>
        </w:rPr>
        <w:t xml:space="preserve">Premier I provides exposure to approximately 450 portfolio companies through a single investment vehicle — versus the $1.5–5M typically required for adequate diversification by investing directly. The fund’s 1.75x cap-adjusted TVPI in Year 4 compares favorably to emerging manager benchmarks, with significant unrealised upside concentrated in the AI infrastructure segment. 11 of 19 active managers are above the Carta median for vintage peers; 6 are top quartile; 3 are top decile.</w:t>
      </w:r>
    </w:p>
    <w:p>
      <w:pPr>
        <w:spacing w:after="120"/>
      </w:pPr>
      <w:r>
        <w:t xml:space="preserve"/>
      </w:r>
    </w:p>
    <w:p>
      <w:r>
        <w:br w:type="page"/>
      </w:r>
    </w:p>
    <w:p>
      <w:pPr>
        <w:spacing w:after="80" w:before="280"/>
      </w:pPr>
      <w:r>
        <w:rPr>
          <w:rFonts w:ascii="Arial" w:cs="Arial" w:eastAsia="Arial" w:hAnsi="Arial"/>
          <w:b/>
          <w:bCs/>
          <w:color w:val="0066CC"/>
          <w:sz w:val="16"/>
          <w:szCs w:val="16"/>
        </w:rPr>
        <w:t xml:space="preserve">PREMIER II</w:t>
      </w:r>
    </w:p>
    <w:p>
      <w:pPr>
        <w:spacing w:after="120" w:before="320"/>
      </w:pPr>
      <w:r>
        <w:rPr>
          <w:rFonts w:ascii="Arial" w:cs="Arial" w:eastAsia="Arial" w:hAnsi="Arial"/>
          <w:b/>
          <w:bCs/>
          <w:color w:val="0A1628"/>
          <w:sz w:val="36"/>
          <w:szCs w:val="36"/>
        </w:rPr>
        <w:t xml:space="preserve">Fund II Update</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Premier II has launched and begun capital deployment, continuing the emerging manager strategy with a focus on top-performing managers identified through Premier I. The fund builds on our proven selection process and includes investments in several Premier I managers now raising follow-on funds.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Q1 2026: First investment — Geek Ventures Fund II ($250,000).</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Q2 2026: Hallstone Ventures Fund I ($250,000) and Prana Tech Ventures Fund I ($250,000).</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Upcoming: One additional investment in a top-decile 2021 vintage manager’s second fund in advanced stages.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Total Premier II commitments: $2.6M · 25% called ($650K) · raising continues.</w:t>
      </w:r>
    </w:p>
    <w:p>
      <w:pPr>
        <w:spacing w:after="120"/>
      </w:pPr>
      <w:r>
        <w:t xml:space="preserve"/>
      </w:r>
    </w:p>
    <w:p>
      <w:r>
        <w:br w:type="page"/>
      </w:r>
    </w:p>
    <w:p>
      <w:pPr>
        <w:spacing w:after="80" w:before="280"/>
      </w:pPr>
      <w:r>
        <w:rPr>
          <w:rFonts w:ascii="Arial" w:cs="Arial" w:eastAsia="Arial" w:hAnsi="Arial"/>
          <w:b/>
          <w:bCs/>
          <w:color w:val="0066CC"/>
          <w:sz w:val="16"/>
          <w:szCs w:val="16"/>
        </w:rPr>
        <w:t xml:space="preserve">SUBSEQUENT EVENTS</w:t>
      </w:r>
    </w:p>
    <w:p>
      <w:pPr>
        <w:spacing w:after="120" w:before="320"/>
      </w:pPr>
      <w:r>
        <w:rPr>
          <w:rFonts w:ascii="Arial" w:cs="Arial" w:eastAsia="Arial" w:hAnsi="Arial"/>
          <w:b/>
          <w:bCs/>
          <w:color w:val="0A1628"/>
          <w:sz w:val="36"/>
          <w:szCs w:val="36"/>
        </w:rPr>
        <w:t xml:space="preserve">Adeo Ressi AI — Valuation Note</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Subject to receipt of updated cap table from Adeo Ressi AI LLC reflecting the fund’s post-merger SpaceX share count. The March 31, 2026 mark of $3,667,995 (7.33x) is applied using Forge Global secondary market pricing at $612.07 per SpaceX Class A Common share, consistent with ASC 820. Fair value determination is the sole responsibility of the General Partner per LPA Section 4.7.</w:t>
      </w:r>
    </w:p>
    <w:p>
      <w:pPr>
        <w:spacing w:after="120"/>
        <w:jc w:val="both"/>
      </w:pPr>
      <w:r>
        <w:rPr>
          <w:rFonts w:ascii="Arial" w:cs="Arial" w:eastAsia="Arial" w:hAnsi="Arial"/>
          <w:color w:val="1F2937"/>
          <w:sz w:val="20"/>
          <w:szCs w:val="20"/>
        </w:rPr>
        <w:t xml:space="preserve">Net proceeds remain subject to carried interest and any SPV-level preferential arrangements that may reduce amounts distributable to Premier Fund I.</w:t>
      </w:r>
    </w:p>
    <w:p>
      <w:pPr>
        <w:spacing w:after="120"/>
      </w:pPr>
      <w:r>
        <w:t xml:space="preserve"/>
      </w:r>
    </w:p>
    <w:p>
      <w:r>
        <w:br w:type="page"/>
      </w:r>
    </w:p>
    <w:p>
      <w:pPr>
        <w:spacing w:after="80" w:before="280"/>
      </w:pPr>
      <w:r>
        <w:rPr>
          <w:rFonts w:ascii="Arial" w:cs="Arial" w:eastAsia="Arial" w:hAnsi="Arial"/>
          <w:b/>
          <w:bCs/>
          <w:color w:val="0066CC"/>
          <w:sz w:val="16"/>
          <w:szCs w:val="16"/>
        </w:rPr>
        <w:t xml:space="preserve">DISCLAIMER</w:t>
      </w:r>
    </w:p>
    <w:p>
      <w:pPr>
        <w:pBdr>
          <w:bottom w:val="single" w:color="0066CC" w:sz="8" w:space="1"/>
        </w:pBdr>
        <w:spacing w:after="180" w:before="60"/>
      </w:pPr>
    </w:p>
    <w:p>
      <w:pPr>
        <w:spacing w:after="120" w:before="0"/>
        <w:jc w:val="left"/>
      </w:pPr>
      <w:r>
        <w:rPr>
          <w:rFonts w:ascii="Arial" w:cs="Arial" w:eastAsia="Arial" w:hAnsi="Arial"/>
          <w:b w:val="false"/>
          <w:bCs w:val="false"/>
          <w:i w:val="false"/>
          <w:iCs w:val="false"/>
          <w:color w:val="6B7280"/>
          <w:sz w:val="17"/>
          <w:szCs w:val="17"/>
        </w:rPr>
        <w:t xml:space="preserve">This report is solely for the use of the intended recipient and contains information that is confidential. The contents of this report are the property of Premier I (the “Fund”) and its affiliates. This report is subject to the confidentiality terms of our agreement, and any unauthorized dissemination, copying or use of this report or any of its contents without our express, written consent is strictly prohibited.</w:t>
      </w:r>
    </w:p>
    <w:p>
      <w:pPr>
        <w:spacing w:after="120"/>
      </w:pPr>
      <w:r>
        <w:t xml:space="preserve"/>
      </w:r>
    </w:p>
    <w:p>
      <w:pPr>
        <w:spacing w:after="120" w:before="0"/>
        <w:jc w:val="left"/>
      </w:pPr>
      <w:r>
        <w:rPr>
          <w:rFonts w:ascii="Arial" w:cs="Arial" w:eastAsia="Arial" w:hAnsi="Arial"/>
          <w:b w:val="false"/>
          <w:bCs w:val="false"/>
          <w:i w:val="false"/>
          <w:iCs w:val="false"/>
          <w:color w:val="6B7280"/>
          <w:sz w:val="17"/>
          <w:szCs w:val="17"/>
        </w:rPr>
        <w:t xml:space="preserve">We provide this report to you to provide some insight into the activities of the Fund. While we have prepared this report based on our internal data and research available to us, we have not fully verified all information contained in this report. Further, this report may contain forward-looking statements which are subject to significant risks and uncertainties. We do not represent the accuracy or completeness of any information or statements in this report, and therefore you should refrain from relying on any part of this report.</w:t>
      </w:r>
    </w:p>
    <w:p>
      <w:pPr>
        <w:spacing w:after="120"/>
      </w:pPr>
      <w:r>
        <w:t xml:space="preserve"/>
      </w:r>
    </w:p>
    <w:p>
      <w:pPr>
        <w:spacing w:after="120" w:before="0"/>
        <w:jc w:val="left"/>
      </w:pPr>
      <w:r>
        <w:rPr>
          <w:rFonts w:ascii="Arial" w:cs="Arial" w:eastAsia="Arial" w:hAnsi="Arial"/>
          <w:b w:val="false"/>
          <w:bCs w:val="false"/>
          <w:i w:val="false"/>
          <w:iCs w:val="false"/>
          <w:color w:val="6B7280"/>
          <w:sz w:val="17"/>
          <w:szCs w:val="17"/>
        </w:rPr>
        <w:t xml:space="preserve">This report does not constitute an offer or solicitation to make any investment. We do not provide legal, accounting or tax advice. All investors are advised to consult with their legal, accounting and tax advisers regarding such matters.</w:t>
      </w:r>
    </w:p>
    <w:p>
      <w:pPr>
        <w:spacing w:after="120"/>
      </w:pPr>
      <w:r>
        <w:t xml:space="preserve"/>
      </w:r>
    </w:p>
    <w:p>
      <w:pPr>
        <w:spacing w:after="120" w:before="0"/>
        <w:jc w:val="center"/>
      </w:pPr>
      <w:r>
        <w:rPr>
          <w:rFonts w:ascii="Arial" w:cs="Arial" w:eastAsia="Arial" w:hAnsi="Arial"/>
          <w:b w:val="false"/>
          <w:bCs w:val="false"/>
          <w:i/>
          <w:iCs/>
          <w:color w:val="6B7280"/>
          <w:sz w:val="17"/>
          <w:szCs w:val="17"/>
        </w:rPr>
        <w:t xml:space="preserve">Decile Capital Premier I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2026-05-12T13:28:39.048Z</dcterms:created>
  <dcterms:modified xsi:type="dcterms:W3CDTF">2026-05-12T13:28:39.067Z</dcterms:modified>
</cp:coreProperties>
</file>

<file path=docProps/custom.xml><?xml version="1.0" encoding="utf-8"?>
<Properties xmlns="http://schemas.openxmlformats.org/officeDocument/2006/custom-properties" xmlns:vt="http://schemas.openxmlformats.org/officeDocument/2006/docPropsVTypes"/>
</file>