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80" w:before="0"/>
        <w:jc w:val="center"/>
      </w:pPr>
      <w:r>
        <w:rPr>
          <w:rFonts w:ascii="Arial" w:cs="Arial" w:eastAsia="Arial" w:hAnsi="Arial"/>
          <w:b/>
          <w:bCs/>
          <w:i w:val="false"/>
          <w:iCs w:val="false"/>
          <w:color w:val="0A1628"/>
          <w:sz w:val="24"/>
          <w:szCs w:val="24"/>
        </w:rPr>
        <w:t xml:space="preserve">Premier Fund I, a Series of Decile Capital, LP</w:t>
      </w:r>
    </w:p>
    <w:p>
      <w:pPr>
        <w:spacing w:after="80" w:before="0"/>
        <w:jc w:val="center"/>
      </w:pPr>
      <w:r>
        <w:rPr>
          <w:rFonts w:ascii="Arial" w:cs="Arial" w:eastAsia="Arial" w:hAnsi="Arial"/>
          <w:b/>
          <w:bCs/>
          <w:i w:val="false"/>
          <w:iCs w:val="false"/>
          <w:color w:val="0066CC"/>
          <w:sz w:val="40"/>
          <w:szCs w:val="40"/>
        </w:rPr>
        <w:t xml:space="preserve">Valuation Methodology Memorandum</w:t>
      </w:r>
    </w:p>
    <w:p>
      <w:pPr>
        <w:spacing w:after="80" w:before="0"/>
        <w:jc w:val="center"/>
      </w:pPr>
      <w:r>
        <w:rPr>
          <w:rFonts w:ascii="Arial" w:cs="Arial" w:eastAsia="Arial" w:hAnsi="Arial"/>
          <w:b w:val="false"/>
          <w:bCs w:val="false"/>
          <w:i w:val="false"/>
          <w:iCs w:val="false"/>
          <w:color w:val="6B7280"/>
          <w:sz w:val="22"/>
          <w:szCs w:val="22"/>
        </w:rPr>
        <w:t xml:space="preserve">How We Measure Performance and Why the Numbers Are Good Proxies</w:t>
      </w:r>
    </w:p>
    <w:p>
      <w:pPr>
        <w:spacing w:after="400" w:before="0"/>
        <w:jc w:val="center"/>
      </w:pPr>
      <w:r>
        <w:rPr>
          <w:rFonts w:ascii="Arial" w:cs="Arial" w:eastAsia="Arial" w:hAnsi="Arial"/>
          <w:b w:val="false"/>
          <w:bCs w:val="false"/>
          <w:i w:val="false"/>
          <w:iCs w:val="false"/>
          <w:color w:val="6B7280"/>
          <w:sz w:val="20"/>
          <w:szCs w:val="20"/>
        </w:rPr>
        <w:t xml:space="preserve">May 2026</w:t>
      </w:r>
    </w:p>
    <w:p>
      <w:pPr>
        <w:spacing w:after="120" w:before="0"/>
        <w:jc w:val="center"/>
      </w:pPr>
      <w:r>
        <w:rPr>
          <w:rFonts w:ascii="Arial" w:cs="Arial" w:eastAsia="Arial" w:hAnsi="Arial"/>
          <w:b w:val="false"/>
          <w:bCs w:val="false"/>
          <w:i/>
          <w:iCs/>
          <w:color w:val="6B7280"/>
          <w:sz w:val="18"/>
          <w:szCs w:val="18"/>
        </w:rPr>
        <w:t xml:space="preserve">Strictly Private &amp; Confidential — For LP Use Only</w:t>
      </w:r>
    </w:p>
    <w:p>
      <w:r>
        <w:br w:type="page"/>
      </w:r>
    </w:p>
    <w:p>
      <w:pPr>
        <w:spacing w:after="80" w:before="280"/>
      </w:pPr>
      <w:r>
        <w:rPr>
          <w:rFonts w:ascii="Arial" w:cs="Arial" w:eastAsia="Arial" w:hAnsi="Arial"/>
          <w:b/>
          <w:bCs/>
          <w:color w:val="0066CC"/>
          <w:sz w:val="16"/>
          <w:szCs w:val="16"/>
        </w:rPr>
        <w:t xml:space="preserve">PURPOSE</w:t>
      </w:r>
    </w:p>
    <w:p>
      <w:pPr>
        <w:spacing w:after="120" w:before="320"/>
      </w:pPr>
      <w:r>
        <w:rPr>
          <w:rFonts w:ascii="Arial" w:cs="Arial" w:eastAsia="Arial" w:hAnsi="Arial"/>
          <w:b/>
          <w:bCs/>
          <w:color w:val="0A1628"/>
          <w:sz w:val="36"/>
          <w:szCs w:val="36"/>
        </w:rPr>
        <w:t xml:space="preserve">Why This Memo Exists</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Venture capital valuation is not accounting. It is structured estimation — informed, disciplined, and consistent, but estimation nonetheless. Every TVPI, MOIC, and cap-adjusted figure in our LP reports is a proxy for value, not a statement of fact. This memo explains how we calculate these numbers, what they include and exclude, and why — despite their limitations — they are the best available tool for measuring early-stage fund performance.</w:t>
      </w:r>
    </w:p>
    <w:p>
      <w:pPr>
        <w:spacing w:after="120"/>
        <w:jc w:val="both"/>
      </w:pPr>
      <w:r>
        <w:rPr>
          <w:rFonts w:ascii="Arial" w:cs="Arial" w:eastAsia="Arial" w:hAnsi="Arial"/>
          <w:color w:val="1F2937"/>
          <w:sz w:val="20"/>
          <w:szCs w:val="20"/>
        </w:rPr>
        <w:t xml:space="preserve">We write this memo not to hedge our numbers but to be honest about what they are. LPs who understand the methodology will read the reports more accurately, ask better questions, and make better decisions. That is in everyone’s interest.</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1</w:t>
      </w:r>
    </w:p>
    <w:p>
      <w:pPr>
        <w:spacing w:after="120" w:before="320"/>
      </w:pPr>
      <w:r>
        <w:rPr>
          <w:rFonts w:ascii="Arial" w:cs="Arial" w:eastAsia="Arial" w:hAnsi="Arial"/>
          <w:b/>
          <w:bCs/>
          <w:color w:val="0A1628"/>
          <w:sz w:val="36"/>
          <w:szCs w:val="36"/>
        </w:rPr>
        <w:t xml:space="preserve">What We Measure and How</w:t>
      </w:r>
    </w:p>
    <w:p>
      <w:pPr>
        <w:pBdr>
          <w:bottom w:val="single" w:color="0066CC" w:sz="8" w:space="1"/>
        </w:pBdr>
        <w:spacing w:after="180" w:before="60"/>
      </w:pPr>
    </w:p>
    <w:p>
      <w:pPr>
        <w:spacing w:after="100" w:before="240"/>
      </w:pPr>
      <w:r>
        <w:rPr>
          <w:rFonts w:ascii="Arial" w:cs="Arial" w:eastAsia="Arial" w:hAnsi="Arial"/>
          <w:b/>
          <w:bCs/>
          <w:color w:val="0A1628"/>
          <w:sz w:val="24"/>
          <w:szCs w:val="24"/>
        </w:rPr>
        <w:t xml:space="preserve">TVPI — Total Value to Paid-In</w:t>
      </w:r>
    </w:p>
    <w:p>
      <w:pPr>
        <w:spacing w:after="120"/>
        <w:jc w:val="both"/>
      </w:pPr>
      <w:r>
        <w:rPr>
          <w:rFonts w:ascii="Arial" w:cs="Arial" w:eastAsia="Arial" w:hAnsi="Arial"/>
          <w:color w:val="1F2937"/>
          <w:sz w:val="20"/>
          <w:szCs w:val="20"/>
        </w:rPr>
        <w:t xml:space="preserve">TVPI is NAV divided by called capital. It answers the question: for every dollar LPs have sent us, what is the current estimated value of their position?</w:t>
      </w:r>
    </w:p>
    <w:p>
      <w:pPr>
        <w:spacing w:after="120"/>
        <w:jc w:val="both"/>
      </w:pPr>
      <w:r>
        <w:rPr>
          <w:rFonts w:ascii="Arial" w:cs="Arial" w:eastAsia="Arial" w:hAnsi="Arial"/>
          <w:color w:val="1F2937"/>
          <w:sz w:val="20"/>
          <w:szCs w:val="20"/>
        </w:rPr>
        <w:t xml:space="preserve">NAV = portfolio fair value + cash + receivables − liabilities. Called capital = all capital calls issued to LPs to date, whether received or not.</w:t>
      </w:r>
    </w:p>
    <w:p>
      <w:pPr>
        <w:spacing w:after="120"/>
        <w:jc w:val="both"/>
      </w:pPr>
      <w:r>
        <w:rPr>
          <w:rFonts w:ascii="Arial" w:cs="Arial" w:eastAsia="Arial" w:hAnsi="Arial"/>
          <w:color w:val="1F2937"/>
          <w:sz w:val="20"/>
          <w:szCs w:val="20"/>
        </w:rPr>
        <w:t xml:space="preserve">TVPI is the primary fund-level metric because it captures both unrealised value and any distributions returned. It is the number most directly comparable to Carta and Cambridge benchmarks.</w:t>
      </w:r>
    </w:p>
    <w:p>
      <w:pPr>
        <w:spacing w:after="120"/>
      </w:pPr>
      <w:r>
        <w:t xml:space="preserve"/>
      </w:r>
    </w:p>
    <w:p>
      <w:pPr>
        <w:spacing w:after="100" w:before="240"/>
      </w:pPr>
      <w:r>
        <w:rPr>
          <w:rFonts w:ascii="Arial" w:cs="Arial" w:eastAsia="Arial" w:hAnsi="Arial"/>
          <w:b/>
          <w:bCs/>
          <w:color w:val="0A1628"/>
          <w:sz w:val="24"/>
          <w:szCs w:val="24"/>
        </w:rPr>
        <w:t xml:space="preserve">MOIC — Multiple on Invested Capital</w:t>
      </w:r>
    </w:p>
    <w:p>
      <w:pPr>
        <w:spacing w:after="120"/>
        <w:jc w:val="both"/>
      </w:pPr>
      <w:r>
        <w:rPr>
          <w:rFonts w:ascii="Arial" w:cs="Arial" w:eastAsia="Arial" w:hAnsi="Arial"/>
          <w:color w:val="1F2937"/>
          <w:sz w:val="20"/>
          <w:szCs w:val="20"/>
        </w:rPr>
        <w:t xml:space="preserve">MOIC is portfolio fair value divided by cost of investments. It strips out cash, fees, and expenses and asks: on the capital actually deployed into investments, what is the current return?</w:t>
      </w:r>
    </w:p>
    <w:p>
      <w:pPr>
        <w:spacing w:after="120"/>
        <w:jc w:val="both"/>
      </w:pPr>
      <w:r>
        <w:rPr>
          <w:rFonts w:ascii="Arial" w:cs="Arial" w:eastAsia="Arial" w:hAnsi="Arial"/>
          <w:color w:val="1F2937"/>
          <w:sz w:val="20"/>
          <w:szCs w:val="20"/>
        </w:rPr>
        <w:t xml:space="preserve">MOIC is always higher than TVPI when fees and expenses are material relative to deployment — which is normal in early-stage funds where management fees are front-loaded and deployment takes 2–3 years. A fund with 1.2x MOIC and 0.85x TVPI is not underperforming — it is in a normal J-curve with fees ahead of deployment.</w:t>
      </w:r>
    </w:p>
    <w:p>
      <w:pPr>
        <w:spacing w:after="120"/>
      </w:pPr>
      <w:r>
        <w:t xml:space="preserve"/>
      </w:r>
    </w:p>
    <w:p>
      <w:pPr>
        <w:spacing w:after="100" w:before="240"/>
      </w:pPr>
      <w:r>
        <w:rPr>
          <w:rFonts w:ascii="Arial" w:cs="Arial" w:eastAsia="Arial" w:hAnsi="Arial"/>
          <w:b/>
          <w:bCs/>
          <w:color w:val="0A1628"/>
          <w:sz w:val="24"/>
          <w:szCs w:val="24"/>
        </w:rPr>
        <w:t xml:space="preserve">Cap-Adjusted TVPI and MOIC</w:t>
      </w:r>
    </w:p>
    <w:p>
      <w:pPr>
        <w:spacing w:after="120"/>
        <w:jc w:val="both"/>
      </w:pPr>
      <w:r>
        <w:rPr>
          <w:rFonts w:ascii="Arial" w:cs="Arial" w:eastAsia="Arial" w:hAnsi="Arial"/>
          <w:color w:val="1F2937"/>
          <w:sz w:val="20"/>
          <w:szCs w:val="20"/>
        </w:rPr>
        <w:t xml:space="preserve">Cap-adjusted figures apply a second layer of adjustment: they strip out uninvested capital at the underlying fund level too, not just at the Premier I level. This is important because our fund-of-funds structure has two layers of uninvested capital — our own cash reserves, and the uninvested portion of each underlying manager’s fund.</w:t>
      </w:r>
    </w:p>
    <w:p>
      <w:pPr>
        <w:spacing w:after="120"/>
        <w:jc w:val="both"/>
      </w:pPr>
      <w:r>
        <w:rPr>
          <w:rFonts w:ascii="Arial" w:cs="Arial" w:eastAsia="Arial" w:hAnsi="Arial"/>
          <w:color w:val="1F2937"/>
          <w:sz w:val="20"/>
          <w:szCs w:val="20"/>
        </w:rPr>
        <w:t xml:space="preserve">Cap-adjusted MOIC also includes GP-reported marks on unconverted SAFE positions. When an underlying portfolio company raises a priced round at a higher valuation, SAFEs from earlier rounds are not automatically repriced in the financial statements — they stay at cost until they convert. Cap-adjusted figures apply the implied valuation from the subsequent round to estimate what those SAFEs would be worth if converted today.</w:t>
      </w:r>
    </w:p>
    <w:p>
      <w:pPr>
        <w:spacing w:after="120"/>
        <w:jc w:val="both"/>
      </w:pPr>
      <w:r>
        <w:rPr>
          <w:rFonts w:ascii="Arial" w:cs="Arial" w:eastAsia="Arial" w:hAnsi="Arial"/>
          <w:color w:val="1F2937"/>
          <w:sz w:val="20"/>
          <w:szCs w:val="20"/>
        </w:rPr>
        <w:t xml:space="preserve">This makes cap-adjusted figures higher than base figures and closer to the economic reality of the portfolio — but they are unaudited and rely on GP-reported data from underlying managers.</w:t>
      </w:r>
    </w:p>
    <w:p>
      <w:pPr>
        <w:spacing w:after="120"/>
      </w:pPr>
      <w:r>
        <w:t xml:space="preserve"/>
      </w:r>
    </w:p>
    <w:p>
      <w:pPr>
        <w:spacing w:after="100" w:before="240"/>
      </w:pPr>
      <w:r>
        <w:rPr>
          <w:rFonts w:ascii="Arial" w:cs="Arial" w:eastAsia="Arial" w:hAnsi="Arial"/>
          <w:b/>
          <w:bCs/>
          <w:color w:val="0A1628"/>
          <w:sz w:val="24"/>
          <w:szCs w:val="24"/>
        </w:rPr>
        <w:t xml:space="preserve">DPI — Distributions to Paid-In</w:t>
      </w:r>
    </w:p>
    <w:p>
      <w:pPr>
        <w:spacing w:after="120"/>
        <w:jc w:val="both"/>
      </w:pPr>
      <w:r>
        <w:rPr>
          <w:rFonts w:ascii="Arial" w:cs="Arial" w:eastAsia="Arial" w:hAnsi="Arial"/>
          <w:color w:val="1F2937"/>
          <w:sz w:val="20"/>
          <w:szCs w:val="20"/>
        </w:rPr>
        <w:t xml:space="preserve">DPI is cash returned to LPs divided by called capital. It is the only metric that represents money actually in LP hands. Premier I’s DPI is currently 0.002x — $8,688 distributed against $4,458,165 called. This is expected for a fund in year 4 of a 10-year lifecycle. Distributions are anticipated to begin in earnest in years 5–7 as portfolio companies exit or distribute proceeds.</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2</w:t>
      </w:r>
    </w:p>
    <w:p>
      <w:pPr>
        <w:spacing w:after="120" w:before="320"/>
      </w:pPr>
      <w:r>
        <w:rPr>
          <w:rFonts w:ascii="Arial" w:cs="Arial" w:eastAsia="Arial" w:hAnsi="Arial"/>
          <w:b/>
          <w:bCs/>
          <w:color w:val="0A1628"/>
          <w:sz w:val="36"/>
          <w:szCs w:val="36"/>
        </w:rPr>
        <w:t xml:space="preserve">Where the Numbers Come From</w:t>
      </w:r>
    </w:p>
    <w:p>
      <w:pPr>
        <w:pBdr>
          <w:bottom w:val="single" w:color="0066CC" w:sz="8" w:space="1"/>
        </w:pBdr>
        <w:spacing w:after="180" w:before="60"/>
      </w:pPr>
    </w:p>
    <w:p>
      <w:pPr>
        <w:spacing w:after="100" w:before="240"/>
      </w:pPr>
      <w:r>
        <w:rPr>
          <w:rFonts w:ascii="Arial" w:cs="Arial" w:eastAsia="Arial" w:hAnsi="Arial"/>
          <w:b/>
          <w:bCs/>
          <w:color w:val="0A1628"/>
          <w:sz w:val="24"/>
          <w:szCs w:val="24"/>
        </w:rPr>
        <w:t xml:space="preserve">Three Tiers of Data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What it covers</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Reliability</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Fund administrator
(Decile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Premier I financials:
NAV, called capital,
cash, fees, distributions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Highest — administrator-
verified, unaudited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All Premier I balance
sheet figures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Underlying fund
financial statements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Each manager’s own
NAV, portfolio cost,
fair value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High — same standard
as Premier I,
unaudited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99 Startups, Swizzle,
Geek II, Hallstone,
Prana financials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GP communications
(emails, LP letters,
data rooms)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Cap-adjusted marks,
SAFE valuations,
pipeline updates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Medium — GP-reported,
unaudited, subject
to confirmation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Rebellion 1.89x,
Lobster 1.20x,
Blockchain 2.20x</w:t>
            </w:r>
          </w:p>
        </w:tc>
      </w:tr>
    </w:tbl>
    <w:p>
      <w:pPr>
        <w:spacing w:after="120"/>
      </w:pPr>
      <w:r>
        <w:t xml:space="preserve"/>
      </w:r>
    </w:p>
    <w:p>
      <w:pPr>
        <w:spacing w:after="120"/>
        <w:jc w:val="both"/>
      </w:pPr>
      <w:r>
        <w:rPr>
          <w:rFonts w:ascii="Arial" w:cs="Arial" w:eastAsia="Arial" w:hAnsi="Arial"/>
          <w:color w:val="1F2937"/>
          <w:sz w:val="20"/>
          <w:szCs w:val="20"/>
        </w:rPr>
        <w:t xml:space="preserve">Where we have administrator-verified financial statements, we use them. Where we have underlying fund statements, we apply the fund’s own TVPI to our pro-rata cost basis to estimate our position NAV. Where we only have GP communications, we note the source explicitly in our reports and flag the data as unaudited.</w:t>
      </w:r>
    </w:p>
    <w:p>
      <w:pPr>
        <w:spacing w:after="120"/>
      </w:pPr>
      <w:r>
        <w:t xml:space="preserve"/>
      </w:r>
    </w:p>
    <w:p>
      <w:pPr>
        <w:spacing w:after="100" w:before="240"/>
      </w:pPr>
      <w:r>
        <w:rPr>
          <w:rFonts w:ascii="Arial" w:cs="Arial" w:eastAsia="Arial" w:hAnsi="Arial"/>
          <w:b/>
          <w:bCs/>
          <w:color w:val="0A1628"/>
          <w:sz w:val="24"/>
          <w:szCs w:val="24"/>
        </w:rPr>
        <w:t xml:space="preserve">How We Calculate Our Pro-Rata Position</w:t>
      </w:r>
    </w:p>
    <w:p>
      <w:pPr>
        <w:spacing w:after="120"/>
        <w:jc w:val="both"/>
      </w:pPr>
      <w:r>
        <w:rPr>
          <w:rFonts w:ascii="Arial" w:cs="Arial" w:eastAsia="Arial" w:hAnsi="Arial"/>
          <w:color w:val="1F2937"/>
          <w:sz w:val="20"/>
          <w:szCs w:val="20"/>
        </w:rPr>
        <w:t xml:space="preserve">For each underlying fund, our position NAV is calculated as:</w:t>
      </w:r>
    </w:p>
    <w:p>
      <w:pPr>
        <w:spacing w:after="120"/>
        <w:jc w:val="both"/>
      </w:pPr>
      <w:r>
        <w:rPr>
          <w:rFonts w:ascii="Arial" w:cs="Arial" w:eastAsia="Arial" w:hAnsi="Arial"/>
          <w:color w:val="1F2937"/>
          <w:sz w:val="20"/>
          <w:szCs w:val="20"/>
        </w:rPr>
        <w:t xml:space="preserve">Premier I NAV in fund X = (Premier I cost in fund X ÷ total fund X called capital) × fund X NAV</w:t>
      </w:r>
    </w:p>
    <w:p>
      <w:pPr>
        <w:spacing w:after="120"/>
        <w:jc w:val="both"/>
      </w:pPr>
      <w:r>
        <w:rPr>
          <w:rFonts w:ascii="Arial" w:cs="Arial" w:eastAsia="Arial" w:hAnsi="Arial"/>
          <w:color w:val="1F2937"/>
          <w:sz w:val="20"/>
          <w:szCs w:val="20"/>
        </w:rPr>
        <w:t xml:space="preserve">This gives us our ownership percentage and applies it to the fund’s total NAV. The result mirrors the fund’s own TVPI exactly — our return on our slice is the same as the fund’s return on the whole, assuming pro-rata economics with no side letters or preferential terms.</w:t>
      </w:r>
    </w:p>
    <w:p>
      <w:pPr>
        <w:spacing w:after="120"/>
        <w:jc w:val="both"/>
      </w:pPr>
      <w:r>
        <w:rPr>
          <w:rFonts w:ascii="Arial" w:cs="Arial" w:eastAsia="Arial" w:hAnsi="Arial"/>
          <w:color w:val="1F2937"/>
          <w:sz w:val="20"/>
          <w:szCs w:val="20"/>
        </w:rPr>
        <w:t xml:space="preserve">For the Adeo Ressi AI SPV, we use the confirmed share count (5,988 SpaceX Class A Common shares) and the Forge Global secondary market price ($612.07 as of Q1 2026) to calculate fair value directly. This position is marked independently of the underlying fund structure.</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3</w:t>
      </w:r>
    </w:p>
    <w:p>
      <w:pPr>
        <w:spacing w:after="120" w:before="320"/>
      </w:pPr>
      <w:r>
        <w:rPr>
          <w:rFonts w:ascii="Arial" w:cs="Arial" w:eastAsia="Arial" w:hAnsi="Arial"/>
          <w:b/>
          <w:bCs/>
          <w:color w:val="0A1628"/>
          <w:sz w:val="36"/>
          <w:szCs w:val="36"/>
        </w:rPr>
        <w:t xml:space="preserve">What the Numbers Cannot Tell You</w:t>
      </w:r>
    </w:p>
    <w:p>
      <w:pPr>
        <w:pBdr>
          <w:bottom w:val="single" w:color="0066CC" w:sz="8" w:space="1"/>
        </w:pBdr>
        <w:spacing w:after="180" w:before="60"/>
      </w:pPr>
    </w:p>
    <w:p>
      <w:pPr>
        <w:spacing w:after="100" w:before="240"/>
      </w:pPr>
      <w:r>
        <w:rPr>
          <w:rFonts w:ascii="Arial" w:cs="Arial" w:eastAsia="Arial" w:hAnsi="Arial"/>
          <w:b/>
          <w:bCs/>
          <w:color w:val="0A1628"/>
          <w:sz w:val="24"/>
          <w:szCs w:val="24"/>
        </w:rPr>
        <w:t xml:space="preserve">Valuations Are Proxies, Not Facts</w:t>
      </w:r>
    </w:p>
    <w:p>
      <w:pPr>
        <w:spacing w:after="120"/>
        <w:jc w:val="both"/>
      </w:pPr>
      <w:r>
        <w:rPr>
          <w:rFonts w:ascii="Arial" w:cs="Arial" w:eastAsia="Arial" w:hAnsi="Arial"/>
          <w:color w:val="1F2937"/>
          <w:sz w:val="20"/>
          <w:szCs w:val="20"/>
        </w:rPr>
        <w:t xml:space="preserve">Every valuation in this report — and in every venture capital report — is an estimate of what a position might be worth if sold today. It is not a guarantee of future proceeds. The gap between estimated value and realised proceeds can be large, in both directions.</w:t>
      </w:r>
    </w:p>
    <w:p>
      <w:pPr>
        <w:spacing w:after="120"/>
        <w:jc w:val="both"/>
      </w:pPr>
      <w:r>
        <w:rPr>
          <w:rFonts w:ascii="Arial" w:cs="Arial" w:eastAsia="Arial" w:hAnsi="Arial"/>
          <w:color w:val="1F2937"/>
          <w:sz w:val="20"/>
          <w:szCs w:val="20"/>
        </w:rPr>
        <w:t xml:space="preserve">The most common sources of gap in venture portfolios are: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Liquidation preferences: investors in later rounds typically have preference over earlier investors. A company marked at $100M may return far less than $100M to early-stage investors after preferences are satisfied.</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Dilution: subsequent rounds between the mark and exit dilute earlier ownership percentages. A position marked at 5% ownership may exit at 2–3%.</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Secondary market discounts: Forge and similar platforms provide price discovery but at thin liquidity. The Adeo Ressi AI / SpaceX position is marked at Forge pricing — a real, confirmed secondary market price, but not a guaranteed exit price.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SAFE conversion uncertainty: cap-adjusted figures apply implied valuations to unconverted SAFEs. If a company raises its next round at a lower valuation or winds down, the SAFE returns less than the cap-adjusted mark implies.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Write-down lag: positions are typically not written down until a formal impairment event (down round, wind-down notice). A company in distress may carry at cost until the event is confirmed.</w:t>
      </w:r>
    </w:p>
    <w:p>
      <w:pPr>
        <w:spacing w:after="120"/>
      </w:pPr>
      <w:r>
        <w:t xml:space="preserve"/>
      </w:r>
    </w:p>
    <w:p>
      <w:pPr>
        <w:spacing w:after="100" w:before="240"/>
      </w:pPr>
      <w:r>
        <w:rPr>
          <w:rFonts w:ascii="Arial" w:cs="Arial" w:eastAsia="Arial" w:hAnsi="Arial"/>
          <w:b/>
          <w:bCs/>
          <w:color w:val="0A1628"/>
          <w:sz w:val="24"/>
          <w:szCs w:val="24"/>
        </w:rPr>
        <w:t xml:space="preserve">Credit Lines and Benchmark Distortion</w:t>
      </w:r>
    </w:p>
    <w:p>
      <w:pPr>
        <w:spacing w:after="120"/>
        <w:jc w:val="both"/>
      </w:pPr>
      <w:r>
        <w:rPr>
          <w:rFonts w:ascii="Arial" w:cs="Arial" w:eastAsia="Arial" w:hAnsi="Arial"/>
          <w:color w:val="1F2937"/>
          <w:sz w:val="20"/>
          <w:szCs w:val="20"/>
        </w:rPr>
        <w:t xml:space="preserve">Many venture funds — including some in the Carta benchmark cohort Premier I is compared against — use subscription credit lines to delay LP capital calls. This artificially suppresses called capital, inflating TVPI and IRR without improving underlying portfolio performance. Premier I does not use credit lines. Our TVPI is a clean number: called capital is the actual amount LPs have been asked to send, whether received or not. This makes our early-stage TVPI look lower than peers who use lines, even with identical underlying portfolios.</w:t>
      </w:r>
    </w:p>
    <w:p>
      <w:pPr>
        <w:spacing w:after="120"/>
      </w:pPr>
      <w:r>
        <w:t xml:space="preserve"/>
      </w:r>
    </w:p>
    <w:p>
      <w:pPr>
        <w:spacing w:after="100" w:before="240"/>
      </w:pPr>
      <w:r>
        <w:rPr>
          <w:rFonts w:ascii="Arial" w:cs="Arial" w:eastAsia="Arial" w:hAnsi="Arial"/>
          <w:b/>
          <w:bCs/>
          <w:color w:val="0A1628"/>
          <w:sz w:val="24"/>
          <w:szCs w:val="24"/>
        </w:rPr>
        <w:t xml:space="preserve">The Two-Layer Fee Problem</w:t>
      </w:r>
    </w:p>
    <w:p>
      <w:pPr>
        <w:spacing w:after="120"/>
        <w:jc w:val="both"/>
      </w:pPr>
      <w:r>
        <w:rPr>
          <w:rFonts w:ascii="Arial" w:cs="Arial" w:eastAsia="Arial" w:hAnsi="Arial"/>
          <w:color w:val="1F2937"/>
          <w:sz w:val="20"/>
          <w:szCs w:val="20"/>
        </w:rPr>
        <w:t xml:space="preserve">Premier I operates as a fund-of-funds. LPs pay fees at the Premier I level. They also indirectly bear fees at the underlying fund level — these are not charged to LPs directly but reduce the NAV flowing up to Premier I. Base TVPI figures reflect this full two-layer fee load. Cap-adjusted figures reduce the denominator (uninvested capital) but do not eliminate the two-layer fee structure. This is the honest cost of the FoF model and is why the satellite sleeve — where Premier I invests directly with no underlying fund fee layer — is structurally important to long-term returns.</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4</w:t>
      </w:r>
    </w:p>
    <w:p>
      <w:pPr>
        <w:spacing w:after="120" w:before="320"/>
      </w:pPr>
      <w:r>
        <w:rPr>
          <w:rFonts w:ascii="Arial" w:cs="Arial" w:eastAsia="Arial" w:hAnsi="Arial"/>
          <w:b/>
          <w:bCs/>
          <w:color w:val="0A1628"/>
          <w:sz w:val="36"/>
          <w:szCs w:val="36"/>
        </w:rPr>
        <w:t xml:space="preserve">Why These Numbers Are Good Enough</w:t>
      </w:r>
    </w:p>
    <w:p>
      <w:pPr>
        <w:pBdr>
          <w:bottom w:val="single" w:color="0066CC" w:sz="8" w:space="1"/>
        </w:pBdr>
        <w:spacing w:after="180" w:before="60"/>
      </w:pPr>
    </w:p>
    <w:p>
      <w:pPr>
        <w:spacing w:after="100" w:before="240"/>
      </w:pPr>
      <w:r>
        <w:rPr>
          <w:rFonts w:ascii="Arial" w:cs="Arial" w:eastAsia="Arial" w:hAnsi="Arial"/>
          <w:b/>
          <w:bCs/>
          <w:color w:val="0A1628"/>
          <w:sz w:val="24"/>
          <w:szCs w:val="24"/>
        </w:rPr>
        <w:t xml:space="preserve">Consistency Is More Valuable Than Precision</w:t>
      </w:r>
    </w:p>
    <w:p>
      <w:pPr>
        <w:spacing w:after="120"/>
        <w:jc w:val="both"/>
      </w:pPr>
      <w:r>
        <w:rPr>
          <w:rFonts w:ascii="Arial" w:cs="Arial" w:eastAsia="Arial" w:hAnsi="Arial"/>
          <w:color w:val="1F2937"/>
          <w:sz w:val="20"/>
          <w:szCs w:val="20"/>
        </w:rPr>
        <w:t xml:space="preserve">The value of our valuation methodology is not that any single number is perfectly accurate. It is that we apply the same methodology consistently across every reporting period. A TVPI that is calculated the same way every quarter tells you whether the portfolio is improving or deteriorating. That directional signal is what matters for LP decision-making — not whether the number is precise to two decimal places.</w:t>
      </w:r>
    </w:p>
    <w:p>
      <w:pPr>
        <w:spacing w:after="120"/>
      </w:pPr>
      <w:r>
        <w:t xml:space="preserve"/>
      </w:r>
    </w:p>
    <w:p>
      <w:pPr>
        <w:spacing w:after="100" w:before="240"/>
      </w:pPr>
      <w:r>
        <w:rPr>
          <w:rFonts w:ascii="Arial" w:cs="Arial" w:eastAsia="Arial" w:hAnsi="Arial"/>
          <w:b/>
          <w:bCs/>
          <w:color w:val="0A1628"/>
          <w:sz w:val="24"/>
          <w:szCs w:val="24"/>
        </w:rPr>
        <w:t xml:space="preserve">The Methodology Matches Industry Standard</w:t>
      </w:r>
    </w:p>
    <w:p>
      <w:pPr>
        <w:spacing w:after="120"/>
        <w:jc w:val="both"/>
      </w:pPr>
      <w:r>
        <w:rPr>
          <w:rFonts w:ascii="Arial" w:cs="Arial" w:eastAsia="Arial" w:hAnsi="Arial"/>
          <w:color w:val="1F2937"/>
          <w:sz w:val="20"/>
          <w:szCs w:val="20"/>
        </w:rPr>
        <w:t xml:space="preserve">We follow the Latest Round Method, consistent with ASC 820 (Fair Value Measurement) and the IPEV Valuation Guidelines — the same framework used by institutional LPs, fund administrators, and auditors across the venture industry. This means our numbers are directly comparable to benchmarks published by Carta, Cambridge Associates, and Pitchbook, and would survive LP audit scrutiny.</w:t>
      </w:r>
    </w:p>
    <w:p>
      <w:pPr>
        <w:spacing w:after="120"/>
      </w:pPr>
      <w:r>
        <w:t xml:space="preserve"/>
      </w:r>
    </w:p>
    <w:p>
      <w:pPr>
        <w:spacing w:after="100" w:before="240"/>
      </w:pPr>
      <w:r>
        <w:rPr>
          <w:rFonts w:ascii="Arial" w:cs="Arial" w:eastAsia="Arial" w:hAnsi="Arial"/>
          <w:b/>
          <w:bCs/>
          <w:color w:val="0A1628"/>
          <w:sz w:val="24"/>
          <w:szCs w:val="24"/>
        </w:rPr>
        <w:t xml:space="preserve">Administrator Verification at the Premier I Level</w:t>
      </w:r>
    </w:p>
    <w:p>
      <w:pPr>
        <w:spacing w:after="120"/>
        <w:jc w:val="both"/>
      </w:pPr>
      <w:r>
        <w:rPr>
          <w:rFonts w:ascii="Arial" w:cs="Arial" w:eastAsia="Arial" w:hAnsi="Arial"/>
          <w:color w:val="1F2937"/>
          <w:sz w:val="20"/>
          <w:szCs w:val="20"/>
        </w:rPr>
        <w:t xml:space="preserve">The Premier I financial statements are prepared and verified by Decile Partners, our fund administrator. While the statements are unaudited, administrator verification provides an independent check on the figures at the top level. The underlying fund statements are prepared by each manager’s own administrator — a further layer of independent preparation, even if not independently audited.</w:t>
      </w:r>
    </w:p>
    <w:p>
      <w:pPr>
        <w:spacing w:after="120"/>
      </w:pPr>
      <w:r>
        <w:t xml:space="preserve"/>
      </w:r>
    </w:p>
    <w:p>
      <w:pPr>
        <w:spacing w:after="100" w:before="240"/>
      </w:pPr>
      <w:r>
        <w:rPr>
          <w:rFonts w:ascii="Arial" w:cs="Arial" w:eastAsia="Arial" w:hAnsi="Arial"/>
          <w:b/>
          <w:bCs/>
          <w:color w:val="0A1628"/>
          <w:sz w:val="24"/>
          <w:szCs w:val="24"/>
        </w:rPr>
        <w:t xml:space="preserve">The Numbers Are Conservative on Balance</w:t>
      </w:r>
    </w:p>
    <w:p>
      <w:pPr>
        <w:spacing w:after="120"/>
        <w:jc w:val="both"/>
      </w:pPr>
      <w:r>
        <w:rPr>
          <w:rFonts w:ascii="Arial" w:cs="Arial" w:eastAsia="Arial" w:hAnsi="Arial"/>
          <w:color w:val="1F2937"/>
          <w:sz w:val="20"/>
          <w:szCs w:val="20"/>
        </w:rPr>
        <w:t xml:space="preserve">Our methodology tends to understate value rather than overstate it, for three reasons: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SAFEs at cost: unconverted SAFE positions are carried at cost in base figures even when subsequent priced rounds have occurred at materially higher valuations. Base TVPI therefore understates economic value for portfolios with many SAFEs — which is typical for early-stage seed funds.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No credit line inflation: as noted above, our TVPI denominator is real called capital, not suppressed by credit line mechanics.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Conservative write-down policy: we do not write down positions proactively. This can overstate value for distressed positions, but the write-down typically occurs at a confirmed impairment event, not before.</w:t>
      </w:r>
    </w:p>
    <w:p>
      <w:pPr>
        <w:spacing w:after="120"/>
        <w:jc w:val="both"/>
      </w:pPr>
      <w:r>
        <w:rPr>
          <w:rFonts w:ascii="Arial" w:cs="Arial" w:eastAsia="Arial" w:hAnsi="Arial"/>
          <w:color w:val="1F2937"/>
          <w:sz w:val="20"/>
          <w:szCs w:val="20"/>
        </w:rPr>
        <w:t xml:space="preserve">The net effect is that cap-adjusted TVPI is the more accurate measure of economic reality, and base TVPI is the more conservative floor. Both are useful for different purposes.</w:t>
      </w:r>
    </w:p>
    <w:p>
      <w:pPr>
        <w:spacing w:after="120"/>
      </w:pPr>
      <w:r>
        <w:t xml:space="preserve"/>
      </w:r>
    </w:p>
    <w:p>
      <w:pPr>
        <w:spacing w:after="100" w:before="240"/>
      </w:pPr>
      <w:r>
        <w:rPr>
          <w:rFonts w:ascii="Arial" w:cs="Arial" w:eastAsia="Arial" w:hAnsi="Arial"/>
          <w:b/>
          <w:bCs/>
          <w:color w:val="0A1628"/>
          <w:sz w:val="24"/>
          <w:szCs w:val="24"/>
        </w:rPr>
        <w:t xml:space="preserve">The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What it tells you</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Limitation</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7"/>
                <w:szCs w:val="17"/>
              </w:rPr>
              <w:t xml:space="preserve">Our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Base TVPI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Conservative floor on fund value vs called capital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Understates value for SAFE-heavy portfolios; distorted by credit line peers in benchmarks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Reliable floor. Use for downside scenario planning.</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Cap-adj TVPI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Best estimate of economic value vs deployed capital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Unaudited GP marks on SAFEs; assumes caps convert at implied valuation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Best single number for portfolio health. Treat as informed estimate, not fact.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MOIC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Return on invested capital, fee-neutral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Ignores time value; doesn’t reflect uninvested capital drag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Useful for comparing investment quality across funds regardless of fee structure.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DPI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Actual cash returned to LPs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Zero or near-zero in early years — not meaningful until year 5+</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937"/>
                <w:sz w:val="17"/>
                <w:szCs w:val="17"/>
              </w:rPr>
              <w:t xml:space="preserve">The only hard fact. Currently 0.002x. Watch from year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IRR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Time-weighted return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Heavily distorted by credit lines and capital call timing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Not reported. Available on request. Use with caution.</w:t>
            </w:r>
          </w:p>
        </w:tc>
      </w:tr>
    </w:tbl>
    <w:p>
      <w:pPr>
        <w:spacing w:after="120"/>
      </w:pPr>
      <w:r>
        <w:t xml:space="preserve"/>
      </w:r>
    </w:p>
    <w:p>
      <w:r>
        <w:br w:type="page"/>
      </w:r>
    </w:p>
    <w:p>
      <w:pPr>
        <w:spacing w:after="80" w:before="280"/>
      </w:pPr>
      <w:r>
        <w:rPr>
          <w:rFonts w:ascii="Arial" w:cs="Arial" w:eastAsia="Arial" w:hAnsi="Arial"/>
          <w:b/>
          <w:bCs/>
          <w:color w:val="0066CC"/>
          <w:sz w:val="16"/>
          <w:szCs w:val="16"/>
        </w:rPr>
        <w:t xml:space="preserve">SECTION 5</w:t>
      </w:r>
    </w:p>
    <w:p>
      <w:pPr>
        <w:spacing w:after="120" w:before="320"/>
      </w:pPr>
      <w:r>
        <w:rPr>
          <w:rFonts w:ascii="Arial" w:cs="Arial" w:eastAsia="Arial" w:hAnsi="Arial"/>
          <w:b/>
          <w:bCs/>
          <w:color w:val="0A1628"/>
          <w:sz w:val="36"/>
          <w:szCs w:val="36"/>
        </w:rPr>
        <w:t xml:space="preserve">How We Prepare Each Report</w:t>
      </w:r>
    </w:p>
    <w:p>
      <w:pPr>
        <w:pBdr>
          <w:bottom w:val="single" w:color="0066CC" w:sz="8" w:space="1"/>
        </w:pBdr>
        <w:spacing w:after="180" w:before="60"/>
      </w:pPr>
    </w:p>
    <w:p>
      <w:pPr>
        <w:spacing w:after="100" w:before="240"/>
      </w:pPr>
      <w:r>
        <w:rPr>
          <w:rFonts w:ascii="Arial" w:cs="Arial" w:eastAsia="Arial" w:hAnsi="Arial"/>
          <w:b/>
          <w:bCs/>
          <w:color w:val="0A1628"/>
          <w:sz w:val="24"/>
          <w:szCs w:val="24"/>
        </w:rPr>
        <w:t xml:space="preserve">Step-by-Step Process</w:t>
      </w:r>
    </w:p>
    <w:p>
      <w:pPr>
        <w:spacing w:after="120"/>
        <w:jc w:val="both"/>
      </w:pPr>
      <w:r>
        <w:rPr>
          <w:rFonts w:ascii="Arial" w:cs="Arial" w:eastAsia="Arial" w:hAnsi="Arial"/>
          <w:color w:val="1F2937"/>
          <w:sz w:val="20"/>
          <w:szCs w:val="20"/>
        </w:rPr>
        <w:t xml:space="preserve">Each quarterly report follows the same preparation sequence:</w:t>
      </w:r>
    </w:p>
    <w:p>
      <w:pPr>
        <w:spacing w:after="80" w:before="180"/>
      </w:pPr>
      <w:r>
        <w:rPr>
          <w:rFonts w:ascii="Arial" w:cs="Arial" w:eastAsia="Arial" w:hAnsi="Arial"/>
          <w:b/>
          <w:bCs/>
          <w:color w:val="0A1628"/>
          <w:sz w:val="20"/>
          <w:szCs w:val="20"/>
        </w:rPr>
        <w:t xml:space="preserve">1. Obtain administrator statements</w:t>
      </w:r>
    </w:p>
    <w:p>
      <w:pPr>
        <w:spacing w:after="120"/>
        <w:jc w:val="both"/>
      </w:pPr>
      <w:r>
        <w:rPr>
          <w:rFonts w:ascii="Arial" w:cs="Arial" w:eastAsia="Arial" w:hAnsi="Arial"/>
          <w:color w:val="1F2937"/>
          <w:sz w:val="20"/>
          <w:szCs w:val="20"/>
        </w:rPr>
        <w:t xml:space="preserve">We obtain the Premier I financial statements from Decile Partners covering the reporting period. These form the foundation of all fund-level metrics: NAV, called capital, cash, fees, unrealised gains.</w:t>
      </w:r>
    </w:p>
    <w:p>
      <w:pPr>
        <w:spacing w:after="80" w:before="180"/>
      </w:pPr>
      <w:r>
        <w:rPr>
          <w:rFonts w:ascii="Arial" w:cs="Arial" w:eastAsia="Arial" w:hAnsi="Arial"/>
          <w:b/>
          <w:bCs/>
          <w:color w:val="0A1628"/>
          <w:sz w:val="20"/>
          <w:szCs w:val="20"/>
        </w:rPr>
        <w:t xml:space="preserve">2. Obtain underlying fund statements</w:t>
      </w:r>
    </w:p>
    <w:p>
      <w:pPr>
        <w:spacing w:after="120"/>
        <w:jc w:val="both"/>
      </w:pPr>
      <w:r>
        <w:rPr>
          <w:rFonts w:ascii="Arial" w:cs="Arial" w:eastAsia="Arial" w:hAnsi="Arial"/>
          <w:color w:val="1F2937"/>
          <w:sz w:val="20"/>
          <w:szCs w:val="20"/>
        </w:rPr>
        <w:t xml:space="preserve">We collect financial statements from each underlying fund manager covering the same or most recent available period. We verify that cost of investments, fair value, and TVPI are consistent between the fund’s own statements and what flows through to Premier I.</w:t>
      </w:r>
    </w:p>
    <w:p>
      <w:pPr>
        <w:spacing w:after="80" w:before="180"/>
      </w:pPr>
      <w:r>
        <w:rPr>
          <w:rFonts w:ascii="Arial" w:cs="Arial" w:eastAsia="Arial" w:hAnsi="Arial"/>
          <w:b/>
          <w:bCs/>
          <w:color w:val="0A1628"/>
          <w:sz w:val="20"/>
          <w:szCs w:val="20"/>
        </w:rPr>
        <w:t xml:space="preserve">3. Collect GP communications</w:t>
      </w:r>
    </w:p>
    <w:p>
      <w:pPr>
        <w:spacing w:after="120"/>
        <w:jc w:val="both"/>
      </w:pPr>
      <w:r>
        <w:rPr>
          <w:rFonts w:ascii="Arial" w:cs="Arial" w:eastAsia="Arial" w:hAnsi="Arial"/>
          <w:color w:val="1F2937"/>
          <w:sz w:val="20"/>
          <w:szCs w:val="20"/>
        </w:rPr>
        <w:t xml:space="preserve">We gather LP letters, email updates, and data room materials from each manager. Where cap-adjusted figures differ from base figures, we document the source and mark the data as GP-reported and unaudited.</w:t>
      </w:r>
    </w:p>
    <w:p>
      <w:pPr>
        <w:spacing w:after="80" w:before="180"/>
      </w:pPr>
      <w:r>
        <w:rPr>
          <w:rFonts w:ascii="Arial" w:cs="Arial" w:eastAsia="Arial" w:hAnsi="Arial"/>
          <w:b/>
          <w:bCs/>
          <w:color w:val="0A1628"/>
          <w:sz w:val="20"/>
          <w:szCs w:val="20"/>
        </w:rPr>
        <w:t xml:space="preserve">4. Cross-check for consistency</w:t>
      </w:r>
    </w:p>
    <w:p>
      <w:pPr>
        <w:spacing w:after="120"/>
        <w:jc w:val="both"/>
      </w:pPr>
      <w:r>
        <w:rPr>
          <w:rFonts w:ascii="Arial" w:cs="Arial" w:eastAsia="Arial" w:hAnsi="Arial"/>
          <w:color w:val="1F2937"/>
          <w:sz w:val="20"/>
          <w:szCs w:val="20"/>
        </w:rPr>
        <w:t xml:space="preserve">We verify that numbers in GP communications are consistent with financial statements. Where they diverge, we investigate and use the more conservative figure or note the discrepancy explicitly.</w:t>
      </w:r>
    </w:p>
    <w:p>
      <w:pPr>
        <w:spacing w:after="80" w:before="180"/>
      </w:pPr>
      <w:r>
        <w:rPr>
          <w:rFonts w:ascii="Arial" w:cs="Arial" w:eastAsia="Arial" w:hAnsi="Arial"/>
          <w:b/>
          <w:bCs/>
          <w:color w:val="0A1628"/>
          <w:sz w:val="20"/>
          <w:szCs w:val="20"/>
        </w:rPr>
        <w:t xml:space="preserve">5. Apply pro-rata calculation</w:t>
      </w:r>
    </w:p>
    <w:p>
      <w:pPr>
        <w:spacing w:after="120"/>
        <w:jc w:val="both"/>
      </w:pPr>
      <w:r>
        <w:rPr>
          <w:rFonts w:ascii="Arial" w:cs="Arial" w:eastAsia="Arial" w:hAnsi="Arial"/>
          <w:color w:val="1F2937"/>
          <w:sz w:val="20"/>
          <w:szCs w:val="20"/>
        </w:rPr>
        <w:t xml:space="preserve">For each fund, we calculate Premier I’s pro-rata ownership and apply it to the fund’s NAV to derive our position value. We cross-check this against our capital account statement where available.</w:t>
      </w:r>
    </w:p>
    <w:p>
      <w:pPr>
        <w:spacing w:after="80" w:before="180"/>
      </w:pPr>
      <w:r>
        <w:rPr>
          <w:rFonts w:ascii="Arial" w:cs="Arial" w:eastAsia="Arial" w:hAnsi="Arial"/>
          <w:b/>
          <w:bCs/>
          <w:color w:val="0A1628"/>
          <w:sz w:val="20"/>
          <w:szCs w:val="20"/>
        </w:rPr>
        <w:t xml:space="preserve">6. Apply special valuations</w:t>
      </w:r>
    </w:p>
    <w:p>
      <w:pPr>
        <w:spacing w:after="120"/>
        <w:jc w:val="both"/>
      </w:pPr>
      <w:r>
        <w:rPr>
          <w:rFonts w:ascii="Arial" w:cs="Arial" w:eastAsia="Arial" w:hAnsi="Arial"/>
          <w:color w:val="1F2937"/>
          <w:sz w:val="20"/>
          <w:szCs w:val="20"/>
        </w:rPr>
        <w:t xml:space="preserve">For positions with specific market data — such as the Adeo Ressi AI / SpaceX Forge secondary pricing — we apply the market price directly to the confirmed share count and document the methodology, source, and any caveats.</w:t>
      </w:r>
    </w:p>
    <w:p>
      <w:pPr>
        <w:spacing w:after="80" w:before="180"/>
      </w:pPr>
      <w:r>
        <w:rPr>
          <w:rFonts w:ascii="Arial" w:cs="Arial" w:eastAsia="Arial" w:hAnsi="Arial"/>
          <w:b/>
          <w:bCs/>
          <w:color w:val="0A1628"/>
          <w:sz w:val="20"/>
          <w:szCs w:val="20"/>
        </w:rPr>
        <w:t xml:space="preserve">7. Prepare the report</w:t>
      </w:r>
    </w:p>
    <w:p>
      <w:pPr>
        <w:spacing w:after="120"/>
        <w:jc w:val="both"/>
      </w:pPr>
      <w:r>
        <w:rPr>
          <w:rFonts w:ascii="Arial" w:cs="Arial" w:eastAsia="Arial" w:hAnsi="Arial"/>
          <w:color w:val="1F2937"/>
          <w:sz w:val="20"/>
          <w:szCs w:val="20"/>
        </w:rPr>
        <w:t xml:space="preserve">We draft the report following the same structure each quarter: executive summary, fund snapshot, performance tables, individual fund write-ups, market context, and disclaimer. Consistency of format allows LPs to track changes quarter by quarter.</w:t>
      </w:r>
    </w:p>
    <w:p>
      <w:pPr>
        <w:spacing w:after="120"/>
      </w:pPr>
      <w:r>
        <w:t xml:space="preserve"/>
      </w:r>
    </w:p>
    <w:p>
      <w:pPr>
        <w:spacing w:after="100" w:before="240"/>
      </w:pPr>
      <w:r>
        <w:rPr>
          <w:rFonts w:ascii="Arial" w:cs="Arial" w:eastAsia="Arial" w:hAnsi="Arial"/>
          <w:b/>
          <w:bCs/>
          <w:color w:val="0A1628"/>
          <w:sz w:val="24"/>
          <w:szCs w:val="24"/>
        </w:rPr>
        <w:t xml:space="preserve">What We Do Not Do</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We do not mark up positions without a triggering event (priced round, secondary transaction, or GP-confirmed cap adjustment).</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We do not use credit lines or other mechanisms to suppress called capital.</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We do not include unsigned or unconfirmed pipeline deals in our valuations.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We do not present GP-reported cap-adjusted figures as audited values.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We do not smooth or adjust figures to meet a target TVPI in any period.</w:t>
      </w:r>
    </w:p>
    <w:p>
      <w:pPr>
        <w:spacing w:after="120"/>
      </w:pPr>
      <w:r>
        <w:t xml:space="preserve"/>
      </w:r>
    </w:p>
    <w:p>
      <w:r>
        <w:br w:type="page"/>
      </w:r>
    </w:p>
    <w:p>
      <w:pPr>
        <w:spacing w:after="80" w:before="280"/>
      </w:pPr>
      <w:r>
        <w:rPr>
          <w:rFonts w:ascii="Arial" w:cs="Arial" w:eastAsia="Arial" w:hAnsi="Arial"/>
          <w:b/>
          <w:bCs/>
          <w:color w:val="0066CC"/>
          <w:sz w:val="16"/>
          <w:szCs w:val="16"/>
        </w:rPr>
        <w:t xml:space="preserve">DISCLAIMER</w:t>
      </w:r>
    </w:p>
    <w:p>
      <w:pPr>
        <w:pBdr>
          <w:bottom w:val="single" w:color="0066CC" w:sz="8" w:space="1"/>
        </w:pBdr>
        <w:spacing w:after="180" w:before="60"/>
      </w:pPr>
    </w:p>
    <w:p>
      <w:pPr>
        <w:spacing w:after="120" w:before="0"/>
        <w:jc w:val="left"/>
      </w:pPr>
      <w:r>
        <w:rPr>
          <w:rFonts w:ascii="Arial" w:cs="Arial" w:eastAsia="Arial" w:hAnsi="Arial"/>
          <w:b w:val="false"/>
          <w:bCs w:val="false"/>
          <w:i w:val="false"/>
          <w:iCs w:val="false"/>
          <w:color w:val="6B7280"/>
          <w:sz w:val="17"/>
          <w:szCs w:val="17"/>
        </w:rPr>
        <w:t xml:space="preserve">This memorandum is solely for the use of Premier Fund I limited partners and contains information that is confidential. It is prepared for informational purposes only and does not constitute financial, legal, or accounting advice. All valuations are unaudited and prepared on a best-efforts basis consistent with ASC 820 and IPEV guidelines. Past performance is not indicative of future results. LPs should consult their own advisers regarding the interpretation of fund performance metrics.</w:t>
      </w:r>
    </w:p>
    <w:p>
      <w:pPr>
        <w:spacing w:after="120"/>
      </w:pPr>
      <w:r>
        <w:t xml:space="preserve"/>
      </w:r>
    </w:p>
    <w:p>
      <w:pPr>
        <w:spacing w:after="120" w:before="0"/>
        <w:jc w:val="center"/>
      </w:pPr>
      <w:r>
        <w:rPr>
          <w:rFonts w:ascii="Arial" w:cs="Arial" w:eastAsia="Arial" w:hAnsi="Arial"/>
          <w:b w:val="false"/>
          <w:bCs w:val="false"/>
          <w:i/>
          <w:iCs/>
          <w:color w:val="6B7280"/>
          <w:sz w:val="17"/>
          <w:szCs w:val="17"/>
        </w:rPr>
        <w:t xml:space="preserve">Decile Capital Premier I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2026-05-12T00:10:17.377Z</dcterms:created>
  <dcterms:modified xsi:type="dcterms:W3CDTF">2026-05-12T00:10:17.404Z</dcterms:modified>
</cp:coreProperties>
</file>

<file path=docProps/custom.xml><?xml version="1.0" encoding="utf-8"?>
<Properties xmlns="http://schemas.openxmlformats.org/officeDocument/2006/custom-properties" xmlns:vt="http://schemas.openxmlformats.org/officeDocument/2006/docPropsVTypes"/>
</file>