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pPr>
      <w:r>
        <w:t xml:space="preserve"/>
      </w:r>
    </w:p>
    <w:p>
      <w:pPr>
        <w:spacing w:after="80" w:before="0"/>
        <w:jc w:val="center"/>
      </w:pPr>
      <w:r>
        <w:rPr>
          <w:rFonts w:ascii="Arial" w:cs="Arial" w:eastAsia="Arial" w:hAnsi="Arial"/>
          <w:b/>
          <w:bCs/>
          <w:i w:val="false"/>
          <w:iCs w:val="false"/>
          <w:color w:val="0A1628"/>
          <w:sz w:val="24"/>
          <w:szCs w:val="24"/>
        </w:rPr>
        <w:t xml:space="preserve">Decile Capital — Premier II</w:t>
      </w:r>
    </w:p>
    <w:p>
      <w:pPr>
        <w:spacing w:after="80" w:before="0"/>
        <w:jc w:val="center"/>
      </w:pPr>
      <w:r>
        <w:rPr>
          <w:rFonts w:ascii="Arial" w:cs="Arial" w:eastAsia="Arial" w:hAnsi="Arial"/>
          <w:b/>
          <w:bCs/>
          <w:i w:val="false"/>
          <w:iCs w:val="false"/>
          <w:color w:val="0066CC"/>
          <w:sz w:val="40"/>
          <w:szCs w:val="40"/>
        </w:rPr>
        <w:t xml:space="preserve">Co-Investment Program</w:t>
      </w:r>
    </w:p>
    <w:p>
      <w:pPr>
        <w:spacing w:after="80" w:before="0"/>
        <w:jc w:val="center"/>
      </w:pPr>
      <w:r>
        <w:rPr>
          <w:rFonts w:ascii="Arial" w:cs="Arial" w:eastAsia="Arial" w:hAnsi="Arial"/>
          <w:b w:val="false"/>
          <w:bCs w:val="false"/>
          <w:i w:val="false"/>
          <w:iCs w:val="false"/>
          <w:color w:val="6B7280"/>
          <w:sz w:val="22"/>
          <w:szCs w:val="22"/>
        </w:rPr>
        <w:t xml:space="preserve">Architecture, Sourcing, and Fund Selection Framework</w:t>
      </w:r>
    </w:p>
    <w:p>
      <w:pPr>
        <w:spacing w:after="400" w:before="0"/>
        <w:jc w:val="center"/>
      </w:pPr>
      <w:r>
        <w:rPr>
          <w:rFonts w:ascii="Arial" w:cs="Arial" w:eastAsia="Arial" w:hAnsi="Arial"/>
          <w:b w:val="false"/>
          <w:bCs w:val="false"/>
          <w:i w:val="false"/>
          <w:iCs w:val="false"/>
          <w:color w:val="6B7280"/>
          <w:sz w:val="20"/>
          <w:szCs w:val="20"/>
        </w:rPr>
        <w:t xml:space="preserve">May 2026</w:t>
      </w:r>
    </w:p>
    <w:p>
      <w:pPr>
        <w:spacing w:after="120" w:before="0"/>
        <w:jc w:val="center"/>
      </w:pPr>
      <w:r>
        <w:rPr>
          <w:rFonts w:ascii="Arial" w:cs="Arial" w:eastAsia="Arial" w:hAnsi="Arial"/>
          <w:b w:val="false"/>
          <w:bCs w:val="false"/>
          <w:i/>
          <w:iCs/>
          <w:color w:val="6B7280"/>
          <w:sz w:val="18"/>
          <w:szCs w:val="18"/>
        </w:rPr>
        <w:t xml:space="preserve">Strictly Private &amp; Confidential — For LP Use Only</w:t>
      </w:r>
    </w:p>
    <w:p>
      <w:r>
        <w:br w:type="page"/>
      </w:r>
    </w:p>
    <w:p>
      <w:pPr>
        <w:spacing w:after="80" w:before="280"/>
      </w:pPr>
      <w:r>
        <w:rPr>
          <w:rFonts w:ascii="Arial" w:cs="Arial" w:eastAsia="Arial" w:hAnsi="Arial"/>
          <w:b/>
          <w:bCs/>
          <w:color w:val="0066CC"/>
          <w:sz w:val="16"/>
          <w:szCs w:val="16"/>
        </w:rPr>
        <w:t xml:space="preserve">SECTION 1</w:t>
      </w:r>
    </w:p>
    <w:p>
      <w:pPr>
        <w:spacing w:after="120" w:before="320"/>
      </w:pPr>
      <w:r>
        <w:rPr>
          <w:rFonts w:ascii="Arial" w:cs="Arial" w:eastAsia="Arial" w:hAnsi="Arial"/>
          <w:b/>
          <w:bCs/>
          <w:color w:val="0A1628"/>
          <w:sz w:val="36"/>
          <w:szCs w:val="36"/>
        </w:rPr>
        <w:t xml:space="preserve">Why Co-Investment Exists in Premier II</w:t>
      </w:r>
    </w:p>
    <w:p>
      <w:pPr>
        <w:pBdr>
          <w:bottom w:val="single" w:color="0066CC" w:sz="8" w:space="1"/>
        </w:pBdr>
        <w:spacing w:after="180" w:before="60"/>
      </w:pPr>
    </w:p>
    <w:p>
      <w:pPr>
        <w:spacing w:after="120"/>
        <w:jc w:val="both"/>
      </w:pPr>
      <w:r>
        <w:rPr>
          <w:rFonts w:ascii="Arial" w:cs="Arial" w:eastAsia="Arial" w:hAnsi="Arial"/>
          <w:color w:val="1F2937"/>
          <w:sz w:val="20"/>
          <w:szCs w:val="20"/>
        </w:rPr>
        <w:t xml:space="preserve">Premier II is structured as a 70/30 hybrid vehicle. The 70% fund of funds sleeve provides diversified exposure to top-decile emerging managers. The 30% direct satellite sleeve targets concentrated positions in single assets where Premier has information advantage, scarce allocation access, and high conviction.</w:t>
      </w:r>
    </w:p>
    <w:p>
      <w:pPr>
        <w:spacing w:after="120"/>
        <w:jc w:val="both"/>
      </w:pPr>
      <w:r>
        <w:rPr>
          <w:rFonts w:ascii="Arial" w:cs="Arial" w:eastAsia="Arial" w:hAnsi="Arial"/>
          <w:color w:val="1F2937"/>
          <w:sz w:val="20"/>
          <w:szCs w:val="20"/>
        </w:rPr>
        <w:t xml:space="preserve">The satellite sleeve exists for one structural reason: fee elimination. When Premier II invests directly into a company's cap table alongside a GP — with no underlying fund fee layer — the same gross return delivers materially more to the LP. A position returning 11x gross through a fund (2%/20%) nets approximately 8x to Premier after fees. The same position invested directly nets approximately 9.5x. That gap — roughly 1.5x per position — compounded across a portfolio is the structural edge of the direct sleeve.</w:t>
      </w:r>
    </w:p>
    <w:p>
      <w:pPr>
        <w:spacing w:after="120"/>
        <w:jc w:val="both"/>
      </w:pPr>
      <w:r>
        <w:rPr>
          <w:rFonts w:ascii="Arial" w:cs="Arial" w:eastAsia="Arial" w:hAnsi="Arial"/>
          <w:color w:val="1F2937"/>
          <w:sz w:val="20"/>
          <w:szCs w:val="20"/>
        </w:rPr>
        <w:t xml:space="preserve">But the satellite sleeve only works if the deal flow is real. And real deal flow at the quality required — companies that can return 10x+ — does not come from open market sourcing at Premier II's current fund size and stage. It comes exclusively from GP relationships built through the fund of funds sleeve.</w:t>
      </w:r>
    </w:p>
    <w:p>
      <w:pPr>
        <w:spacing w:after="120"/>
        <w:jc w:val="both"/>
      </w:pPr>
      <w:r>
        <w:rPr>
          <w:rFonts w:ascii="Arial" w:cs="Arial" w:eastAsia="Arial" w:hAnsi="Arial"/>
          <w:color w:val="1F2937"/>
          <w:sz w:val="20"/>
          <w:szCs w:val="20"/>
        </w:rPr>
        <w:t xml:space="preserve">This is not a weakness. It is the design. The FoF sleeve is not just a return engine. It is the sourcing infrastructure for the satellite sleeve. The two are not independent. Separating them misunderstands the model.</w:t>
      </w:r>
    </w:p>
    <w:p>
      <w:pPr>
        <w:spacing w:after="120"/>
      </w:pPr>
      <w:r>
        <w:t xml:space="preserve"/>
      </w:r>
    </w:p>
    <w:p>
      <w:r>
        <w:br w:type="page"/>
      </w:r>
    </w:p>
    <w:p>
      <w:pPr>
        <w:spacing w:after="80" w:before="280"/>
      </w:pPr>
      <w:r>
        <w:rPr>
          <w:rFonts w:ascii="Arial" w:cs="Arial" w:eastAsia="Arial" w:hAnsi="Arial"/>
          <w:b/>
          <w:bCs/>
          <w:color w:val="0066CC"/>
          <w:sz w:val="16"/>
          <w:szCs w:val="16"/>
        </w:rPr>
        <w:t xml:space="preserve">SECTION 2</w:t>
      </w:r>
    </w:p>
    <w:p>
      <w:pPr>
        <w:spacing w:after="120" w:before="320"/>
      </w:pPr>
      <w:r>
        <w:rPr>
          <w:rFonts w:ascii="Arial" w:cs="Arial" w:eastAsia="Arial" w:hAnsi="Arial"/>
          <w:b/>
          <w:bCs/>
          <w:color w:val="0A1628"/>
          <w:sz w:val="36"/>
          <w:szCs w:val="36"/>
        </w:rPr>
        <w:t xml:space="preserve">The Three-Tier Sourcing Architecture</w:t>
      </w:r>
    </w:p>
    <w:p>
      <w:pPr>
        <w:pBdr>
          <w:bottom w:val="single" w:color="0066CC" w:sz="8" w:space="1"/>
        </w:pBdr>
        <w:spacing w:after="180" w:before="60"/>
      </w:pPr>
    </w:p>
    <w:p>
      <w:pPr>
        <w:spacing w:after="120"/>
        <w:jc w:val="both"/>
      </w:pPr>
      <w:r>
        <w:rPr>
          <w:rFonts w:ascii="Arial" w:cs="Arial" w:eastAsia="Arial" w:hAnsi="Arial"/>
          <w:color w:val="1F2937"/>
          <w:sz w:val="20"/>
          <w:szCs w:val="20"/>
        </w:rPr>
        <w:t xml:space="preserve">Co-investment deal flow in Premier II comes from three distinct sources, each with different characteristics, volume, and quality profiles.</w:t>
      </w:r>
    </w:p>
    <w:p>
      <w:pPr>
        <w:spacing w:after="120"/>
      </w:pPr>
      <w:r>
        <w:t xml:space="preserve"/>
      </w:r>
    </w:p>
    <w:p>
      <w:pPr>
        <w:spacing w:after="100" w:before="240"/>
      </w:pPr>
      <w:r>
        <w:rPr>
          <w:rFonts w:ascii="Arial" w:cs="Arial" w:eastAsia="Arial" w:hAnsi="Arial"/>
          <w:b/>
          <w:bCs/>
          <w:color w:val="0A1628"/>
          <w:sz w:val="24"/>
          <w:szCs w:val="24"/>
        </w:rPr>
        <w:t xml:space="preserve">Tier 1 — Systematic: AI-Driven Pipeline</w:t>
      </w:r>
    </w:p>
    <w:p>
      <w:pPr>
        <w:spacing w:after="120"/>
        <w:jc w:val="both"/>
      </w:pPr>
      <w:r>
        <w:rPr>
          <w:rFonts w:ascii="Arial" w:cs="Arial" w:eastAsia="Arial" w:hAnsi="Arial"/>
          <w:color w:val="1F2937"/>
          <w:sz w:val="20"/>
          <w:szCs w:val="20"/>
        </w:rPr>
        <w:t xml:space="preserve">Blue Moon Ventures Fund II operates a fully deployed AI operating system that sources 20,000+ companies annually. Five purpose-built agents — Agatha (sourcing and scoring), Blue (market analysis), Slash (operations), Kojak (portfolio monitoring), and Sherpa (founder support) — collectively pre-screen, score, and surface the highest-conviction opportunities to the GP before any human judgment is applied.</w:t>
      </w:r>
    </w:p>
    <w:p>
      <w:pPr>
        <w:spacing w:after="120"/>
        <w:jc w:val="both"/>
      </w:pPr>
      <w:r>
        <w:rPr>
          <w:rFonts w:ascii="Arial" w:cs="Arial" w:eastAsia="Arial" w:hAnsi="Arial"/>
          <w:color w:val="1F2937"/>
          <w:sz w:val="20"/>
          <w:szCs w:val="20"/>
        </w:rPr>
        <w:t xml:space="preserve">As a Blue Moon LP, Premier II gains access to this pipeline as a co-investment source. This is not ad hoc deal sharing — it is a systematic, machine-driven sourcing engine that operates continuously and does not depend on any individual GP remembering to make a phone call.</w:t>
      </w:r>
    </w:p>
    <w:p>
      <w:pPr>
        <w:spacing w:after="120"/>
        <w:jc w:val="both"/>
      </w:pPr>
      <w:r>
        <w:rPr>
          <w:rFonts w:ascii="Arial" w:cs="Arial" w:eastAsia="Arial" w:hAnsi="Arial"/>
          <w:color w:val="1F2937"/>
          <w:sz w:val="20"/>
          <w:szCs w:val="20"/>
        </w:rPr>
        <w:t xml:space="preserve">Blue Moon Fund I is currently ranked #1 among 1,952 U.S. emerging manager funds in the 2021 vintage on Carta. The machine is not theoretical. It has produced results.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Volume: high — 20,000+ companies sourced annually</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Quality: machine-screened and GP-validated before reaching Premier II</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Fee structure: to be confirmed — direct to cap table preferred, no SPV carry</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Dependency: LP relationship in Blue Moon Fund II</w:t>
      </w:r>
    </w:p>
    <w:p>
      <w:pPr>
        <w:spacing w:after="120"/>
      </w:pPr>
      <w:r>
        <w:t xml:space="preserve"/>
      </w:r>
    </w:p>
    <w:p>
      <w:pPr>
        <w:spacing w:after="100" w:before="240"/>
      </w:pPr>
      <w:r>
        <w:rPr>
          <w:rFonts w:ascii="Arial" w:cs="Arial" w:eastAsia="Arial" w:hAnsi="Arial"/>
          <w:b/>
          <w:bCs/>
          <w:color w:val="0A1628"/>
          <w:sz w:val="24"/>
          <w:szCs w:val="24"/>
        </w:rPr>
        <w:t xml:space="preserve">Tier 2 — Validated: Proven GP Judgment</w:t>
      </w:r>
    </w:p>
    <w:p>
      <w:pPr>
        <w:spacing w:after="120"/>
        <w:jc w:val="both"/>
      </w:pPr>
      <w:r>
        <w:rPr>
          <w:rFonts w:ascii="Arial" w:cs="Arial" w:eastAsia="Arial" w:hAnsi="Arial"/>
          <w:color w:val="1F2937"/>
          <w:sz w:val="20"/>
          <w:szCs w:val="20"/>
        </w:rPr>
        <w:t xml:space="preserve">Embedding VC and Rebellion Ventures are Premier I top performers whose judgment Premier has observed directly over 3–4 years. Magic School at 25x. Sixteen priced-round markups at Rebellion. These are not projections — they are observed outcomes from GPs whose pattern recognition has been validated at scale.</w:t>
      </w:r>
    </w:p>
    <w:p>
      <w:pPr>
        <w:spacing w:after="120"/>
        <w:jc w:val="both"/>
      </w:pPr>
      <w:r>
        <w:rPr>
          <w:rFonts w:ascii="Arial" w:cs="Arial" w:eastAsia="Arial" w:hAnsi="Arial"/>
          <w:color w:val="1F2937"/>
          <w:sz w:val="20"/>
          <w:szCs w:val="20"/>
        </w:rPr>
        <w:t xml:space="preserve">When Premier invests in Embedding Fund II and Rebellion Fund II, it is not primarily buying FoF returns. It is maintaining the LP relationship that entitles Premier to co-investment access from GPs whose judgment has already been proven. When these GPs surface a direct opportunity, Premier evaluates it with 4 years of observed context. That is a fundamentally different level of conviction than evaluating a cold deal.</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Volume: low to medium — these GPs are selective, not prolific</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Quality: highest — judgment validated through Premier I track record</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Fee structure: likely clean — direct to cap table, relationship-based</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Dependency: LP relationship in follow-on funds</w:t>
      </w:r>
    </w:p>
    <w:p>
      <w:pPr>
        <w:spacing w:after="120"/>
      </w:pPr>
      <w:r>
        <w:t xml:space="preserve"/>
      </w:r>
    </w:p>
    <w:p>
      <w:pPr>
        <w:spacing w:after="100" w:before="240"/>
      </w:pPr>
      <w:r>
        <w:rPr>
          <w:rFonts w:ascii="Arial" w:cs="Arial" w:eastAsia="Arial" w:hAnsi="Arial"/>
          <w:b/>
          <w:bCs/>
          <w:color w:val="0A1628"/>
          <w:sz w:val="24"/>
          <w:szCs w:val="24"/>
        </w:rPr>
        <w:t xml:space="preserve">Tier 3 — Proprietary: Closed Ecosystem Access</w:t>
      </w:r>
    </w:p>
    <w:p>
      <w:pPr>
        <w:spacing w:after="120"/>
        <w:jc w:val="both"/>
      </w:pPr>
      <w:r>
        <w:rPr>
          <w:rFonts w:ascii="Arial" w:cs="Arial" w:eastAsia="Arial" w:hAnsi="Arial"/>
          <w:color w:val="1F2937"/>
          <w:sz w:val="20"/>
          <w:szCs w:val="20"/>
        </w:rPr>
        <w:t xml:space="preserve">Prana Tech Ventures and Hallstone Ventures Fund I operate in deal ecosystems that are structurally inaccessible to generalist investors. Prana's pipeline runs through DoD, NSIN, Columbia, and MIT partnerships. Hallstone's pipeline runs through the Hollywood Professional Association network and MovieLabs — the R&amp;D consortium owned by all five major studios.</w:t>
      </w:r>
    </w:p>
    <w:p>
      <w:pPr>
        <w:spacing w:after="120"/>
        <w:jc w:val="both"/>
      </w:pPr>
      <w:r>
        <w:rPr>
          <w:rFonts w:ascii="Arial" w:cs="Arial" w:eastAsia="Arial" w:hAnsi="Arial"/>
          <w:color w:val="1F2937"/>
          <w:sz w:val="20"/>
          <w:szCs w:val="20"/>
        </w:rPr>
        <w:t xml:space="preserve">These are not relationship advantages. They are structural access advantages. A generalist investor cannot replicate them regardless of effort or capital. When Premier is an LP in these funds, it gains visibility into deal flow that does not exist in any other channel.</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Volume: low — highly specialized, vertical-specific</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Quality: proprietary — unavailable to any non-LP investor</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Fee structure: likely clean — first-fund GPs eager to build LP relationships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Dependency: LP relationship and GP willingness to share deal flow</w:t>
      </w:r>
    </w:p>
    <w:p>
      <w:pPr>
        <w:spacing w:after="120"/>
      </w:pPr>
      <w:r>
        <w:t xml:space="preserve"/>
      </w:r>
    </w:p>
    <w:p>
      <w:r>
        <w:br w:type="page"/>
      </w:r>
    </w:p>
    <w:p>
      <w:pPr>
        <w:spacing w:after="80" w:before="280"/>
      </w:pPr>
      <w:r>
        <w:rPr>
          <w:rFonts w:ascii="Arial" w:cs="Arial" w:eastAsia="Arial" w:hAnsi="Arial"/>
          <w:b/>
          <w:bCs/>
          <w:color w:val="0066CC"/>
          <w:sz w:val="16"/>
          <w:szCs w:val="16"/>
        </w:rPr>
        <w:t xml:space="preserve">SECTION 3</w:t>
      </w:r>
    </w:p>
    <w:p>
      <w:pPr>
        <w:spacing w:after="120" w:before="320"/>
      </w:pPr>
      <w:r>
        <w:rPr>
          <w:rFonts w:ascii="Arial" w:cs="Arial" w:eastAsia="Arial" w:hAnsi="Arial"/>
          <w:b/>
          <w:bCs/>
          <w:color w:val="0A1628"/>
          <w:sz w:val="36"/>
          <w:szCs w:val="36"/>
        </w:rPr>
        <w:t xml:space="preserve">Fund Selection Framework</w:t>
      </w:r>
    </w:p>
    <w:p>
      <w:pPr>
        <w:pBdr>
          <w:bottom w:val="single" w:color="0066CC" w:sz="8" w:space="1"/>
        </w:pBdr>
        <w:spacing w:after="180" w:before="60"/>
      </w:pPr>
    </w:p>
    <w:p>
      <w:pPr>
        <w:spacing w:after="120"/>
        <w:jc w:val="both"/>
      </w:pPr>
      <w:r>
        <w:rPr>
          <w:rFonts w:ascii="Arial" w:cs="Arial" w:eastAsia="Arial" w:hAnsi="Arial"/>
          <w:color w:val="1F2937"/>
          <w:sz w:val="20"/>
          <w:szCs w:val="20"/>
        </w:rPr>
        <w:t xml:space="preserve">The co-investment architecture has a direct implication for fund selection. Every Premier II fund commitment must excel in at least one of three dimensions. Funds that do not clear this bar do not receive capital — regardless of how strong the team or how clean the terms.</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500"/>
        <w:gridCol w:w="3000"/>
      </w:tblGrid>
      <w:t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Fund</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Volume</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Quality</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Proprietary</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Primary role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Blue Moon II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 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Machine-screened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Systematic sourcing engine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Geek II</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 Medium</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Immigrant network</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Volume pipeline · AI/Robotics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Embedding II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 Proven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Validated judgment · AI infra</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Rebellion II</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 Proven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Validated judgment · vertical AI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Prana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First fund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 DoD/NSIN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Closed ecosystem · deep tech</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Hallstone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First fund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 Hollywood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Closed ecosystem · MediaTech</w:t>
            </w:r>
          </w:p>
        </w:tc>
      </w:tr>
    </w:tbl>
    <w:p>
      <w:pPr>
        <w:spacing w:after="120"/>
      </w:pPr>
      <w:r>
        <w:t xml:space="preserve"/>
      </w:r>
    </w:p>
    <w:p>
      <w:pPr>
        <w:spacing w:after="120"/>
        <w:jc w:val="both"/>
      </w:pPr>
      <w:r>
        <w:rPr>
          <w:rFonts w:ascii="Arial" w:cs="Arial" w:eastAsia="Arial" w:hAnsi="Arial"/>
          <w:color w:val="1F2937"/>
          <w:sz w:val="20"/>
          <w:szCs w:val="20"/>
        </w:rPr>
        <w:t xml:space="preserve">A fund that generates no co-investment flow, no proprietary access, and whose GP judgment cannot yet be validated independently does not belong in Premier II. The fund return alone — after two fee layers — is insufficient justification for a commitment.</w:t>
      </w:r>
    </w:p>
    <w:p>
      <w:pPr>
        <w:spacing w:after="120"/>
      </w:pPr>
      <w:r>
        <w:t xml:space="preserve"/>
      </w:r>
    </w:p>
    <w:p>
      <w:pPr>
        <w:spacing w:before="240" w:after="100"/>
      </w:pPr>
      <w:r>
        <w:rPr>
          <w:b/>
          <w:sz w:val="24"/>
          <w:color w:val="0A1628"/>
          <w:rFonts w:ascii="Arial"/>
        </w:rPr>
        <w:t xml:space="preserve">GP Portfolio Construction — First Funds to Second Funds</w:t>
      </w:r>
    </w:p>
    <w:p>
      <w:pPr>
        <w:spacing w:before="0" w:after="120"/>
        <w:jc w:val="both"/>
      </w:pPr>
      <w:r>
        <w:rPr>
          <w:sz w:val="20"/>
          <w:color w:val="1F2937"/>
          <w:rFonts w:ascii="Arial"/>
        </w:rPr>
        <w:t xml:space="preserve">A core principle of Premier's GP portfolio construction is to be among the first institutional check writers in first-time funds, and then selectively back the best of those managers when they raise their second funds. This creates a compounding relationship flywheel: the first fund commitment buys observation rights and LP status. The second fund commitment — made with full knowledge of the GP's deployment decisions, judgment, co-investment behaviour, and LP relations — is where conviction is concentrated. By the time Premier backs a GP's second fund, it has typically watched 2–3 years of real investment decisions. That is a diligence advantage no amount of upfront due diligence can replicate.</w:t>
      </w:r>
    </w:p>
    <w:p>
      <w:pPr>
        <w:spacing w:before="0" w:after="120"/>
        <w:jc w:val="both"/>
      </w:pPr>
      <w:r>
        <w:rPr>
          <w:sz w:val="20"/>
          <w:color w:val="1F2937"/>
          <w:rFonts w:ascii="Arial"/>
        </w:rPr>
        <w:t xml:space="preserve">The co-investment implication is significant. A GP whose second fund Premier backs is not a new relationship — it is a validated one. When that GP surfaces a co-investment opportunity, Premier evaluates it with the context of having watched their prior fund deploy. Which sectors they understand deeply. Which deal types they miss. How they behave when a portfolio company is struggling. That observed context is the highest-quality filter available for direct deal evaluation.</w:t>
      </w:r>
    </w:p>
    <w:p>
      <w:pPr>
        <w:spacing w:before="240" w:after="100"/>
      </w:pPr>
      <w:r>
        <w:rPr>
          <w:b/>
          <w:sz w:val="24"/>
          <w:color w:val="0A1628"/>
          <w:rFonts w:ascii="Arial"/>
        </w:rPr>
        <w:t xml:space="preserve">Why Premier I Did Not Operate This Way</w:t>
      </w:r>
    </w:p>
    <w:p>
      <w:pPr>
        <w:spacing w:before="0" w:after="120"/>
        <w:jc w:val="both"/>
      </w:pPr>
      <w:r>
        <w:rPr>
          <w:sz w:val="20"/>
          <w:color w:val="1F2937"/>
          <w:rFonts w:ascii="Arial"/>
        </w:rPr>
        <w:t xml:space="preserve">Premier I could not deploy this strategy because the flywheel had not yet completed its first rotation. Premier I was building from scratch — no existing GP relationships, no observed track record, no first-fund graduates ready to raise second funds. Everyone was new simultaneously: a first-time fund of funds backing first-time fund managers. The diligence was necessarily forward-looking because there was no history to look back on.</w:t>
      </w:r>
    </w:p>
    <w:p>
      <w:pPr>
        <w:spacing w:before="0" w:after="120"/>
        <w:jc w:val="both"/>
      </w:pPr>
      <w:r>
        <w:rPr>
          <w:sz w:val="20"/>
          <w:color w:val="1F2937"/>
          <w:rFonts w:ascii="Arial"/>
        </w:rPr>
        <w:t xml:space="preserve">The flywheel only works once it has been spinning for one full cycle. Premier I was that first rotation. The first funds were backed. Now the best of those GPs are raising second funds — Embedding VC, Rebellion Ventures, Geek Ventures among them. Premier II is the first vehicle where the strategy can operate as designed: deploying capital into known, observed, validated GPs at the exact moment they are raising their follow-on funds.</w:t>
      </w:r>
    </w:p>
    <w:p>
      <w:pPr>
        <w:spacing w:before="0" w:after="120"/>
        <w:jc w:val="both"/>
      </w:pPr>
      <w:r>
        <w:rPr>
          <w:sz w:val="20"/>
          <w:color w:val="1F2937"/>
          <w:rFonts w:ascii="Arial"/>
        </w:rPr>
        <w:t xml:space="preserve">This gives Premier II a structural advantage Premier I never had. The uncertainty that characterises all first-fund investing — can this GP deploy systematically, maintain discipline, manage LP relationships, generate co-investment flow — is partially resolved before Premier II writes a single check. The portfolio does not start blind. It starts with 3–4 years of observed evidence on its most important GP relationships. That is the compounding benefit of having run Premier I first.</w:t>
      </w:r>
    </w:p>
    <w:p>
      <w:pPr>
        <w:spacing w:before="0" w:after="120"/>
        <w:jc w:val="both"/>
      </w:pPr>
      <w:r>
        <w:rPr>
          <w:sz w:val="20"/>
          <w:color w:val="1F2937"/>
          <w:rFonts w:ascii="Arial"/>
        </w:rPr>
        <w:t xml:space="preserve"/>
      </w:r>
    </w:p>
    <w:p>
      <w:pPr>
        <w:spacing w:before="240" w:after="100"/>
      </w:pPr>
      <w:r>
        <w:rPr>
          <w:b/>
          <w:sz w:val="24"/>
          <w:color w:val="0A1628"/>
          <w:rFonts w:ascii="Arial"/>
        </w:rPr>
        <w:t xml:space="preserve">The Hunters Become the Hunted — Off-Cycle Manager Sourcing</w:t>
      </w:r>
    </w:p>
    <w:p>
      <w:pPr>
        <w:spacing w:before="0" w:after="120"/>
        <w:jc w:val="both"/>
      </w:pPr>
      <w:r>
        <w:rPr>
          <w:sz w:val="20"/>
          <w:color w:val="1F2937"/>
          <w:rFonts w:ascii="Arial"/>
        </w:rPr>
        <w:t xml:space="preserve">The best emerging managers do not need to find LPs. By the time they open a fundraise, demand exceeds supply and allocation is rationed. The LPs who matter are the ones who found the manager before anyone else was looking. Premier II is built on this principle.</w:t>
      </w:r>
    </w:p>
    <w:p>
      <w:pPr>
        <w:spacing w:before="0" w:after="120"/>
        <w:jc w:val="both"/>
      </w:pPr>
      <w:r>
        <w:rPr>
          <w:sz w:val="20"/>
          <w:color w:val="1F2937"/>
          <w:rFonts w:ascii="Arial"/>
        </w:rPr>
        <w:t xml:space="preserve">Premier actively seeks and engages managers outside their fundraising periods. This inverts the typical GP-LP dynamic. Rather than waiting to be approached during a fundraise window and making decisions under time pressure with incomplete information — on the GP's timeline, with the GP's curated materials, against a closing deadline — Premier identifies and contacts managers when they are simply operating. No deck. No data room. No pressure. Just a conversation about how they think.</w:t>
      </w:r>
    </w:p>
    <w:p>
      <w:pPr>
        <w:spacing w:before="0" w:after="120"/>
        <w:jc w:val="both"/>
      </w:pPr>
      <w:r>
        <w:rPr>
          <w:sz w:val="20"/>
          <w:color w:val="1F2937"/>
          <w:rFonts w:ascii="Arial"/>
        </w:rPr>
        <w:t xml:space="preserve">Off-cycle contact reveals what fundraising conceals. When a GP is not performing for capital they communicate differently. They are more candid about portfolio companies that are struggling, more honest about what they got wrong, more revealing about how they actually make decisions under pressure. The fundraising version of a GP is the best version. The off-cycle version is the real one. Premier invests in the real one.</w:t>
      </w:r>
    </w:p>
    <w:p>
      <w:pPr>
        <w:spacing w:before="0" w:after="120"/>
        <w:jc w:val="both"/>
      </w:pPr>
      <w:r>
        <w:rPr>
          <w:sz w:val="20"/>
          <w:color w:val="1F2937"/>
          <w:rFonts w:ascii="Arial"/>
        </w:rPr>
        <w:t xml:space="preserve">By the time a target manager opens their fundraise, Premier has typically observed 12–18 months of real behavior. The GP who was once the hunter — seeking LP capital — has become the hunted. The allocation decision is effectively made before the competition begins. Other LPs are evaluating a deck. Premier is confirming a conviction it already holds.</w:t>
      </w:r>
    </w:p>
    <w:p>
      <w:pPr>
        <w:spacing w:before="0" w:after="120"/>
        <w:jc w:val="both"/>
      </w:pPr>
      <w:r>
        <w:rPr>
          <w:sz w:val="20"/>
          <w:color w:val="1F2937"/>
          <w:rFonts w:ascii="Arial"/>
        </w:rPr>
        <w:t>Blue Moon Ventures is the clearest example of this in the Premier II portfolio. Blue Moon had opened their Fund II raise to existing Fund I LPs — a soft, relationship-first opening before any broader fundraise. Premier identified them through two independent channels simultaneously: active outbound search through the Decile platform and separate introductions from two trusted network contacts, both of whom subsequently became Premier II LPs. When two independent sources from different parts of the network surface the same manager at the same moment, conviction is pre-built. Premier moved early — before the raise opened broadly — and secured allocation ahead of the broader LP market. The #1 Carta ranking and 1.4x DPI confirmed what the off-cycle relationship had already suggested. The allocation was won before the competition arrived.</w:t>
      </w:r>
    </w:p>
    <w:p>
      <w:pPr>
        <w:spacing w:before="0" w:after="120"/>
        <w:jc w:val="both"/>
      </w:pPr>
      <w:r>
        <w:rPr>
          <w:sz w:val="20"/>
          <w:color w:val="1F2937"/>
          <w:rFonts w:ascii="Arial"/>
        </w:rPr>
        <w:t xml:space="preserve">This is also why the best future LPs are those who search actively rather than wait. The LP who sits back and evaluates inbound deal flow will always be competing for the same allocation as every other LP who received the same deck. The LP who goes looking — who contacts managers before the fundraise, builds relationships before they are needed, and shows up with conviction before the crowd arrives — earns access that capital alone cannot buy.</w:t>
      </w:r>
    </w:p>
    <w:p>
      <w:pPr>
        <w:spacing w:before="0" w:after="120"/>
        <w:jc w:val="both"/>
      </w:pPr>
      <w:r>
        <w:rPr>
          <w:sz w:val="20"/>
          <w:color w:val="1F2937"/>
          <w:rFonts w:ascii="Arial"/>
        </w:rPr>
        <w:t xml:space="preserve"/>
      </w:r>
    </w:p>
    <w:p>
      <w:pPr>
        <w:spacing w:after="100" w:before="240"/>
      </w:pPr>
      <w:r>
        <w:rPr>
          <w:rFonts w:ascii="Arial" w:cs="Arial" w:eastAsia="Arial" w:hAnsi="Arial"/>
          <w:b/>
          <w:bCs/>
          <w:color w:val="0A1628"/>
          <w:sz w:val="24"/>
          <w:szCs w:val="24"/>
        </w:rPr>
        <w:t xml:space="preserve">What This Framework Eliminates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Generalist seed funds with no co-investment program — even with strong teams and clean terms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Funds where the GP is excellent but protective about deal sharing</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Funds in sectors where Premier has no edge in evaluating co-investments quickly</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Funds with institutional LP bases that crowd out smaller LPs from co-investment allocation</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First-time funds with no track record AND no proprietary access AND no co-investment program — all three unknowns simultaneously is too much risk for too little structural upside</w:t>
      </w:r>
    </w:p>
    <w:p>
      <w:pPr>
        <w:spacing w:after="120"/>
      </w:pPr>
      <w:r>
        <w:t xml:space="preserve"/>
      </w:r>
    </w:p>
    <w:p>
      <w:pPr>
        <w:spacing w:after="100" w:before="240"/>
      </w:pPr>
      <w:r>
        <w:rPr>
          <w:rFonts w:ascii="Arial" w:cs="Arial" w:eastAsia="Arial" w:hAnsi="Arial"/>
          <w:b/>
          <w:bCs/>
          <w:color w:val="0A1628"/>
          <w:sz w:val="24"/>
          <w:szCs w:val="24"/>
        </w:rPr>
        <w:t xml:space="preserve">What This Framework Keeps</w:t>
      </w:r>
    </w:p>
    <w:p>
      <w:pPr>
        <w:spacing w:after="120"/>
        <w:jc w:val="both"/>
      </w:pPr>
      <w:r>
        <w:rPr>
          <w:rFonts w:ascii="Arial" w:cs="Arial" w:eastAsia="Arial" w:hAnsi="Arial"/>
          <w:color w:val="1F2937"/>
          <w:sz w:val="20"/>
          <w:szCs w:val="20"/>
        </w:rPr>
        <w:t xml:space="preserve">Only funds where the LP relationship generates something beyond the fund return itself. The fund return is the floor. The co-investment access is the ceiling. Every Premier II commitment is evaluated on both dimensions, and the co-investment dimension is weighted at least equally with the return dimension.</w:t>
      </w:r>
    </w:p>
    <w:p>
      <w:pPr>
        <w:spacing w:after="120"/>
      </w:pPr>
      <w:r>
        <w:t xml:space="preserve"/>
      </w:r>
    </w:p>
    <w:p>
      <w:r>
        <w:br w:type="page"/>
      </w:r>
    </w:p>
    <w:p>
      <w:pPr>
        <w:spacing w:after="80" w:before="280"/>
      </w:pPr>
      <w:r>
        <w:rPr>
          <w:rFonts w:ascii="Arial" w:cs="Arial" w:eastAsia="Arial" w:hAnsi="Arial"/>
          <w:b/>
          <w:bCs/>
          <w:color w:val="0066CC"/>
          <w:sz w:val="16"/>
          <w:szCs w:val="16"/>
        </w:rPr>
        <w:t xml:space="preserve">SECTION 4</w:t>
      </w:r>
    </w:p>
    <w:p>
      <w:pPr>
        <w:spacing w:after="120" w:before="320"/>
      </w:pPr>
      <w:r>
        <w:rPr>
          <w:rFonts w:ascii="Arial" w:cs="Arial" w:eastAsia="Arial" w:hAnsi="Arial"/>
          <w:b/>
          <w:bCs/>
          <w:color w:val="0A1628"/>
          <w:sz w:val="36"/>
          <w:szCs w:val="36"/>
        </w:rPr>
        <w:t xml:space="preserve">Fee Structure and the Direct Sleeve Edge</w:t>
      </w:r>
    </w:p>
    <w:p>
      <w:pPr>
        <w:pBdr>
          <w:bottom w:val="single" w:color="0066CC" w:sz="8" w:space="1"/>
        </w:pBdr>
        <w:spacing w:after="180" w:before="60"/>
      </w:pPr>
    </w:p>
    <w:p>
      <w:pPr>
        <w:spacing w:after="120"/>
        <w:jc w:val="both"/>
      </w:pPr>
      <w:r>
        <w:rPr>
          <w:rFonts w:ascii="Arial" w:cs="Arial" w:eastAsia="Arial" w:hAnsi="Arial"/>
          <w:color w:val="1F2937"/>
          <w:sz w:val="20"/>
          <w:szCs w:val="20"/>
        </w:rPr>
        <w:t xml:space="preserve">The structural advantage of the direct sleeve depends entirely on fee elimination. The math only works if the co-investment is made directly into the company's cap table — not through an SPV, not through a vehicle with its own carry.</w:t>
      </w:r>
    </w:p>
    <w:p>
      <w:pPr>
        <w:spacing w:after="120"/>
      </w:pPr>
      <w:r>
        <w:t xml:space="preserve"/>
      </w:r>
    </w:p>
    <w:p>
      <w:pPr>
        <w:spacing w:after="100" w:before="240"/>
      </w:pPr>
      <w:r>
        <w:rPr>
          <w:rFonts w:ascii="Arial" w:cs="Arial" w:eastAsia="Arial" w:hAnsi="Arial"/>
          <w:b/>
          <w:bCs/>
          <w:color w:val="0A1628"/>
          <w:sz w:val="24"/>
          <w:szCs w:val="24"/>
        </w:rPr>
        <w:t xml:space="preserve">Three Possible Structures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2700"/>
      </w:tblGrid>
      <w:t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Structure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Fee layers</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Net on 11x gross</w:t>
            </w:r>
          </w:p>
        </w:tc>
        <w:tc>
          <w:tcPr>
            <w:tcW w:type="dxa" w:w="2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Edge vs FoF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Direct to cap table — no SPV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Premier 1%/10%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~9.5x</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Strong — full fee elimination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SPV with 1%/10% carry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SPV + Premier = two layers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~7.5x</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Weak — same as FoF sleeve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Through underlying fund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Fund + Premier = two layers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~6.5x</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None — worse than FoF</w:t>
            </w:r>
          </w:p>
        </w:tc>
      </w:tr>
    </w:tbl>
    <w:p>
      <w:pPr>
        <w:spacing w:after="120"/>
      </w:pPr>
      <w:r>
        <w:t xml:space="preserve"/>
      </w:r>
    </w:p>
    <w:p>
      <w:pPr>
        <w:spacing w:after="120"/>
        <w:jc w:val="both"/>
      </w:pPr>
      <w:r>
        <w:rPr>
          <w:rFonts w:ascii="Arial" w:cs="Arial" w:eastAsia="Arial" w:hAnsi="Arial"/>
          <w:color w:val="1F2937"/>
          <w:sz w:val="20"/>
          <w:szCs w:val="20"/>
        </w:rPr>
        <w:t xml:space="preserve">Premier I's xAI/SpaceX position was structured as a no-fee, no-carry SPV — direct economics to Premier, only Premier's own 1%/10% applied. That is why 7.33x gross translates to approximately 6.5x net to LP. Every Premier II direct position should target the same structure.</w:t>
      </w:r>
    </w:p>
    <w:p>
      <w:pPr>
        <w:spacing w:after="120"/>
        <w:jc w:val="both"/>
      </w:pPr>
      <w:r>
        <w:rPr>
          <w:rFonts w:ascii="Arial" w:cs="Arial" w:eastAsia="Arial" w:hAnsi="Arial"/>
          <w:color w:val="1F2937"/>
          <w:sz w:val="20"/>
          <w:szCs w:val="20"/>
        </w:rPr>
        <w:t xml:space="preserve">Before committing to any co-investment, Premier will confirm: is this direct to cap table, or through a vehicle? If through a vehicle, what are the economics? Positions with SPV carry are evaluated on adjusted net returns before commitment.</w:t>
      </w:r>
    </w:p>
    <w:p>
      <w:pPr>
        <w:spacing w:after="120"/>
      </w:pPr>
      <w:r>
        <w:t xml:space="preserve"/>
      </w:r>
    </w:p>
    <w:p>
      <w:r>
        <w:br w:type="page"/>
      </w:r>
    </w:p>
    <w:p>
      <w:pPr>
        <w:spacing w:after="80" w:before="280"/>
      </w:pPr>
      <w:r>
        <w:rPr>
          <w:rFonts w:ascii="Arial" w:cs="Arial" w:eastAsia="Arial" w:hAnsi="Arial"/>
          <w:b/>
          <w:bCs/>
          <w:color w:val="0066CC"/>
          <w:sz w:val="16"/>
          <w:szCs w:val="16"/>
        </w:rPr>
        <w:t xml:space="preserve">SECTION 5</w:t>
      </w:r>
    </w:p>
    <w:p>
      <w:pPr>
        <w:spacing w:after="120" w:before="320"/>
      </w:pPr>
      <w:r>
        <w:rPr>
          <w:rFonts w:ascii="Arial" w:cs="Arial" w:eastAsia="Arial" w:hAnsi="Arial"/>
          <w:b/>
          <w:bCs/>
          <w:color w:val="0A1628"/>
          <w:sz w:val="36"/>
          <w:szCs w:val="36"/>
        </w:rPr>
        <w:t xml:space="preserve">Realistic Portfolio Construction</w:t>
      </w:r>
    </w:p>
    <w:p>
      <w:pPr>
        <w:pBdr>
          <w:bottom w:val="single" w:color="0066CC" w:sz="8" w:space="1"/>
        </w:pBdr>
        <w:spacing w:after="180" w:before="60"/>
      </w:pPr>
    </w:p>
    <w:p>
      <w:pPr>
        <w:spacing w:after="120"/>
        <w:jc w:val="both"/>
      </w:pPr>
      <w:r>
        <w:rPr>
          <w:rFonts w:ascii="Arial" w:cs="Arial" w:eastAsia="Arial" w:hAnsi="Arial"/>
          <w:color w:val="1F2937"/>
          <w:sz w:val="20"/>
          <w:szCs w:val="20"/>
        </w:rPr>
        <w:t xml:space="preserve">Six direct investments over a 3-year deployment window is achievable but requires discipline. The constraint is not sourcing — between Blue Moon's 20,000+ annual pipeline and five GP relationships, deal flow will exceed capacity. The constraint is conviction and check size.</w:t>
      </w:r>
    </w:p>
    <w:p>
      <w:pPr>
        <w:spacing w:after="120"/>
      </w:pPr>
      <w:r>
        <w:t xml:space="preserve"/>
      </w:r>
    </w:p>
    <w:p>
      <w:pPr>
        <w:spacing w:after="100" w:before="240"/>
      </w:pPr>
      <w:r>
        <w:rPr>
          <w:rFonts w:ascii="Arial" w:cs="Arial" w:eastAsia="Arial" w:hAnsi="Arial"/>
          <w:b/>
          <w:bCs/>
          <w:color w:val="0A1628"/>
          <w:sz w:val="24"/>
          <w:szCs w:val="24"/>
        </w:rPr>
        <w:t xml:space="preserve">Expected Annual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900"/>
      </w:tblGrid>
      <w:t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Source</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Expected deals/year</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Expected conversion</w:t>
            </w:r>
          </w:p>
        </w:tc>
        <w:tc>
          <w:tcPr>
            <w:tcW w:type="dxa" w:w="1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Target check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Blue Moon pipeline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High volume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1–2 per year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$200–500K</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Embedding / Rebellion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1–2 total</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 every 18 months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$250–500K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Prana / Hallstone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Occasional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 over fund life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$200–300K</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Geek II network</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Medium volume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 per year</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i w:val="false"/>
                <w:iCs w:val="false"/>
                <w:color w:val="1F2937"/>
                <w:sz w:val="17"/>
                <w:szCs w:val="17"/>
              </w:rPr>
              <w:t xml:space="preserve">$150–300K</w:t>
            </w:r>
          </w:p>
        </w:tc>
      </w:tr>
    </w:tbl>
    <w:p>
      <w:pPr>
        <w:spacing w:after="120"/>
      </w:pPr>
      <w:r>
        <w:t xml:space="preserve"/>
      </w:r>
    </w:p>
    <w:p>
      <w:pPr>
        <w:spacing w:after="120"/>
        <w:jc w:val="both"/>
      </w:pPr>
      <w:r>
        <w:rPr>
          <w:rFonts w:ascii="Arial" w:cs="Arial" w:eastAsia="Arial" w:hAnsi="Arial"/>
          <w:color w:val="1F2937"/>
          <w:sz w:val="20"/>
          <w:szCs w:val="20"/>
        </w:rPr>
        <w:t xml:space="preserve">The target portfolio is 6 direct positions over 3 years: approximately 2 per year. That is a conservative deployment pace given the sourcing infrastructure. The discipline is in saying no to the 4th and 5th deal in a given year when conviction is not high enough to justify the concentration.</w:t>
      </w:r>
    </w:p>
    <w:p>
      <w:pPr>
        <w:spacing w:after="120"/>
      </w:pPr>
      <w:r>
        <w:t xml:space="preserve"/>
      </w:r>
    </w:p>
    <w:p>
      <w:pPr>
        <w:spacing w:after="100" w:before="240"/>
      </w:pPr>
      <w:r>
        <w:rPr>
          <w:rFonts w:ascii="Arial" w:cs="Arial" w:eastAsia="Arial" w:hAnsi="Arial"/>
          <w:b/>
          <w:bCs/>
          <w:color w:val="0A1628"/>
          <w:sz w:val="24"/>
          <w:szCs w:val="24"/>
        </w:rPr>
        <w:t xml:space="preserve">Return Expectations — Honest Version</w:t>
      </w:r>
    </w:p>
    <w:p>
      <w:pPr>
        <w:spacing w:after="120"/>
        <w:jc w:val="both"/>
      </w:pPr>
      <w:r>
        <w:rPr>
          <w:rFonts w:ascii="Arial" w:cs="Arial" w:eastAsia="Arial" w:hAnsi="Arial"/>
          <w:color w:val="1F2937"/>
          <w:sz w:val="20"/>
          <w:szCs w:val="20"/>
        </w:rPr>
        <w:t xml:space="preserve">Across 6 direct positions, a realistic distribution:</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1 position returns 0x — this always happens in early-stage venture</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1 position returns 1–2x — modest outcome, capital preserved</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2 positions return 3–8x — solid venture outcomes</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1 position returns 10–15x — strong outcome</w:t>
      </w:r>
    </w:p>
    <w:p>
      <w:pPr>
        <w:spacing w:after="80"/>
        <w:ind w:left="360" w:hanging="200"/>
      </w:pPr>
      <w:r>
        <w:rPr>
          <w:rFonts w:ascii="Arial" w:cs="Arial" w:eastAsia="Arial" w:hAnsi="Arial"/>
          <w:b/>
          <w:bCs/>
          <w:color w:val="0066CC"/>
          <w:sz w:val="20"/>
          <w:szCs w:val="20"/>
        </w:rPr>
        <w:t xml:space="preserve">•  </w:t>
      </w:r>
      <w:r>
        <w:rPr>
          <w:rFonts w:ascii="Arial" w:cs="Arial" w:eastAsia="Arial" w:hAnsi="Arial"/>
          <w:color w:val="1F2937"/>
          <w:sz w:val="20"/>
          <w:szCs w:val="20"/>
        </w:rPr>
        <w:t xml:space="preserve">1 position returns 20x+ — the fund maker</w:t>
      </w:r>
    </w:p>
    <w:p>
      <w:pPr>
        <w:spacing w:after="120"/>
      </w:pPr>
      <w:r>
        <w:t xml:space="preserve"/>
      </w:r>
    </w:p>
    <w:p>
      <w:pPr>
        <w:spacing w:after="120"/>
        <w:jc w:val="both"/>
      </w:pPr>
      <w:r>
        <w:rPr>
          <w:rFonts w:ascii="Arial" w:cs="Arial" w:eastAsia="Arial" w:hAnsi="Arial"/>
          <w:color w:val="1F2937"/>
          <w:sz w:val="20"/>
          <w:szCs w:val="20"/>
        </w:rPr>
        <w:t xml:space="preserve">That distribution averages approximately 8–9x gross across 6 positions. After Premier 1%/10%, approximately 7–8x net to LP. Satellite contribution to blended TVPI: approximately 2.1–2.4x.</w:t>
      </w:r>
    </w:p>
    <w:p>
      <w:pPr>
        <w:spacing w:after="120"/>
        <w:jc w:val="both"/>
      </w:pPr>
      <w:r>
        <w:rPr>
          <w:rFonts w:ascii="Arial" w:cs="Arial" w:eastAsia="Arial" w:hAnsi="Arial"/>
          <w:color w:val="1F2937"/>
          <w:sz w:val="20"/>
          <w:szCs w:val="20"/>
        </w:rPr>
        <w:t xml:space="preserve">Combined with FoF sleeve at 2.0–2.7x net: blended TVPI of approximately 4.0–5.0x. The 5x target requires the fund maker position to be at 25–30x, not 20x. Possible. Not guaranteed. That is why it is a target case and not a base case.</w:t>
      </w:r>
    </w:p>
    <w:p>
      <w:pPr>
        <w:spacing w:before="0" w:after="120"/>
        <w:jc w:val="both"/>
      </w:pPr>
      <w:r>
        <w:rPr>
          <w:sz w:val="20"/>
          <w:color w:val="1F2937"/>
          <w:rFonts w:ascii="Arial"/>
        </w:rPr>
        <w:t xml:space="preserve"/>
      </w:r>
    </w:p>
    <w:p>
      <w:pPr>
        <w:spacing w:before="0" w:after="120"/>
        <w:jc w:val="both"/>
      </w:pPr>
      <w:r>
        <w:rPr>
          <w:sz w:val="20"/>
          <w:color w:val="1F2937"/>
          <w:rFonts w:ascii="Arial"/>
        </w:rPr>
        <w:t xml:space="preserve">Premier II expects to make 10–15 additional fund investments beyond the current 6 commitments. Based on Premier I experience, only a minority of fund investments — approximately 20–25% — generate valid co-investment deal flow in practice. The remainder either lack a structured co-investment program, generate deal flow too late in the investment period to be actionable, or produce opportunities below Premier II’s conviction threshold. The co-investment pipeline projections above are therefore conservative by design — the 10–15 additional funds represent potential upside to the direct sleeve, not a guaranteed source of additional deal flow.</w:t>
      </w:r>
    </w:p>
    <w:p>
      <w:pPr>
        <w:spacing w:before="0" w:after="120"/>
        <w:jc w:val="both"/>
      </w:pPr>
      <w:r>
        <w:rPr>
          <w:sz w:val="20"/>
          <w:color w:val="1F2937"/>
          <w:rFonts w:ascii="Arial"/>
        </w:rPr>
        <w:t>This pattern reflects a broader truth observed across institutional venture investing. As a pension fund investor with exposure to portfolios spanning several hundred VC fund relationships, the same dynamic held consistently: the best quality co-investment opportunities — the ones with clean structure, right timing, and genuine conviction behind them — came from a very small, selected group of GPs regardless of total portfolio size. A larger fund portfolio buys volume. It does not buy quality. The high-conviction deals that actually move the needle tend to come from the same 3–5 relationships year after year. In Premier II, identifying those relationships early and maintaining them actively is worth more than optimising the remaining portfolio for co-investment potential.</w:t>
      </w:r>
    </w:p>
    <w:p>
      <w:pPr>
        <w:spacing w:after="120"/>
      </w:pPr>
      <w:r>
        <w:t xml:space="preserve"/>
      </w:r>
    </w:p>
    <w:p>
      <w:r>
        <w:br w:type="page"/>
      </w:r>
    </w:p>
    <w:p>
      <w:pPr>
        <w:spacing w:after="80" w:before="280"/>
      </w:pPr>
      <w:r>
        <w:rPr>
          <w:rFonts w:ascii="Arial" w:cs="Arial" w:eastAsia="Arial" w:hAnsi="Arial"/>
          <w:b/>
          <w:bCs/>
          <w:color w:val="0066CC"/>
          <w:sz w:val="16"/>
          <w:szCs w:val="16"/>
        </w:rPr>
        <w:t xml:space="preserve">SECTION 6</w:t>
      </w:r>
    </w:p>
    <w:p>
      <w:pPr>
        <w:spacing w:before="280" w:after="80"/>
      </w:pPr>
      <w:r>
        <w:rPr>
          <w:b/>
          <w:sz w:val="16"/>
          <w:color w:val="0066CC"/>
          <w:rFonts w:ascii="Arial"/>
        </w:rPr>
        <w:t xml:space="preserve">SECTION 5.5</w:t>
      </w:r>
    </w:p>
    <w:p>
      <w:pPr>
        <w:spacing w:before="240" w:after="100"/>
      </w:pPr>
      <w:r>
        <w:rPr>
          <w:b/>
          <w:sz w:val="24"/>
          <w:color w:val="0A1628"/>
          <w:rFonts w:ascii="Arial"/>
        </w:rPr>
        <w:t xml:space="preserve">What the Monte Carlo Tells Us About Co-Investment Discipline</w:t>
      </w:r>
    </w:p>
    <w:p>
      <w:pPr>
        <w:spacing w:before="0" w:after="120"/>
        <w:jc w:val="both"/>
      </w:pPr>
      <w:r>
        <w:rPr>
          <w:sz w:val="20"/>
          <w:color w:val="1F2937"/>
          <w:rFonts w:ascii="Arial"/>
        </w:rPr>
        <w:t xml:space="preserve">We ran 100,000 simulated Premier II portfolios combining the FoF sleeve (70%, 20 funds drawn from Carta-anchored return distributions) and the satellite sleeve (30%, 6 positions drawn from venture base rate distributions with a modest Premier selection adjustment). The results are unambiguous about what the co-investment program has to deliver.</w:t>
      </w:r>
    </w:p>
    <w:p>
      <w:pPr>
        <w:spacing w:before="0" w:after="120"/>
        <w:jc w:val="both"/>
      </w:pPr>
      <w:r>
        <w:rPr>
          <w:sz w:val="20"/>
          <w:color w:val="1F2937"/>
          <w:rFonts w:ascii="Arial"/>
        </w:rPr>
        <w:t xml:space="preserve">Key simulation results:</w:t>
      </w:r>
    </w:p>
    <w:p>
      <w:pPr>
        <w:spacing w:before="0" w:after="80"/>
        <w:ind w:left="360" w:hanging="200"/>
      </w:pPr>
      <w:r>
        <w:rPr>
          <w:b/>
          <w:sz w:val="20"/>
          <w:color w:val="0066CC"/>
          <w:rFonts w:ascii="Arial"/>
        </w:rPr>
        <w:t xml:space="preserve">•  </w:t>
      </w:r>
      <w:r>
        <w:rPr>
          <w:sz w:val="20"/>
          <w:color w:val="1F2937"/>
          <w:rFonts w:ascii="Arial"/>
        </w:rPr>
        <w:t xml:space="preserve">Median blended TVPI: 2.23x net to LP. This is what most portfolios produce. The base case at 3.1x is achieved in approximately 25% of simulations.</w:t>
      </w:r>
    </w:p>
    <w:p>
      <w:pPr>
        <w:spacing w:before="0" w:after="80"/>
        <w:ind w:left="360" w:hanging="200"/>
      </w:pPr>
      <w:r>
        <w:rPr>
          <w:b/>
          <w:sz w:val="20"/>
          <w:color w:val="0066CC"/>
          <w:rFonts w:ascii="Arial"/>
        </w:rPr>
        <w:t xml:space="preserve">•  </w:t>
      </w:r>
      <w:r>
        <w:rPr>
          <w:sz w:val="20"/>
          <w:color w:val="1F2937"/>
          <w:rFonts w:ascii="Arial"/>
        </w:rPr>
        <w:t xml:space="preserve">5x blended target: achieved in 6.9% of simulations — approximately 1 in 14 portfolios. This is the honest probability of the target case.</w:t>
      </w:r>
    </w:p>
    <w:p>
      <w:pPr>
        <w:spacing w:before="0" w:after="80"/>
        <w:ind w:left="360" w:hanging="200"/>
      </w:pPr>
      <w:r>
        <w:rPr>
          <w:b/>
          <w:sz w:val="20"/>
          <w:color w:val="0066CC"/>
          <w:rFonts w:ascii="Arial"/>
        </w:rPr>
        <w:t xml:space="preserve">•  </w:t>
      </w:r>
      <w:r>
        <w:rPr>
          <w:sz w:val="20"/>
          <w:color w:val="1F2937"/>
          <w:rFonts w:ascii="Arial"/>
        </w:rPr>
        <w:t xml:space="preserve">5.7x (original deck target): achieved in 4.0% of simulations — 1 in 25. Not a planning number.</w:t>
      </w:r>
    </w:p>
    <w:p>
      <w:pPr>
        <w:spacing w:before="0" w:after="80"/>
        <w:ind w:left="360" w:hanging="200"/>
      </w:pPr>
      <w:r>
        <w:rPr>
          <w:b/>
          <w:sz w:val="20"/>
          <w:color w:val="0066CC"/>
          <w:rFonts w:ascii="Arial"/>
        </w:rPr>
        <w:t xml:space="preserve">•  </w:t>
      </w:r>
      <w:r>
        <w:rPr>
          <w:sz w:val="20"/>
          <w:color w:val="1F2937"/>
          <w:rFonts w:ascii="Arial"/>
        </w:rPr>
        <w:t xml:space="preserve">Satellite sleeve median gross: 3.17x across 6 positions. To drive the blended to 5x the satellite needs to average approximately 11x gross — which itself has a 10% probability even with Premier’s selection edge.</w:t>
      </w:r>
    </w:p>
    <w:p>
      <w:pPr>
        <w:spacing w:before="0" w:after="120"/>
        <w:jc w:val="both"/>
      </w:pPr>
      <w:r>
        <w:rPr>
          <w:sz w:val="20"/>
          <w:color w:val="1F2937"/>
          <w:rFonts w:ascii="Arial"/>
        </w:rPr>
        <w:t xml:space="preserve">The simulation confirms what the portfolio construction logic already implied: the satellite sleeve cannot afford passengers. With only 6 positions, every slot that nets below 5-6x forces the remaining positions to work proportionally harder. A single position netting 3x means another position needs to hit 50x+ to keep the average on track. That is not a portfolio — that is a lottery with no tickets left.</w:t>
      </w:r>
    </w:p>
    <w:p>
      <w:pPr>
        <w:spacing w:before="0" w:after="120"/>
        <w:jc w:val="both"/>
      </w:pPr>
      <w:r>
        <w:rPr>
          <w:sz w:val="20"/>
          <w:color w:val="1F2937"/>
          <w:rFonts w:ascii="Arial"/>
        </w:rPr>
        <w:t xml:space="preserve">This is the mathematical foundation for the co-investment filter described in Section 3. Every satellite position must have a credible path to 15-20x gross before commitment. Positions that fail this filter — regardless of company quality, brand recognition, or network provenance — do not belong in the sleeve. Good companies at late-stage valuations with fee drag are precisely what the filter is designed to eliminate. The discipline is not optional. It is what separates the 7% of simulations that hit 5x from the 93% that do not.</w:t>
      </w:r>
    </w:p>
    <w:p>
      <w:pPr>
        <w:spacing w:before="0" w:after="120"/>
        <w:jc w:val="both"/>
      </w:pPr>
      <w:r>
        <w:rPr>
          <w:i/>
          <w:iCs/>
          <w:sz w:val="17"/>
          <w:color w:val="6B7280"/>
          <w:rFonts w:ascii="Arial"/>
        </w:rPr>
        <w:t xml:space="preserve">A full Monte Carlo methodology document is available separately, covering assumptions, distributions, fee modelling, and sensitivity analysis.</w:t>
      </w:r>
    </w:p>
    <w:p>
      <w:pPr>
        <w:spacing w:before="0" w:after="120"/>
        <w:jc w:val="both"/>
      </w:pPr>
      <w:r>
        <w:rPr>
          <w:sz w:val="20"/>
          <w:color w:val="1F2937"/>
          <w:rFonts w:ascii="Arial"/>
        </w:rPr>
        <w:t xml:space="preserve"/>
      </w:r>
    </w:p>
    <w:p>
      <w:pPr>
        <w:spacing w:after="120" w:before="320"/>
      </w:pPr>
      <w:r>
        <w:rPr>
          <w:rFonts w:ascii="Arial" w:cs="Arial" w:eastAsia="Arial" w:hAnsi="Arial"/>
          <w:b/>
          <w:bCs/>
          <w:color w:val="0A1628"/>
          <w:sz w:val="36"/>
          <w:szCs w:val="36"/>
        </w:rPr>
        <w:t xml:space="preserve">Operational Requirements</w:t>
      </w:r>
    </w:p>
    <w:p>
      <w:pPr>
        <w:pBdr>
          <w:bottom w:val="single" w:color="0066CC" w:sz="8" w:space="1"/>
        </w:pBdr>
        <w:spacing w:after="180" w:before="60"/>
      </w:pPr>
    </w:p>
    <w:p>
      <w:pPr>
        <w:spacing w:after="120"/>
        <w:jc w:val="both"/>
      </w:pPr>
      <w:r>
        <w:rPr>
          <w:rFonts w:ascii="Arial" w:cs="Arial" w:eastAsia="Arial" w:hAnsi="Arial"/>
          <w:color w:val="1F2937"/>
          <w:sz w:val="20"/>
          <w:szCs w:val="20"/>
        </w:rPr>
        <w:t xml:space="preserve">A co-investment program requires operational infrastructure that passive FoF investors do not need. Premier II must be able to:</w:t>
      </w:r>
    </w:p>
    <w:p>
      <w:pPr>
        <w:spacing w:after="120"/>
      </w:pPr>
      <w:r>
        <w:t xml:space="preserve"/>
      </w:r>
    </w:p>
    <w:p>
      <w:pPr>
        <w:spacing w:after="80" w:before="180"/>
      </w:pPr>
      <w:r>
        <w:rPr>
          <w:rFonts w:ascii="Arial" w:cs="Arial" w:eastAsia="Arial" w:hAnsi="Arial"/>
          <w:b/>
          <w:bCs/>
          <w:color w:val="0A1628"/>
          <w:sz w:val="20"/>
          <w:szCs w:val="20"/>
        </w:rPr>
        <w:t xml:space="preserve">Evaluate quickly</w:t>
      </w:r>
    </w:p>
    <w:p>
      <w:pPr>
        <w:spacing w:after="120"/>
        <w:jc w:val="both"/>
      </w:pPr>
      <w:r>
        <w:rPr>
          <w:rFonts w:ascii="Arial" w:cs="Arial" w:eastAsia="Arial" w:hAnsi="Arial"/>
          <w:color w:val="1F2937"/>
          <w:sz w:val="20"/>
          <w:szCs w:val="20"/>
        </w:rPr>
        <w:t xml:space="preserve">Co-investment opportunities typically come with 48–72 hour decision windows. Premier must have a defined evaluation process — who reviews, what criteria, who decides — that can be executed within that window without requiring full committee deliberation.</w:t>
      </w:r>
    </w:p>
    <w:p>
      <w:pPr>
        <w:spacing w:after="120"/>
      </w:pPr>
      <w:r>
        <w:t xml:space="preserve"/>
      </w:r>
    </w:p>
    <w:p>
      <w:pPr>
        <w:spacing w:after="80" w:before="180"/>
      </w:pPr>
      <w:r>
        <w:rPr>
          <w:rFonts w:ascii="Arial" w:cs="Arial" w:eastAsia="Arial" w:hAnsi="Arial"/>
          <w:b/>
          <w:bCs/>
          <w:color w:val="0A1628"/>
          <w:sz w:val="20"/>
          <w:szCs w:val="20"/>
        </w:rPr>
        <w:t xml:space="preserve">Confirm fee structure before every commitment</w:t>
      </w:r>
    </w:p>
    <w:p>
      <w:pPr>
        <w:spacing w:after="120"/>
        <w:jc w:val="both"/>
      </w:pPr>
      <w:r>
        <w:rPr>
          <w:rFonts w:ascii="Arial" w:cs="Arial" w:eastAsia="Arial" w:hAnsi="Arial"/>
          <w:color w:val="1F2937"/>
          <w:sz w:val="20"/>
          <w:szCs w:val="20"/>
        </w:rPr>
        <w:t xml:space="preserve">Direct to cap table or SPV? Carry charged? Management fee? These questions must be asked and answered before commitment, not after. The structural advantage of the direct sleeve depends on clean fee structure. A single SPV-with-carry commitment that is not caught before signing erodes the returns of two clean positions.</w:t>
      </w:r>
    </w:p>
    <w:p>
      <w:pPr>
        <w:spacing w:after="120"/>
      </w:pPr>
      <w:r>
        <w:t xml:space="preserve"/>
      </w:r>
    </w:p>
    <w:p>
      <w:pPr>
        <w:spacing w:after="80" w:before="180"/>
      </w:pPr>
      <w:r>
        <w:rPr>
          <w:rFonts w:ascii="Arial" w:cs="Arial" w:eastAsia="Arial" w:hAnsi="Arial"/>
          <w:b/>
          <w:bCs/>
          <w:color w:val="0A1628"/>
          <w:sz w:val="20"/>
          <w:szCs w:val="20"/>
        </w:rPr>
        <w:t xml:space="preserve">Maintain LP relationships actively</w:t>
      </w:r>
    </w:p>
    <w:p>
      <w:pPr>
        <w:spacing w:after="120"/>
        <w:jc w:val="both"/>
      </w:pPr>
      <w:r>
        <w:rPr>
          <w:rFonts w:ascii="Arial" w:cs="Arial" w:eastAsia="Arial" w:hAnsi="Arial"/>
          <w:color w:val="1F2937"/>
          <w:sz w:val="20"/>
          <w:szCs w:val="20"/>
        </w:rPr>
        <w:t xml:space="preserve">Co-investment flow is a relationship output. GPs share deal flow with LPs who are good partners — who respond quickly, commit when they say they will, and add value beyond the check. Premier must invest in GP relationships year-round, not just at commitment and at reporting time.</w:t>
      </w:r>
    </w:p>
    <w:p>
      <w:pPr>
        <w:spacing w:after="120"/>
      </w:pPr>
      <w:r>
        <w:t xml:space="preserve"/>
      </w:r>
    </w:p>
    <w:p>
      <w:pPr>
        <w:spacing w:after="80" w:before="180"/>
      </w:pPr>
      <w:r>
        <w:rPr>
          <w:rFonts w:ascii="Arial" w:cs="Arial" w:eastAsia="Arial" w:hAnsi="Arial"/>
          <w:b/>
          <w:bCs/>
          <w:color w:val="0A1628"/>
          <w:sz w:val="20"/>
          <w:szCs w:val="20"/>
        </w:rPr>
        <w:t xml:space="preserve">Track co-investment performance separately</w:t>
      </w:r>
    </w:p>
    <w:p>
      <w:pPr>
        <w:spacing w:after="120"/>
        <w:jc w:val="both"/>
      </w:pPr>
      <w:r>
        <w:rPr>
          <w:rFonts w:ascii="Arial" w:cs="Arial" w:eastAsia="Arial" w:hAnsi="Arial"/>
          <w:color w:val="1F2937"/>
          <w:sz w:val="20"/>
          <w:szCs w:val="20"/>
        </w:rPr>
        <w:t xml:space="preserve">The direct sleeve must be tracked, reported, and evaluated independently from the FoF sleeve. MOIC, net return, fee structure, and vintage must be reported separately for each direct position. This is what makes cap-adjusted TVPI meaningful and what allows course correction if the satellite thesis is not working.</w:t>
      </w:r>
    </w:p>
    <w:p>
      <w:pPr>
        <w:spacing w:after="120"/>
      </w:pPr>
      <w:r>
        <w:t xml:space="preserve"/>
      </w:r>
    </w:p>
    <w:p>
      <w:r>
        <w:br w:type="page"/>
      </w:r>
    </w:p>
    <w:p>
      <w:pPr>
        <w:spacing w:after="80" w:before="280"/>
      </w:pPr>
      <w:r>
        <w:rPr>
          <w:rFonts w:ascii="Arial" w:cs="Arial" w:eastAsia="Arial" w:hAnsi="Arial"/>
          <w:b/>
          <w:bCs/>
          <w:color w:val="0066CC"/>
          <w:sz w:val="16"/>
          <w:szCs w:val="16"/>
        </w:rPr>
        <w:t xml:space="preserve">DISCLAIMER</w:t>
      </w:r>
    </w:p>
    <w:p>
      <w:pPr>
        <w:pBdr>
          <w:bottom w:val="single" w:color="0066CC" w:sz="8" w:space="1"/>
        </w:pBdr>
        <w:spacing w:after="180" w:before="60"/>
      </w:pPr>
    </w:p>
    <w:p>
      <w:pPr>
        <w:spacing w:after="120" w:before="0"/>
        <w:jc w:val="left"/>
      </w:pPr>
      <w:r>
        <w:rPr>
          <w:rFonts w:ascii="Arial" w:cs="Arial" w:eastAsia="Arial" w:hAnsi="Arial"/>
          <w:b w:val="false"/>
          <w:bCs w:val="false"/>
          <w:i w:val="false"/>
          <w:iCs w:val="false"/>
          <w:color w:val="6B7280"/>
          <w:sz w:val="17"/>
          <w:szCs w:val="17"/>
        </w:rPr>
        <w:t xml:space="preserve">This memorandum is solely for the use of Premier II limited partners and contains information that is confidential. It is prepared for internal planning purposes only and does not constitute financial, legal, or accounting advice. All return projections are illustrative estimates and do not constitute a forecast or guarantee of future performance. Past performance of Premier I, including co-investment outcomes, is not indicative of future results.</w:t>
      </w:r>
    </w:p>
    <w:p>
      <w:pPr>
        <w:spacing w:after="120"/>
      </w:pPr>
      <w:r>
        <w:t xml:space="preserve"/>
      </w:r>
    </w:p>
    <w:p>
      <w:pPr>
        <w:spacing w:after="120" w:before="0"/>
        <w:jc w:val="center"/>
      </w:pPr>
      <w:r>
        <w:rPr>
          <w:rFonts w:ascii="Arial" w:cs="Arial" w:eastAsia="Arial" w:hAnsi="Arial"/>
          <w:b w:val="false"/>
          <w:bCs w:val="false"/>
          <w:i/>
          <w:iCs/>
          <w:color w:val="6B7280"/>
          <w:sz w:val="17"/>
          <w:szCs w:val="17"/>
        </w:rPr>
        <w:t xml:space="preserve">Decile Capital Premier II — Confidential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2026-05-13T20:24:13.771Z</dcterms:created>
  <dcterms:modified xsi:type="dcterms:W3CDTF">2026-05-13T20:24:13.787Z</dcterms:modified>
</cp:coreProperties>
</file>

<file path=docProps/custom.xml><?xml version="1.0" encoding="utf-8"?>
<Properties xmlns="http://schemas.openxmlformats.org/officeDocument/2006/custom-properties" xmlns:vt="http://schemas.openxmlformats.org/officeDocument/2006/docPropsVTypes"/>
</file>